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right"/>
      </w:pPr>
      <w:r>
        <w:rPr>
          <w:rFonts w:hint="default" w:ascii="Arial" w:hAnsi="Arial"/>
          <w:b w:val="false"/>
          <w:i w:val="false"/>
          <w:color w:val="000000"/>
          <w:sz w:val="20"/>
        </w:rPr>
        <w:t xml:space="preserve"> 
      </w:t>
      </w:r>
      <w:r>
        <w:rPr>
          <w:rFonts w:hint="default" w:ascii="Arial" w:hAnsi="Arial"/>
          <w:b w:val="false"/>
          <w:i w:val="false"/>
          <w:color w:val="000000"/>
          <w:sz w:val="16"/>
        </w:rPr>
        <w:t xml:space="preserve"> </w:t>
      </w:r>
      <w:r>
        <w:rPr>
          <w:rFonts w:hint="default" w:ascii="Arial" w:hAnsi="Arial"/>
          <w:b/>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i w:val="false"/>
          <w:color w:val="000000"/>
          <w:sz w:val="16"/>
        </w:rPr>
        <w:t xml:space="preserve">NUP: </w:t>
      </w:r>
      <w:r>
        <w:rPr>
          <w:rFonts w:hint="default" w:ascii="Arial" w:hAnsi="Arial"/>
          <w:b w:val="false"/>
          <w:i w:val="false"/>
          <w:color w:val="000000"/>
          <w:sz w:val="16"/>
        </w:rPr>
        <w:t>2023/34439/014938</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TERMO DE REFERÊNCIA Nº. 013/2023</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18"/>
        </w:rPr>
        <w:t>SC/00008/2023/ADAPEC</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18"/>
        </w:rPr>
        <w:t xml:space="preserve"> </w:t>
      </w:r>
      <w:r>
        <w:br/>
      </w:r>
      <w:r>
        <w:rPr>
          <w:rFonts w:hint="default" w:ascii="Arial" w:hAnsi="Arial"/>
          <w:b w:val="false"/>
          <w:i w:val="false"/>
          <w:color w:val="000000"/>
          <w:sz w:val="18"/>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18"/>
        </w:rPr>
        <w:t xml:space="preserve"> </w:t>
      </w:r>
      <w:r>
        <w:br/>
      </w:r>
      <w:r>
        <w:rPr>
          <w:rFonts w:hint="default" w:ascii="Arial" w:hAnsi="Arial"/>
          <w:b w:val="false"/>
          <w:i w:val="false"/>
          <w:color w:val="000000"/>
          <w:sz w:val="18"/>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18"/>
        </w:rPr>
        <w:t xml:space="preserve"> </w:t>
      </w:r>
      <w:r>
        <w:br/>
      </w:r>
      <w:r>
        <w:rPr>
          <w:rFonts w:hint="default" w:ascii="Arial" w:hAnsi="Arial"/>
          <w:b w:val="false"/>
          <w:i w:val="false"/>
          <w:color w:val="000000"/>
          <w:sz w:val="18"/>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1.</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DO OBJETO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Contratação de empresa especializada em realizar manutenção/limpeza de fossa séptica através de sucção com bomba de alta pressão.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2.</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JUSTIFICATIVA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Faz-se necessária a contratação de empresa especializada em limpeza de fossa séptica para que seja realizada manutenção na fossa da Barreira Fixa da Adapec no município de Xambioá.</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A Barreira Fixa do município de Xambioá fica localizada próxima a ponte entre os municípios de Xambioá no estado do Tocantins e São </w:t>
      </w:r>
      <w:r>
        <w:rPr>
          <w:rFonts w:hint="default" w:ascii="Arial" w:hAnsi="Arial"/>
          <w:b w:val="false"/>
          <w:i w:val="false"/>
          <w:color w:val="000000"/>
          <w:sz w:val="24"/>
        </w:rPr>
        <w:t>Geraldo</w:t>
      </w:r>
      <w:r>
        <w:rPr>
          <w:rFonts w:hint="default" w:ascii="Arial" w:hAnsi="Arial"/>
          <w:b w:val="false"/>
          <w:i w:val="false"/>
          <w:color w:val="000000"/>
          <w:sz w:val="24"/>
        </w:rPr>
        <w:t xml:space="preserve"> do Araguaia no estado do Pará, ponto estratégico para fiscalização, com a proximidade do rio e de lençóis freáticos a limpeza da fossa séptica requer uma frequência maior e regular.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Ao analisar os quantitativos solicitados no processo 2022/34530/000014, foi solicitado um quantitativo de 15 (quinze) diárias para um período de 12 (doze) meses, no entanto, o quantitativo se encerrou em 10 meses de execução devido ao volume de chuvas no período, o que aumenta a necessidade de prestação do serviço, e considerando que apenas após a primeira limpeza da fossa fomos informados que se trata de duas fossas interligadas, uma que desemboca em uma segunda fossa que não se verificou no primeiro levantamento da necessidade do serviço.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3.</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DO QUANTITATIVO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Considerando que o quantitativo de diárias solicitadas para o exercício de 2022 se mostrou insuficiente para a manutenção do serviço pela vigência do contrato, calculamos a quantidade de diária por solicitação e calculamos para um período de 12 (doze) meses, obtendo o resultado a seguir: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10 meses exercício de 2022;</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15 diárias para o exercício 2022;</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2 unidades (fossas) por diária.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15/10 = 1,5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1,5 x 12 = 18 diárias por mês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25 diárias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880e4f"/>
          <w:sz w:val="24"/>
        </w:rPr>
        <w:t xml:space="preserve"> </w:t>
      </w:r>
      <w:r>
        <w:rPr>
          <w:rFonts w:hint="default" w:ascii="Arial" w:hAnsi="Arial"/>
          <w:b w:val="false"/>
          <w:i w:val="false"/>
          <w:color w:val="0d47a1"/>
          <w:sz w:val="18"/>
        </w:rPr>
        <w:t xml:space="preserve"> </w:t>
      </w:r>
      <w:r>
        <w:rPr>
          <w:rFonts w:hint="default" w:ascii="Arial" w:hAnsi="Arial"/>
          <w:b/>
          <w:i w:val="false"/>
          <w:color w:val="0d47a1"/>
          <w:sz w:val="18"/>
        </w:rPr>
        <w:t xml:space="preserve"> </w:t>
      </w:r>
      <w:r>
        <w:rPr>
          <w:rFonts w:hint="default" w:ascii="Arial" w:hAnsi="Arial"/>
          <w:b/>
          <w:i/>
          <w:color w:val="0d47a1"/>
          <w:sz w:val="18"/>
        </w:rPr>
        <w:t>(valor estimativo arredondado considerando não ser possível calcular as variáveis relacionadas ao clima, que interfere diretamente no quantitativo do serviço a ser executado).</w:t>
      </w:r>
      <w:r>
        <w:rPr>
          <w:rFonts w:hint="default" w:ascii="Arial" w:hAnsi="Arial"/>
          <w:b/>
          <w:i w:val="false"/>
          <w:color w:val="0d47a1"/>
          <w:sz w:val="18"/>
        </w:rPr>
        <w:t xml:space="preserve"> </w:t>
      </w:r>
      <w:r>
        <w:rPr>
          <w:rFonts w:hint="default" w:ascii="Arial" w:hAnsi="Arial"/>
          <w:b w:val="false"/>
          <w:i w:val="false"/>
          <w:color w:val="0d47a1"/>
          <w:sz w:val="18"/>
        </w:rPr>
        <w:t xml:space="preserve"> </w:t>
      </w:r>
      <w:r>
        <w:rPr>
          <w:rFonts w:hint="default" w:ascii="Arial" w:hAnsi="Arial"/>
          <w:b w:val="false"/>
          <w:i w:val="false"/>
          <w:color w:val="880e4f"/>
          <w:sz w:val="24"/>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Posto isto, o quantitativo necessário deverá ser de 25 diárias para um período de 12 (doze) meses.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4.</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LOCAL DA PRESTAÇÃO DO SERVIÇO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Rua 09, posto fiscal no porto da balsa, loteamento novo, s/n. Município de Xambioá.</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5.</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i w:val="false"/>
          <w:color w:val="000000"/>
          <w:sz w:val="24"/>
        </w:rPr>
        <w:t>ESPECIFICAÇÃO DOS SERVIÇOS</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i w:val="false"/>
          <w:color w:val="000000"/>
          <w:sz w:val="24"/>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1280"/>
        <w:gridCol w:w="748"/>
        <w:gridCol w:w="1406"/>
        <w:gridCol w:w="3202"/>
        <w:gridCol w:w="1948"/>
        <w:gridCol w:w="722"/>
        <w:gridCol w:w="1366"/>
        <w:gridCol w:w="1391"/>
        <w:gridCol w:w="1571"/>
      </w:tblGrid>
      <w:tr>
        <w:tc>
          <w:tcPr>
            <w:tcW w:w="0" w:type="auto"/>
            <w:gridSpan w:val="9"/>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Itens</w:t>
            </w:r>
          </w:p>
        </w:tc>
      </w:tr>
      <w:tr>
        <w:tc>
          <w:tcPr>
            <w:tcW w:w="128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Tipo</w:t>
            </w:r>
          </w:p>
        </w:tc>
        <w:tc>
          <w:tcPr>
            <w:tcW w:w="748"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Item</w:t>
            </w:r>
          </w:p>
        </w:tc>
        <w:tc>
          <w:tcPr>
            <w:tcW w:w="140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Código</w:t>
            </w:r>
          </w:p>
        </w:tc>
        <w:tc>
          <w:tcPr>
            <w:tcW w:w="320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Descrição</w:t>
            </w:r>
          </w:p>
        </w:tc>
        <w:tc>
          <w:tcPr>
            <w:tcW w:w="1948"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Un. Aquisição</w:t>
            </w:r>
          </w:p>
        </w:tc>
        <w:tc>
          <w:tcPr>
            <w:tcW w:w="72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Qtd.</w:t>
            </w:r>
          </w:p>
        </w:tc>
        <w:tc>
          <w:tcPr>
            <w:tcW w:w="136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Unit.</w:t>
            </w:r>
          </w:p>
        </w:tc>
        <w:tc>
          <w:tcPr>
            <w:tcW w:w="1391"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Total</w:t>
            </w:r>
          </w:p>
        </w:tc>
        <w:tc>
          <w:tcPr>
            <w:tcW w:w="1571"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Acum.</w:t>
            </w:r>
          </w:p>
        </w:tc>
      </w:tr>
      <w:tr>
        <w:tc>
          <w:tcPr>
            <w:tcW w:w="12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001</w:t>
            </w:r>
          </w:p>
        </w:tc>
        <w:tc>
          <w:tcPr>
            <w:tcW w:w="74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140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00021160</w:t>
            </w:r>
          </w:p>
        </w:tc>
        <w:tc>
          <w:tcPr>
            <w:tcW w:w="320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Limpeza de fossa e afins</w:t>
            </w:r>
          </w:p>
        </w:tc>
        <w:tc>
          <w:tcPr>
            <w:tcW w:w="194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Diária</w:t>
            </w:r>
          </w:p>
        </w:tc>
        <w:tc>
          <w:tcPr>
            <w:tcW w:w="72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25</w:t>
            </w:r>
          </w:p>
        </w:tc>
        <w:tc>
          <w:tcPr>
            <w:tcW w:w="136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139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157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0" w:type="auto"/>
            <w:gridSpan w:val="6"/>
            <w:tcBorders/>
          </w:tcPr>
          <w:p>
            <w:pPr>
              <w:spacing w:after="0"/>
              <w:ind w:left="0"/>
              <w:jc w:val="right"/>
            </w:pPr>
            <w:r>
              <w:rPr>
                <w:rFonts w:hint="default" w:ascii="Arial" w:hAnsi="Arial"/>
                <w:b/>
                <w:i w:val="false"/>
                <w:color w:val="000000"/>
                <w:sz w:val="24"/>
              </w:rPr>
              <w:t>Total (R$):</w:t>
            </w:r>
          </w:p>
        </w:tc>
        <w:tc>
          <w:tcPr>
            <w:tcW w:w="1366" w:type="dxa"/>
            <w:tcBorders/>
          </w:tcPr>
          <w:p>
            <w:pPr>
              <w:spacing w:after="0"/>
              <w:ind w:left="0"/>
              <w:jc w:val="left"/>
            </w:pPr>
            <w:r>
              <w:rPr>
                <w:rFonts w:hint="default" w:ascii="Arial" w:hAnsi="Arial"/>
                <w:b/>
                <w:i w:val="false"/>
                <w:color w:val="000000"/>
                <w:sz w:val="24"/>
              </w:rPr>
              <w:t>0,00</w:t>
            </w:r>
          </w:p>
        </w:tc>
        <w:tc>
          <w:tcPr>
            <w:tcW w:w="1391" w:type="dxa"/>
            <w:tcBorders/>
          </w:tcPr>
          <w:p>
            <w:pPr>
              <w:spacing w:after="0"/>
              <w:ind w:left="0"/>
              <w:jc w:val="left"/>
            </w:pPr>
            <w:r>
              <w:rPr>
                <w:rFonts w:hint="default" w:ascii="Arial" w:hAnsi="Arial"/>
                <w:b/>
                <w:i w:val="false"/>
                <w:color w:val="000000"/>
                <w:sz w:val="24"/>
              </w:rPr>
              <w:t>0,00</w:t>
            </w:r>
          </w:p>
        </w:tc>
        <w:tc>
          <w:tcPr>
            <w:tcW w:w="1571" w:type="dxa"/>
            <w:tcBorders/>
          </w:tcPr>
          <w:p>
            <w:pPr>
              <w:spacing w:after="0"/>
              <w:ind w:left="0"/>
              <w:jc w:val="left"/>
            </w:pPr>
            <w:r>
              <w:rPr>
                <w:rFonts w:hint="default" w:ascii="Arial" w:hAnsi="Arial"/>
                <w:b/>
                <w:i w:val="false"/>
                <w:color w:val="000000"/>
                <w:sz w:val="24"/>
              </w:rPr>
              <w:t>0,00</w:t>
            </w:r>
          </w:p>
        </w:tc>
      </w:tr>
    </w:tbl>
    <w:p>
      <w:pPr>
        <w:spacing w:after="0"/>
        <w:ind w:left="0"/>
        <w:jc w:val="both"/>
      </w:pPr>
      <w:r>
        <w:rPr>
          <w:rFonts w:hint="default" w:ascii="Arial" w:hAnsi="Arial"/>
          <w:b/>
          <w:i w:val="false"/>
          <w:color w:val="000000"/>
          <w:sz w:val="24"/>
        </w:rPr>
        <w:t xml:space="preserve"> 
        </w:t>
      </w:r>
    </w:p>
    <w:p>
      <w:pPr>
        <w:spacing w:after="0"/>
        <w:ind w:left="0"/>
        <w:jc w:val="both"/>
      </w:pPr>
      <w:r>
        <w:rPr>
          <w:rFonts w:hint="default" w:ascii="Arial" w:hAnsi="Arial"/>
          <w:b/>
          <w:i w:val="false"/>
          <w:color w:val="000000"/>
          <w:sz w:val="24"/>
        </w:rPr>
        <w:t xml:space="preserve"> 
         </w:t>
      </w:r>
      <w:r>
        <w:br/>
      </w:r>
      <w:r>
        <w:rPr>
          <w:rFonts w:hint="default" w:ascii="Arial" w:hAnsi="Arial"/>
          <w:b/>
          <w:i w:val="false"/>
          <w:color w:val="000000"/>
          <w:sz w:val="24"/>
        </w:rPr>
        <w:t xml:space="preserve"> 
        </w:t>
      </w:r>
    </w:p>
    <w:p>
      <w:pPr>
        <w:spacing w:after="0"/>
        <w:ind w:left="0"/>
        <w:jc w:val="both"/>
      </w:pP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A Prestação de Serviço será solicitada parceladamente, sempre que for necessário, perfazendo um total estimativo de até 25 solicitações anuais em:</w:t>
      </w:r>
      <w:r>
        <w:br/>
      </w:r>
      <w:r>
        <w:rPr>
          <w:rFonts w:hint="default" w:ascii="Arial" w:hAnsi="Arial"/>
          <w:b w:val="false"/>
          <w:i w:val="false"/>
          <w:color w:val="000000"/>
          <w:sz w:val="24"/>
        </w:rPr>
        <w:t xml:space="preserve"> 
       </w:t>
      </w:r>
    </w:p>
    <w:p>
      <w:pPr>
        <w:numPr>
          <w:ilvl w:val="0"/>
          <w:numId w:val="3"/>
        </w:numPr>
        <w:spacing w:after="0"/>
        <w:jc w:val="both"/>
      </w:pPr>
      <w:r>
        <w:rPr>
          <w:rFonts w:hint="default" w:ascii="Arial" w:hAnsi="Arial"/>
          <w:b w:val="false"/>
          <w:i w:val="false"/>
          <w:color w:val="000000"/>
          <w:sz w:val="24"/>
        </w:rPr>
        <w:t xml:space="preserve"> </w:t>
      </w:r>
      <w:r>
        <w:rPr>
          <w:rFonts w:hint="default" w:ascii="Arial" w:hAnsi="Arial"/>
          <w:b w:val="false"/>
          <w:i w:val="false"/>
          <w:color w:val="000000"/>
          <w:sz w:val="24"/>
        </w:rPr>
        <w:t>Uma fossa com medidas de 1.50m largura, 2.00 comprimento, 1.10m profundidade e 3,3m cúbicos de capacidade;</w:t>
      </w:r>
      <w:r>
        <w:rPr>
          <w:rFonts w:hint="default" w:ascii="Arial" w:hAnsi="Arial"/>
          <w:b w:val="false"/>
          <w:i w:val="false"/>
          <w:color w:val="000000"/>
          <w:sz w:val="24"/>
        </w:rPr>
        <w:t xml:space="preserve"> </w:t>
      </w:r>
    </w:p>
    <w:p>
      <w:pPr>
        <w:numPr>
          <w:ilvl w:val="0"/>
          <w:numId w:val="3"/>
        </w:numPr>
        <w:spacing w:after="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Uma redonda (manilha) com 1,20 de diâmetro por 2 metros de profundidade;</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A cada diária deverão ser limpas as duas fossas.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6.</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DA PRESTAÇÃO DO SERVIÇO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6.1.</w:t>
      </w:r>
      <w:r>
        <w:rPr>
          <w:rFonts w:hint="default" w:ascii="Arial" w:hAnsi="Arial"/>
          <w:b w:val="false"/>
          <w:i w:val="false"/>
          <w:color w:val="000000"/>
          <w:sz w:val="20"/>
        </w:rPr>
        <w:t xml:space="preserve"> 
      </w:t>
      </w:r>
      <w:r>
        <w:rPr>
          <w:rFonts w:hint="default" w:ascii="Arial" w:hAnsi="Arial"/>
          <w:b w:val="false"/>
          <w:i w:val="false"/>
          <w:color w:val="000000"/>
          <w:sz w:val="24"/>
        </w:rPr>
        <w:t>Os serviços deverão ser realizados em até 24 horas após a solicitação a contar da data de recebimento da solicitação do serviço;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6.2.</w:t>
      </w:r>
      <w:r>
        <w:rPr>
          <w:rFonts w:hint="default" w:ascii="Arial" w:hAnsi="Arial"/>
          <w:b w:val="false"/>
          <w:i w:val="false"/>
          <w:color w:val="000000"/>
          <w:sz w:val="20"/>
        </w:rPr>
        <w:t xml:space="preserve"> 
      </w:t>
      </w:r>
      <w:r>
        <w:rPr>
          <w:rFonts w:hint="default" w:ascii="Arial" w:hAnsi="Arial"/>
          <w:b w:val="false"/>
          <w:i w:val="false"/>
          <w:color w:val="000000"/>
          <w:sz w:val="24"/>
        </w:rPr>
        <w:t>Deverão ser utilizados equipamentos e ferramentas necessários à boa execução de todos os serviços e empregar os métodos de trabalho mais eficientes e seguros, de acordo com as Normas vigentes, atentando-se aos cuidados necessários para preservação do ambiente;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7.</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BASE LEGA</w:t>
      </w:r>
      <w:r>
        <w:rPr>
          <w:rFonts w:hint="default" w:ascii="Arial" w:hAnsi="Arial"/>
          <w:b w:val="false"/>
          <w:i w:val="false"/>
          <w:color w:val="000000"/>
          <w:sz w:val="24"/>
        </w:rPr>
        <w:t>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Recomenda-se que esta aquisição seja efetuada por dispensa de licitação uma vez que a estimativa de preços se amolda ao disposto no art. 75, inciso II da Lei 14.133/2021.</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8.</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DA VIGÊNCIA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A contratação deverá ser de 12 (doze) meses, com possibilidade de prorrogação em consonância com o Art. 107 da Lei Lei 14.133/2021, considerando que o serviço solicitado consta na portaria nº 075, de 20 de março de 2023, como contínuo e essencial.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9.</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DAS OBRIGAÇÕES DA CONTRATANTE</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9.1.</w:t>
      </w:r>
      <w:r>
        <w:rPr>
          <w:rFonts w:hint="default" w:ascii="Arial" w:hAnsi="Arial"/>
          <w:b w:val="false"/>
          <w:i w:val="false"/>
          <w:color w:val="000000"/>
          <w:sz w:val="20"/>
        </w:rPr>
        <w:t xml:space="preserve"> 
      </w:t>
      </w:r>
      <w:r>
        <w:rPr>
          <w:rFonts w:hint="default" w:ascii="Arial" w:hAnsi="Arial"/>
          <w:b w:val="false"/>
          <w:i w:val="false"/>
          <w:color w:val="000000"/>
          <w:sz w:val="24"/>
        </w:rPr>
        <w:t>Proporcionar todas as facilidades para que a CONTRATADA possa desempenhar os compromissos assumidos, bem como pagar pelos serviços prestados;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9.2.</w:t>
      </w:r>
      <w:r>
        <w:rPr>
          <w:rFonts w:hint="default" w:ascii="Arial" w:hAnsi="Arial"/>
          <w:b w:val="false"/>
          <w:i w:val="false"/>
          <w:color w:val="000000"/>
          <w:sz w:val="20"/>
        </w:rPr>
        <w:t xml:space="preserve"> 
      </w:t>
      </w:r>
      <w:r>
        <w:rPr>
          <w:rFonts w:hint="default" w:ascii="Arial" w:hAnsi="Arial"/>
          <w:b w:val="false"/>
          <w:i w:val="false"/>
          <w:color w:val="000000"/>
          <w:sz w:val="24"/>
        </w:rPr>
        <w:t>Acompanhar e fiscalizar o cumprimento das obrigações da contratada, através de servidor designado, bem como atestar a nota fiscal a efetiva entrega do objeto contratado e seu aceite;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10.</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DAS OBRIGAÇÕES DA CONTRATADA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10.1.</w:t>
      </w:r>
      <w:r>
        <w:rPr>
          <w:rFonts w:hint="default" w:ascii="Arial" w:hAnsi="Arial"/>
          <w:b w:val="false"/>
          <w:i w:val="false"/>
          <w:color w:val="000000"/>
          <w:sz w:val="20"/>
        </w:rPr>
        <w:t xml:space="preserve"> 
      </w:t>
      </w:r>
      <w:r>
        <w:rPr>
          <w:rFonts w:hint="default" w:ascii="Arial" w:hAnsi="Arial"/>
          <w:b w:val="false"/>
          <w:i w:val="false"/>
          <w:color w:val="000000"/>
          <w:sz w:val="24"/>
        </w:rPr>
        <w:t>Executar fielmente o objeto contratado, conforme as especificações, prazos estipulados e exigidos neste Termo;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10.2.</w:t>
      </w:r>
      <w:r>
        <w:rPr>
          <w:rFonts w:hint="default" w:ascii="Arial" w:hAnsi="Arial"/>
          <w:b w:val="false"/>
          <w:i w:val="false"/>
          <w:color w:val="000000"/>
          <w:sz w:val="20"/>
        </w:rPr>
        <w:t xml:space="preserve"> 
      </w:t>
      </w:r>
      <w:r>
        <w:rPr>
          <w:rFonts w:hint="default" w:ascii="Arial" w:hAnsi="Arial"/>
          <w:b w:val="false"/>
          <w:i w:val="false"/>
          <w:color w:val="000000"/>
          <w:sz w:val="24"/>
        </w:rPr>
        <w:t>Dar plena garantia e qualidade do serviço prestado;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10.3.</w:t>
      </w:r>
      <w:r>
        <w:rPr>
          <w:rFonts w:hint="default" w:ascii="Arial" w:hAnsi="Arial"/>
          <w:b w:val="false"/>
          <w:i w:val="false"/>
          <w:color w:val="000000"/>
          <w:sz w:val="20"/>
        </w:rPr>
        <w:t xml:space="preserve"> 
      </w:t>
      </w:r>
      <w:r>
        <w:rPr>
          <w:rFonts w:hint="default" w:ascii="Arial" w:hAnsi="Arial"/>
          <w:b w:val="false"/>
          <w:i w:val="false"/>
          <w:color w:val="000000"/>
          <w:sz w:val="24"/>
        </w:rPr>
        <w:t>Arcar com todos os encargos decorrentes da prestação de serviços, especialmente os referente a frete, taxas, seguros, encargos sociais e trabalhistas;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10.4.</w:t>
      </w:r>
      <w:r>
        <w:rPr>
          <w:rFonts w:hint="default" w:ascii="Arial" w:hAnsi="Arial"/>
          <w:b w:val="false"/>
          <w:i w:val="false"/>
          <w:color w:val="000000"/>
          <w:sz w:val="20"/>
        </w:rPr>
        <w:t xml:space="preserve"> 
      </w:t>
      </w:r>
      <w:r>
        <w:rPr>
          <w:rFonts w:hint="default" w:ascii="Arial" w:hAnsi="Arial"/>
          <w:b w:val="false"/>
          <w:i w:val="false"/>
          <w:color w:val="000000"/>
          <w:sz w:val="24"/>
        </w:rPr>
        <w:t>Zelar pela legislação vigente que incida sobre a prestação do serviço.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11.</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4"/>
        </w:rPr>
        <w:t>DA FISCALIZAÇÃO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O acompanhamento e fiscalização se dará pelo demandante, e caso haja instrumento contratual, se dará por servidor (es) designado (os) pelo Titular da Pasta, na condição de representante do órgão requisitante, o qual deverá atestar os documentos da despesa, quando comprovada a fiel e correta execução do objeto para fins de pagamento;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A presença da fiscalização não elide nem diminui a responsabilidade da empresa contratada;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12.</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DO PAGAMENTO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12.1.</w:t>
      </w:r>
      <w:r>
        <w:rPr>
          <w:rFonts w:hint="default" w:ascii="Arial" w:hAnsi="Arial"/>
          <w:b w:val="false"/>
          <w:i w:val="false"/>
          <w:color w:val="000000"/>
          <w:sz w:val="20"/>
        </w:rPr>
        <w:t xml:space="preserve"> 
      </w:t>
      </w:r>
      <w:r>
        <w:rPr>
          <w:rFonts w:hint="default" w:ascii="Arial" w:hAnsi="Arial"/>
          <w:b w:val="false"/>
          <w:i w:val="false"/>
          <w:color w:val="000000"/>
          <w:sz w:val="24"/>
        </w:rPr>
        <w:t>Será considerado para efeito de pagamento, o serviço efetivamente entregue pela Contratada, e aprovado setor responsável pelo recebimento do mesmo, respeitando as exigências deste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12.2.</w:t>
      </w:r>
      <w:r>
        <w:rPr>
          <w:rFonts w:hint="default" w:ascii="Arial" w:hAnsi="Arial"/>
          <w:b w:val="false"/>
          <w:i w:val="false"/>
          <w:color w:val="000000"/>
          <w:sz w:val="20"/>
        </w:rPr>
        <w:t xml:space="preserve"> 
      </w:t>
      </w:r>
      <w:r>
        <w:rPr>
          <w:rFonts w:hint="default" w:ascii="Arial" w:hAnsi="Arial"/>
          <w:b w:val="false"/>
          <w:i w:val="false"/>
          <w:color w:val="000000"/>
          <w:sz w:val="24"/>
        </w:rPr>
        <w:t>O pagamento será efetuado em até 30 dias, contados a partir da data do atesto na nota fiscal do serviço prestado.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13.</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DOTAÇÃO ORÇAMENTÁRIA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Os recursos para cobrir as despesas decorrentes da contratação, estão contemplados no Orçamento de 2023, Classificação Orçamentária 34530.20.122.1148.4080, Fonte 0759666666, Natureza de despesa 33.90.3916.</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4783"/>
        <w:gridCol w:w="3289"/>
        <w:gridCol w:w="2784"/>
        <w:gridCol w:w="1059"/>
        <w:gridCol w:w="1719"/>
      </w:tblGrid>
      <w:tr>
        <w:tc>
          <w:tcPr>
            <w:tcW w:w="0" w:type="auto"/>
            <w:gridSpan w:val="5"/>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Dotação</w:t>
            </w:r>
          </w:p>
        </w:tc>
      </w:tr>
      <w:tr>
        <w:tc>
          <w:tcPr>
            <w:tcW w:w="478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Funcional Programática</w:t>
            </w:r>
          </w:p>
        </w:tc>
        <w:tc>
          <w:tcPr>
            <w:tcW w:w="328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Natureza de Despesa</w:t>
            </w:r>
          </w:p>
        </w:tc>
        <w:tc>
          <w:tcPr>
            <w:tcW w:w="2784"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Fonte de Recurso</w:t>
            </w:r>
          </w:p>
        </w:tc>
        <w:tc>
          <w:tcPr>
            <w:tcW w:w="105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Valor</w:t>
            </w:r>
          </w:p>
        </w:tc>
        <w:tc>
          <w:tcPr>
            <w:tcW w:w="171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Exercício.</w:t>
            </w:r>
          </w:p>
        </w:tc>
      </w:tr>
      <w:tr>
        <w:tc>
          <w:tcPr>
            <w:tcW w:w="478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345300 34530 2012211484080</w:t>
            </w:r>
          </w:p>
        </w:tc>
        <w:tc>
          <w:tcPr>
            <w:tcW w:w="328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33903916</w:t>
            </w:r>
          </w:p>
        </w:tc>
        <w:tc>
          <w:tcPr>
            <w:tcW w:w="278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7591666666</w:t>
            </w:r>
          </w:p>
        </w:tc>
        <w:tc>
          <w:tcPr>
            <w:tcW w:w="105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171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2023</w:t>
            </w:r>
          </w:p>
        </w:tc>
      </w:tr>
      <w:tr>
        <w:tc>
          <w:tcPr>
            <w:tcW w:w="0" w:type="auto"/>
            <w:gridSpan w:val="3"/>
            <w:tcBorders/>
          </w:tcPr>
          <w:p>
            <w:pPr>
              <w:spacing w:after="0"/>
              <w:ind w:left="0"/>
              <w:jc w:val="right"/>
            </w:pPr>
            <w:r>
              <w:rPr>
                <w:rFonts w:hint="default" w:ascii="Arial" w:hAnsi="Arial"/>
                <w:b/>
                <w:i w:val="false"/>
                <w:color w:val="000000"/>
                <w:sz w:val="20"/>
              </w:rPr>
              <w:t>Custo total estimado (R$):</w:t>
            </w:r>
          </w:p>
        </w:tc>
        <w:tc>
          <w:tcPr>
            <w:tcW w:w="0" w:type="auto"/>
            <w:gridSpan w:val="2"/>
            <w:tcBorders/>
          </w:tcPr>
          <w:p>
            <w:pPr>
              <w:spacing w:after="0"/>
              <w:ind w:left="0"/>
              <w:jc w:val="left"/>
            </w:pPr>
            <w:r>
              <w:rPr>
                <w:rFonts w:hint="default" w:ascii="Arial" w:hAnsi="Arial"/>
                <w:b/>
                <w:i w:val="false"/>
                <w:color w:val="000000"/>
                <w:sz w:val="20"/>
              </w:rPr>
              <w:t>0,00</w:t>
            </w:r>
          </w:p>
        </w:tc>
      </w:tr>
    </w:tbl>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Rejânia Aparecida da Silva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Solicitante</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Divino Rodrigues Barroso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Diretor de Administração e Finanças</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Autorizo,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Observados os aspectos legais, formais e éticos.</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Paulo Antônio Lima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Presidente</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1"/>
        </w:rPr>
        <w:t>Palmas/TO, 30 de Março de 2023</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Termo de Referência aprovado conforme as especificações da prestação de serviço.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Paulo Antônio de Lima</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Presidente</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left"/>
      </w:pPr>
    </w:p>
    <w:sectPr>
      <w:headerReference w:type="default" r:id="rId4"/>
      <w:footerReference w:type="default" r:id="rId5"/>
      <w:pgSz w:w="11907" w:h="16839" w:code="9"/>
      <w:pgMar w:top="3402" w:right="1134" w:bottom="1134" w:left="1134"/>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2977"/>
      <w:gridCol w:w="1358"/>
    </w:tblGrid>
    <w:tr>
      <w:tc>
        <w:tcPr>
          <w:tcW w:w="2977" w:type="dxa"/>
          <w:tcBorders/>
        </w:tcPr>
        <w:p>
          <w:pPr>
            <w:spacing w:after="0"/>
            <w:ind w:left="0"/>
            <w:jc w:val="left"/>
          </w:pPr>
          <w:r>
            <w:rPr>
              <w:rFonts w:hint="default" w:ascii="Arial" w:hAnsi="Arial"/>
              <w:b w:val="false"/>
              <w:i w:val="false"/>
              <w:color w:val="000000"/>
              <w:sz w:val="16"/>
            </w:rPr>
            <w:t>Governo do Estado do Tocantins</w:t>
          </w:r>
        </w:p>
      </w:tc>
      <w:tc>
        <w:tcPr>
          <w:tcW w:w="1358" w:type="dxa"/>
          <w:tcBorders/>
        </w:tcPr>
        <w:p>
          <w:pPr>
            <w:spacing w:after="0"/>
            <w:ind w:left="0"/>
            <w:jc w:val="left"/>
          </w:pPr>
          <w:r>
            <w:rPr>
              <w:rFonts w:hint="default" w:ascii="Arial" w:hAnsi="Arial"/>
              <w:b w:val="false"/>
              <w:i w:val="false"/>
              <w:color w:val="000000"/>
              <w:sz w:val="16"/>
            </w:rPr>
            <w:t xml:space="preserve">Pág. </w:t>
            <w:fldChar w:fldCharType="begin"/>
            <w:instrText xml:space="preserve"> PAGE  \\* MERGEFORMAT </w:instrText>
            <w:fldChar w:fldCharType="end"/>
          </w:r>
        </w:p>
      </w:tc>
    </w:tr>
  </w:tbl>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5890"/>
      <w:gridCol w:w="440"/>
    </w:tblGrid>
    <w:tr>
      <w:tc>
        <w:tcPr>
          <w:tcW w:w="5890" w:type="dxa"/>
          <w:tcBorders/>
        </w:tcPr>
        <w:p>
          <w:pPr>
            <w:spacing w:after="0"/>
            <w:ind w:left="0"/>
            <w:jc w:val="right"/>
          </w:pPr>
          <w:r>
            <w:rPr>
              <w:rFonts w:hint="default" w:ascii="Arial" w:hAnsi="Arial"/>
              <w:b/>
              <w:i w:val="false"/>
              <w:color w:val="000000"/>
              <w:sz w:val="18"/>
            </w:rPr>
            <w:t xml:space="preserve">
       Agência de Defesa Agropecuária do Estado do Tocantins
      </w:t>
          </w:r>
        </w:p>
      </w:tc>
      <w:tc>
        <w:tcPr>
          <w:tcW w:w="440" w:type="dxa"/>
          <w:tcBorders/>
        </w:tcPr>
        <w:p>
          <w:r>
            <w:drawing>
              <wp:inline distT="0" distB="0" distL="0" distR="0">
                <wp:extent cx="2149810" cy="889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149810" cy="88900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