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right"/>
      </w:pPr>
      <w:bookmarkStart w:name="body" w:id="0"/>
      <w:bookmarkStart w:name="contents" w:id="1"/>
      <w:r>
        <w:rPr>
          <w:rFonts w:ascii="Times New Roman" w:hAnsi="Times New Roman"/>
          <w:b w:val="false"/>
          <w:i w:val="false"/>
          <w:color w:val="000000"/>
          <w:sz w:val="22"/>
        </w:rPr>
        <w:t xml:space="preserve"/>
      </w:r>
      <w:r>
        <w:rPr>
          <w:rFonts w:hint="default" w:ascii="Arial" w:hAnsi="Arial"/>
          <w:b/>
          <w:i w:val="false"/>
          <w:color w:val="000000"/>
          <w:sz w:val="16"/>
        </w:rPr>
        <w:t>NUP:</w:t>
      </w:r>
      <w:r>
        <w:rPr>
          <w:rFonts w:hint="default" w:ascii="Arial" w:hAnsi="Arial"/>
          <w:b w:val="false"/>
          <w:i w:val="false"/>
          <w:color w:val="000000"/>
          <w:sz w:val="16"/>
        </w:rPr>
        <w:t xml:space="preserve"> 2024/34439/007038</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4"/>
        </w:rPr>
        <w:t>TERMO DE REFERÊNCIA Nº. 001/2024</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val="false"/>
          <w:i w:val="false"/>
          <w:color w:val="000000"/>
          <w:sz w:val="20"/>
        </w:rPr>
        <w:t>SC/00001/2024/ADAPEC</w:t>
      </w:r>
      <w:r>
        <w:rPr>
          <w:rFonts w:ascii="Times New Roman" w:hAnsi="Times New Roman"/>
          <w:b w:val="false"/>
          <w:i w:val="false"/>
          <w:color w:val="000000"/>
          <w:sz w:val="22"/>
        </w:rPr>
        <w:t xml:space="preserve"/>
      </w:r>
    </w:p>
    <w:p>
      <w:pPr>
        <w:spacing w:before="0" w:after="0" w:line="360"/>
        <w:ind w:left="0"/>
        <w:jc w:val="center"/>
      </w:pPr>
    </w:p>
    <w:p>
      <w:pPr>
        <w:spacing w:before="0" w:after="0" w:line="360"/>
        <w:ind w:left="0"/>
        <w:jc w:val="center"/>
      </w:pPr>
    </w:p>
    <w:p>
      <w:pPr>
        <w:spacing w:before="0" w:after="0" w:line="360"/>
        <w:ind w:left="0"/>
        <w:jc w:val="center"/>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1.</w:t>
      </w:r>
      <w:r>
        <w:rPr>
          <w:rFonts w:ascii="Times New Roman" w:hAnsi="Times New Roman"/>
          <w:b w:val="false"/>
          <w:i w:val="false"/>
          <w:color w:val="000000"/>
          <w:sz w:val="22"/>
        </w:rPr>
        <w:t xml:space="preserve"> </w:t>
      </w:r>
      <w:r>
        <w:rPr>
          <w:rFonts w:hint="default" w:ascii="Arial" w:hAnsi="Arial"/>
          <w:b/>
          <w:i w:val="false"/>
          <w:color w:val="000000"/>
          <w:sz w:val="24"/>
        </w:rPr>
        <w:t>DO OBJETO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Contratação do serviço de Certificação Digital, do tipo A3, Pessoa Física, para armazenamento em token, para suprir as necessidades administrativas da Adapec, no que se refere as certificações digitais das unidades gestoras do Órgão.</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2.</w:t>
      </w:r>
      <w:r>
        <w:rPr>
          <w:rFonts w:ascii="Times New Roman" w:hAnsi="Times New Roman"/>
          <w:b w:val="false"/>
          <w:i w:val="false"/>
          <w:color w:val="000000"/>
          <w:sz w:val="22"/>
        </w:rPr>
        <w:t xml:space="preserve"> </w:t>
      </w:r>
      <w:r>
        <w:rPr>
          <w:rFonts w:hint="default" w:ascii="Arial" w:hAnsi="Arial"/>
          <w:b/>
          <w:i w:val="false"/>
          <w:color w:val="000000"/>
          <w:sz w:val="24"/>
        </w:rPr>
        <w:t>DESTINAÇÃO DO OBJETO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 contratação visa suprir a necessidade de autenticidade vinculada aos servidores responsáveis pelo acesso a diversos sistemas de prestação de contas e de certificação digital da Agência de Defesa Agropecuária do Estado do Tocantins.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3.</w:t>
      </w:r>
      <w:r>
        <w:rPr>
          <w:rFonts w:ascii="Times New Roman" w:hAnsi="Times New Roman"/>
          <w:b w:val="false"/>
          <w:i w:val="false"/>
          <w:color w:val="000000"/>
          <w:sz w:val="22"/>
        </w:rPr>
        <w:t xml:space="preserve"> </w:t>
      </w:r>
      <w:r>
        <w:rPr>
          <w:rFonts w:hint="default" w:ascii="Arial" w:hAnsi="Arial"/>
          <w:b/>
          <w:i w:val="false"/>
          <w:color w:val="000000"/>
          <w:sz w:val="24"/>
        </w:rPr>
        <w:t>JUSTIFICATIVA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O certificado digital é um documento eletrônico que contém um nome, um número público exclusivo denominada chave pública e muitos outros dados que demonstram autenticidade tanto para pessoas quanto para os sistemas de informação com os quais interagimos.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A chave pública serve para validar uma assinatura eletrônica realizada com o uso de certificado digital. A Adapec pretende atender a demanda considerando:</w:t>
      </w:r>
      <w:r>
        <w:rPr>
          <w:rFonts w:ascii="Times New Roman" w:hAnsi="Times New Roman"/>
          <w:b w:val="false"/>
          <w:i w:val="false"/>
          <w:color w:val="000000"/>
          <w:sz w:val="22"/>
        </w:rPr>
        <w:t xml:space="preserve"/>
      </w:r>
    </w:p>
    <w:p>
      <w:pPr>
        <w:numPr>
          <w:ilvl w:val="0"/>
          <w:numId w:val="3"/>
        </w:numPr>
        <w:spacing w:before="0" w:after="0" w:line="360"/>
        <w:ind w:left="0"/>
        <w:jc w:val="both"/>
      </w:pPr>
      <w:r>
        <w:rPr>
          <w:rFonts w:hint="default" w:ascii="Arial" w:hAnsi="Arial"/>
          <w:b w:val="false"/>
          <w:i w:val="false"/>
          <w:color w:val="000000"/>
          <w:sz w:val="24"/>
        </w:rPr>
        <w:t>Considerando a mudança de servidores responsáveis pelo acesso a sistemas de prestações de contas;</w:t>
      </w:r>
    </w:p>
    <w:p>
      <w:pPr>
        <w:spacing w:before="0" w:after="0" w:line="360"/>
        <w:ind w:left="0"/>
        <w:jc w:val="both"/>
      </w:pPr>
    </w:p>
    <w:p>
      <w:pPr>
        <w:numPr>
          <w:ilvl w:val="0"/>
          <w:numId w:val="4"/>
        </w:numPr>
        <w:spacing w:before="0" w:after="0" w:line="360"/>
        <w:ind w:left="0"/>
        <w:jc w:val="both"/>
      </w:pPr>
      <w:r>
        <w:rPr>
          <w:rFonts w:hint="default" w:ascii="Arial" w:hAnsi="Arial"/>
          <w:b w:val="false"/>
          <w:i w:val="false"/>
          <w:color w:val="000000"/>
          <w:sz w:val="24"/>
        </w:rPr>
        <w:t>Considerando o fim da validade das assinaturas digitais e a defasagem dos atuais tokens utilizados na Agência;</w:t>
      </w:r>
    </w:p>
    <w:p>
      <w:pPr>
        <w:numPr>
          <w:ilvl w:val="0"/>
          <w:numId w:val="4"/>
        </w:numPr>
        <w:spacing w:before="0" w:after="0" w:line="360"/>
        <w:ind w:left="0"/>
        <w:jc w:val="both"/>
      </w:pPr>
      <w:r>
        <w:rPr>
          <w:rFonts w:hint="default" w:ascii="Arial" w:hAnsi="Arial"/>
          <w:b w:val="false"/>
          <w:i w:val="false"/>
          <w:color w:val="000000"/>
          <w:sz w:val="24"/>
        </w:rPr>
        <w:t>Considerando que a Certificação Digital é imprescindível para o encaminhamento de informações junto aos Órgãos de Controle (interno e externo), sendo assim, a contratação e essencial e indispensável para atender às necessidades deste órgão.</w:t>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4.</w:t>
      </w:r>
      <w:r>
        <w:rPr>
          <w:rFonts w:ascii="Times New Roman" w:hAnsi="Times New Roman"/>
          <w:b w:val="false"/>
          <w:i w:val="false"/>
          <w:color w:val="000000"/>
          <w:sz w:val="22"/>
        </w:rPr>
        <w:t xml:space="preserve"> </w:t>
      </w:r>
      <w:r>
        <w:rPr>
          <w:rFonts w:hint="default" w:ascii="Arial" w:hAnsi="Arial"/>
          <w:b/>
          <w:i w:val="false"/>
          <w:color w:val="000000"/>
          <w:sz w:val="24"/>
        </w:rPr>
        <w:t>DOS ESTUDOS TÉCNICOS PRELIMINARES OU PROJETOS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As especificações do objeto realizada neste Termo de Referência dispensa a elaboração de Estudo Técnico Preliminar:</w:t>
      </w:r>
      <w:r>
        <w:rPr>
          <w:rFonts w:ascii="Times New Roman" w:hAnsi="Times New Roman"/>
          <w:b w:val="false"/>
          <w:i w:val="false"/>
          <w:color w:val="000000"/>
          <w:sz w:val="22"/>
        </w:rPr>
        <w:t xml:space="preserve"/>
      </w:r>
    </w:p>
    <w:p>
      <w:pPr>
        <w:numPr>
          <w:ilvl w:val="0"/>
          <w:numId w:val="5"/>
        </w:numPr>
        <w:spacing w:before="0" w:after="0" w:line="360"/>
        <w:ind w:left="0"/>
        <w:jc w:val="both"/>
      </w:pPr>
      <w:r>
        <w:rPr>
          <w:rFonts w:hint="default" w:ascii="Arial" w:hAnsi="Arial"/>
          <w:b w:val="false"/>
          <w:i w:val="false"/>
          <w:color w:val="000000"/>
          <w:sz w:val="24"/>
        </w:rPr>
        <w:t>Considerando que a contratação pretendida se amolda no disposto no inciso II, art. 75 da Lei 14.133/21;</w:t>
      </w:r>
    </w:p>
    <w:p>
      <w:pPr>
        <w:numPr>
          <w:ilvl w:val="0"/>
          <w:numId w:val="5"/>
        </w:numPr>
        <w:spacing w:before="0" w:after="0" w:line="360"/>
        <w:ind w:left="0"/>
        <w:jc w:val="both"/>
      </w:pPr>
      <w:r>
        <w:rPr>
          <w:rFonts w:hint="default" w:ascii="Arial" w:hAnsi="Arial"/>
          <w:b w:val="false"/>
          <w:i w:val="false"/>
          <w:color w:val="000000"/>
          <w:sz w:val="24"/>
        </w:rPr>
        <w:t>Considerando se tratar da prestação de serviço comum em que se demonstrada a inexistência de prejuízo para a aferição dos padrões de desempenho e qualidade almejados neste Termo de Referência;</w:t>
      </w:r>
    </w:p>
    <w:p>
      <w:pPr>
        <w:numPr>
          <w:ilvl w:val="0"/>
          <w:numId w:val="5"/>
        </w:numPr>
        <w:spacing w:before="0" w:after="0" w:line="360"/>
        <w:ind w:left="0"/>
        <w:jc w:val="both"/>
      </w:pPr>
      <w:r>
        <w:rPr>
          <w:rFonts w:hint="default" w:ascii="Arial" w:hAnsi="Arial"/>
          <w:b w:val="false"/>
          <w:i w:val="false"/>
          <w:color w:val="000000"/>
          <w:sz w:val="24"/>
        </w:rPr>
        <w:t>Considerando que o serviço a ser contratado é a única solução possível para atender a necessidade apresentada;</w:t>
      </w:r>
    </w:p>
    <w:p>
      <w:pPr>
        <w:numPr>
          <w:ilvl w:val="0"/>
          <w:numId w:val="5"/>
        </w:numPr>
        <w:spacing w:before="0" w:after="0" w:line="360"/>
        <w:ind w:left="0"/>
        <w:jc w:val="both"/>
      </w:pPr>
      <w:r>
        <w:rPr>
          <w:rFonts w:hint="default" w:ascii="Arial" w:hAnsi="Arial"/>
          <w:b w:val="false"/>
          <w:i w:val="false"/>
          <w:color w:val="000000"/>
          <w:sz w:val="24"/>
        </w:rPr>
        <w:t>Considerando que há viabilidade técnica, socieconômica e ambiental;</w:t>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5.</w:t>
      </w:r>
      <w:r>
        <w:rPr>
          <w:rFonts w:ascii="Times New Roman" w:hAnsi="Times New Roman"/>
          <w:b w:val="false"/>
          <w:i w:val="false"/>
          <w:color w:val="000000"/>
          <w:sz w:val="22"/>
        </w:rPr>
        <w:t xml:space="preserve"> </w:t>
      </w:r>
      <w:r>
        <w:rPr>
          <w:rFonts w:hint="default" w:ascii="Arial" w:hAnsi="Arial"/>
          <w:b/>
          <w:i w:val="false"/>
          <w:color w:val="000000"/>
          <w:sz w:val="24"/>
        </w:rPr>
        <w:t>DA FUNDAMENTAÇÃO JURÍDICA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A aquisição pretendida fundamenta-se a modalidade de licitação dispensável, nos limites dos Incisos I e II do art. 75 da lei 14133/2021, através do SISTEMA DE COMPRA DIRETA, tais como: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Lei Federal nº 14.133/2021 – Lei de Licitações e Contratos Administrativos.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Lei Complementar nº 123/2006 - Institui o Estatuto Nacional da Microempresa e da Empresa de Pequeno Porte.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Decreto 6.084, de 14 de abril de 2020 - Institui o Sistema Integrado de Gestão Administrativa do Estado do Tocantins - SIGA-TO, e adota outras providências.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 xml:space="preserve">Portaria SEFAZ nº 507/2020/GABSEC de 03/06/2020 - Institui o CATÁLOGO DE MATERIAIS E SERVIÇOS a ser utilizado pelos órgãos da Administração Pública Direta e </w:t>
      </w:r>
      <w:r>
        <w:rPr>
          <w:rFonts w:hint="default" w:ascii="Arial" w:hAnsi="Arial"/>
          <w:b w:val="false"/>
          <w:i w:val="false"/>
          <w:color w:val="000000"/>
          <w:sz w:val="24"/>
        </w:rPr>
        <w:tab/>
      </w:r>
      <w:r>
        <w:rPr>
          <w:rFonts w:hint="default" w:ascii="Arial" w:hAnsi="Arial"/>
          <w:b w:val="false"/>
          <w:i w:val="false"/>
          <w:color w:val="000000"/>
          <w:sz w:val="24"/>
        </w:rPr>
        <w:t>Indireta do Poder Executivo do Estado do Tocantins e dá outras providências.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 xml:space="preserve">Portaria SEFAZ Nº 235/2021/GABSEC , de 06 de abril de 2021 </w:t>
      </w:r>
      <w:r>
        <w:rPr>
          <w:rFonts w:hint="default" w:ascii="Arial" w:hAnsi="Arial"/>
          <w:b/>
          <w:i w:val="false"/>
          <w:color w:val="000000"/>
          <w:sz w:val="24"/>
        </w:rPr>
        <w:t xml:space="preserve">- </w:t>
      </w:r>
      <w:r>
        <w:rPr>
          <w:rFonts w:hint="default" w:ascii="Arial" w:hAnsi="Arial"/>
          <w:b w:val="false"/>
          <w:i w:val="false"/>
          <w:color w:val="000000"/>
          <w:sz w:val="24"/>
        </w:rPr>
        <w:t>Define normas e procedimentos para aquisições através do SISTEMA DE COMPRA DIRETA através da Cotação Eletrônica nos limites de licitação dispensável e dá outras providências.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6.</w:t>
      </w:r>
      <w:r>
        <w:rPr>
          <w:rFonts w:ascii="Times New Roman" w:hAnsi="Times New Roman"/>
          <w:b w:val="false"/>
          <w:i w:val="false"/>
          <w:color w:val="000000"/>
          <w:sz w:val="22"/>
        </w:rPr>
        <w:t xml:space="preserve"> </w:t>
      </w:r>
      <w:r>
        <w:rPr>
          <w:rFonts w:hint="default" w:ascii="Arial" w:hAnsi="Arial"/>
          <w:b/>
          <w:i w:val="false"/>
          <w:color w:val="000000"/>
          <w:sz w:val="24"/>
        </w:rPr>
        <w:t>DA METODOLOGIA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O julgamento das propostas de preços apresentadas para os objetos deste Termo de Referência será realizado pelo critério de MENOR PREÇO POR ITEM;</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7.</w:t>
      </w:r>
      <w:r>
        <w:rPr>
          <w:rFonts w:ascii="Times New Roman" w:hAnsi="Times New Roman"/>
          <w:b w:val="false"/>
          <w:i w:val="false"/>
          <w:color w:val="000000"/>
          <w:sz w:val="22"/>
        </w:rPr>
        <w:t xml:space="preserve"> </w:t>
      </w:r>
      <w:r>
        <w:rPr>
          <w:rFonts w:hint="default" w:ascii="Arial" w:hAnsi="Arial"/>
          <w:b/>
          <w:i w:val="false"/>
          <w:color w:val="000000"/>
          <w:sz w:val="24"/>
        </w:rPr>
        <w:t>PRAZO E LOCAL DE ENTREGA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O prazo para a entrega do objeto deste Termo de Referência será de até 02 (dois) dias úteis após o recebimento da Nota de Empenho, podendo esse prazo ser alterado em virtude de interesse da Administração Pública;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O objeto deverá ser entregue na 104 Sul, Rua SE-02, 23, Conj. 03 Palmas – TO, de segunda a sexta, das 08:00 às 14:00H;</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8.</w:t>
      </w:r>
      <w:r>
        <w:rPr>
          <w:rFonts w:ascii="Times New Roman" w:hAnsi="Times New Roman"/>
          <w:b w:val="false"/>
          <w:i w:val="false"/>
          <w:color w:val="000000"/>
          <w:sz w:val="22"/>
        </w:rPr>
        <w:t xml:space="preserve"> </w:t>
      </w:r>
      <w:r>
        <w:rPr>
          <w:rFonts w:hint="default" w:ascii="Arial" w:hAnsi="Arial"/>
          <w:b/>
          <w:i w:val="false"/>
          <w:color w:val="000000"/>
          <w:sz w:val="24"/>
        </w:rPr>
        <w:t>ESPECIFICAÇÃO TÉCNICA DOS PRODUTOS</w:t>
      </w:r>
      <w:r>
        <w:rPr>
          <w:rFonts w:ascii="Times New Roman" w:hAnsi="Times New Roman"/>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Pr>
      <w:tblGrid>
        <w:gridCol w:w="306"/>
        <w:gridCol w:w="250"/>
        <w:gridCol w:w="523"/>
        <w:gridCol w:w="6887"/>
        <w:gridCol w:w="501"/>
        <w:gridCol w:w="268"/>
        <w:gridCol w:w="272"/>
        <w:gridCol w:w="281"/>
        <w:gridCol w:w="347"/>
      </w:tblGrid>
      <w:tr>
        <w:trPr>
          <w:trHeight w:val="225" w:hRule="atLeast"/>
        </w:trPr>
        <w:tc>
          <w:tcPr>
            <w:tcW w:w="0" w:type="auto"/>
            <w:gridSpan w:val="9"/>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Itens</w:t>
            </w:r>
          </w:p>
        </w:tc>
      </w:tr>
      <w:tr>
        <w:trPr>
          <w:trHeight w:val="405" w:hRule="atLeast"/>
        </w:trPr>
        <w:tc>
          <w:tcPr>
            <w:tcW w:w="159"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Tipo</w:t>
            </w:r>
          </w:p>
        </w:tc>
        <w:tc>
          <w:tcPr>
            <w:tcW w:w="129"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Item</w:t>
            </w:r>
          </w:p>
        </w:tc>
        <w:tc>
          <w:tcPr>
            <w:tcW w:w="271"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Código</w:t>
            </w:r>
          </w:p>
        </w:tc>
        <w:tc>
          <w:tcPr>
            <w:tcW w:w="3572"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Descrição</w:t>
            </w:r>
          </w:p>
        </w:tc>
        <w:tc>
          <w:tcPr>
            <w:tcW w:w="260"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Un. Aquisição</w:t>
            </w:r>
          </w:p>
        </w:tc>
        <w:tc>
          <w:tcPr>
            <w:tcW w:w="139"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Qtd.</w:t>
            </w:r>
          </w:p>
        </w:tc>
        <w:tc>
          <w:tcPr>
            <w:tcW w:w="141"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Unit.</w:t>
            </w:r>
          </w:p>
        </w:tc>
        <w:tc>
          <w:tcPr>
            <w:tcW w:w="145"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Total</w:t>
            </w:r>
          </w:p>
        </w:tc>
        <w:tc>
          <w:tcPr>
            <w:tcW w:w="180"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Acum.</w:t>
            </w:r>
          </w:p>
        </w:tc>
      </w:tr>
      <w:tr>
        <w:trPr>
          <w:trHeight w:val="435" w:hRule="atLeast"/>
        </w:trPr>
        <w:tc>
          <w:tcPr>
            <w:tcW w:w="159"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Item 001</w:t>
            </w:r>
          </w:p>
        </w:tc>
        <w:tc>
          <w:tcPr>
            <w:tcW w:w="129"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w:t>
            </w:r>
          </w:p>
        </w:tc>
        <w:tc>
          <w:tcPr>
            <w:tcW w:w="271"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00013460</w:t>
            </w:r>
          </w:p>
        </w:tc>
        <w:tc>
          <w:tcPr>
            <w:tcW w:w="3572"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Certificado digital para pessoa física (e-CPF) tipo A3, AC raiz ICP-Brasil, com prazo de validade de 3 (três) anos, para gravação em Token USB. Observação: este item será agrupado ao item dispositivo para certificado digital para pessoa física (e-CPF)</w:t>
            </w:r>
          </w:p>
        </w:tc>
        <w:tc>
          <w:tcPr>
            <w:tcW w:w="260"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1 - Serviço</w:t>
            </w:r>
          </w:p>
        </w:tc>
        <w:tc>
          <w:tcPr>
            <w:tcW w:w="139"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8,00</w:t>
            </w:r>
          </w:p>
        </w:tc>
        <w:tc>
          <w:tcPr>
            <w:tcW w:w="141"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145"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180"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r>
      <w:tr>
        <w:trPr>
          <w:trHeight w:val="255" w:hRule="atLeast"/>
        </w:trPr>
        <w:tc>
          <w:tcPr>
            <w:tcW w:w="0" w:type="pct"/>
            <w:gridSpan w:val="6"/>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right"/>
            </w:pPr>
            <w:r>
              <w:rPr>
                <w:rFonts w:ascii="Times New Roman" w:hAnsi="Times New Roman"/>
                <w:b w:val="false"/>
                <w:i w:val="false"/>
                <w:color w:val="000000"/>
                <w:sz w:val="12"/>
              </w:rPr>
              <w:t>Total (R$):</w:t>
            </w:r>
          </w:p>
        </w:tc>
        <w:tc>
          <w:tcPr>
            <w:tcW w:w="1509"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c>
          <w:tcPr>
            <w:tcW w:w="1560"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c>
          <w:tcPr>
            <w:tcW w:w="1929"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r>
    </w:tbl>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9.</w:t>
      </w:r>
      <w:r>
        <w:rPr>
          <w:rFonts w:ascii="Times New Roman" w:hAnsi="Times New Roman"/>
          <w:b w:val="false"/>
          <w:i w:val="false"/>
          <w:color w:val="000000"/>
          <w:sz w:val="22"/>
        </w:rPr>
        <w:t xml:space="preserve"> </w:t>
      </w:r>
      <w:r>
        <w:rPr>
          <w:rFonts w:hint="default" w:ascii="Arial" w:hAnsi="Arial"/>
          <w:b/>
          <w:i w:val="false"/>
          <w:color w:val="000000"/>
          <w:sz w:val="24"/>
        </w:rPr>
        <w:t>DAS OBRIGAÇÕES DA CONTRATADA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9.1.</w:t>
      </w:r>
      <w:r>
        <w:rPr>
          <w:rFonts w:ascii="Times New Roman" w:hAnsi="Times New Roman"/>
          <w:b w:val="false"/>
          <w:i w:val="false"/>
          <w:color w:val="000000"/>
          <w:sz w:val="22"/>
        </w:rPr>
        <w:t xml:space="preserve"> </w:t>
      </w:r>
      <w:r>
        <w:rPr>
          <w:rFonts w:hint="default" w:ascii="Arial" w:hAnsi="Arial"/>
          <w:b w:val="false"/>
          <w:i w:val="false"/>
          <w:color w:val="000000"/>
          <w:sz w:val="24"/>
        </w:rPr>
        <w:t>Entregar o objeto com esmero e correção, refazendo tudo quanto for impugnado pela CONTRATANTE, seja já realizado ou em execução, sem ônus para a CONTRATANTE;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9.2.</w:t>
      </w:r>
      <w:r>
        <w:rPr>
          <w:rFonts w:ascii="Times New Roman" w:hAnsi="Times New Roman"/>
          <w:b w:val="false"/>
          <w:i w:val="false"/>
          <w:color w:val="000000"/>
          <w:sz w:val="22"/>
        </w:rPr>
        <w:t xml:space="preserve"> </w:t>
      </w:r>
      <w:r>
        <w:rPr>
          <w:rFonts w:hint="default" w:ascii="Arial" w:hAnsi="Arial"/>
          <w:b w:val="false"/>
          <w:i w:val="false"/>
          <w:color w:val="000000"/>
          <w:sz w:val="24"/>
        </w:rPr>
        <w:t>Assumir, objetivamente, inteira responsabilidade civil e administrativa pela instalação do certificado digital, correndo por sua conta os ônus inerentes;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9.3.</w:t>
      </w:r>
      <w:r>
        <w:rPr>
          <w:rFonts w:ascii="Times New Roman" w:hAnsi="Times New Roman"/>
          <w:b w:val="false"/>
          <w:i w:val="false"/>
          <w:color w:val="000000"/>
          <w:sz w:val="22"/>
        </w:rPr>
        <w:t xml:space="preserve"> </w:t>
      </w:r>
      <w:r>
        <w:rPr>
          <w:rFonts w:hint="default" w:ascii="Arial" w:hAnsi="Arial"/>
          <w:b w:val="false"/>
          <w:i w:val="false"/>
          <w:color w:val="000000"/>
          <w:sz w:val="24"/>
        </w:rPr>
        <w:t>Não transferir a terceiros, por qualquer forma, nem mesmo parcialmente, o objeto da presente contratação;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9.4.</w:t>
      </w:r>
      <w:r>
        <w:rPr>
          <w:rFonts w:ascii="Times New Roman" w:hAnsi="Times New Roman"/>
          <w:b w:val="false"/>
          <w:i w:val="false"/>
          <w:color w:val="000000"/>
          <w:sz w:val="22"/>
        </w:rPr>
        <w:t xml:space="preserve"> </w:t>
      </w:r>
      <w:r>
        <w:rPr>
          <w:rFonts w:hint="default" w:ascii="Arial" w:hAnsi="Arial"/>
          <w:b w:val="false"/>
          <w:i w:val="false"/>
          <w:color w:val="000000"/>
          <w:sz w:val="24"/>
        </w:rPr>
        <w:t>Manter, durante todo o período de execução contratual, as condições de habilitação jurídica, qualificação técnica, qualificação econômico-financeira e regularidade fiscal.</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10.</w:t>
      </w:r>
      <w:r>
        <w:rPr>
          <w:rFonts w:ascii="Times New Roman" w:hAnsi="Times New Roman"/>
          <w:b w:val="false"/>
          <w:i w:val="false"/>
          <w:color w:val="000000"/>
          <w:sz w:val="22"/>
        </w:rPr>
        <w:t xml:space="preserve"> </w:t>
      </w:r>
      <w:r>
        <w:rPr>
          <w:rFonts w:hint="default" w:ascii="Arial" w:hAnsi="Arial"/>
          <w:b/>
          <w:i w:val="false"/>
          <w:color w:val="000000"/>
          <w:sz w:val="24"/>
        </w:rPr>
        <w:t>DAS OBRIGAÇÕES DA CONTRATANTE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10.1.</w:t>
      </w:r>
      <w:r>
        <w:rPr>
          <w:rFonts w:ascii="Times New Roman" w:hAnsi="Times New Roman"/>
          <w:b w:val="false"/>
          <w:i w:val="false"/>
          <w:color w:val="000000"/>
          <w:sz w:val="22"/>
        </w:rPr>
        <w:t xml:space="preserve"> </w:t>
      </w:r>
      <w:r>
        <w:rPr>
          <w:rFonts w:hint="default" w:ascii="Arial" w:hAnsi="Arial"/>
          <w:b w:val="false"/>
          <w:i w:val="false"/>
          <w:color w:val="000000"/>
          <w:sz w:val="24"/>
        </w:rPr>
        <w:t>Obriga-se a proporcionar todas as facilidades para que a CONTRATADA possa cumprir os compromissos assumidos neste Termo de Referência.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10.2.</w:t>
      </w:r>
      <w:r>
        <w:rPr>
          <w:rFonts w:ascii="Times New Roman" w:hAnsi="Times New Roman"/>
          <w:b w:val="false"/>
          <w:i w:val="false"/>
          <w:color w:val="000000"/>
          <w:sz w:val="22"/>
        </w:rPr>
        <w:t xml:space="preserve"> </w:t>
      </w:r>
      <w:r>
        <w:rPr>
          <w:rFonts w:hint="default" w:ascii="Arial" w:hAnsi="Arial"/>
          <w:b w:val="false"/>
          <w:i w:val="false"/>
          <w:color w:val="000000"/>
          <w:sz w:val="24"/>
        </w:rPr>
        <w:t>Efetuar o pagamento das obrigações assumidas;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10.3.</w:t>
      </w:r>
      <w:r>
        <w:rPr>
          <w:rFonts w:ascii="Times New Roman" w:hAnsi="Times New Roman"/>
          <w:b w:val="false"/>
          <w:i w:val="false"/>
          <w:color w:val="000000"/>
          <w:sz w:val="22"/>
        </w:rPr>
        <w:t xml:space="preserve"> </w:t>
      </w:r>
      <w:r>
        <w:rPr>
          <w:rFonts w:hint="default" w:ascii="Arial" w:hAnsi="Arial"/>
          <w:b w:val="false"/>
          <w:i w:val="false"/>
          <w:color w:val="000000"/>
          <w:sz w:val="24"/>
        </w:rPr>
        <w:t>Receber os certificados digitais mediante regular aferição de quantitativos;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10.4.</w:t>
      </w:r>
      <w:r>
        <w:rPr>
          <w:rFonts w:ascii="Times New Roman" w:hAnsi="Times New Roman"/>
          <w:b w:val="false"/>
          <w:i w:val="false"/>
          <w:color w:val="000000"/>
          <w:sz w:val="22"/>
        </w:rPr>
        <w:t xml:space="preserve"> </w:t>
      </w:r>
      <w:r>
        <w:rPr>
          <w:rFonts w:hint="default" w:ascii="Arial" w:hAnsi="Arial"/>
          <w:b w:val="false"/>
          <w:i w:val="false"/>
          <w:color w:val="000000"/>
          <w:sz w:val="24"/>
        </w:rPr>
        <w:t>Acompanhar e fiscalizar a entrega, bem como atestar na nota fiscal/fatura a efetiva entrega do objeto contratado e o seu aceite;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10.5.</w:t>
      </w:r>
      <w:r>
        <w:rPr>
          <w:rFonts w:ascii="Times New Roman" w:hAnsi="Times New Roman"/>
          <w:b w:val="false"/>
          <w:i w:val="false"/>
          <w:color w:val="000000"/>
          <w:sz w:val="22"/>
        </w:rPr>
        <w:t xml:space="preserve"> </w:t>
      </w:r>
      <w:r>
        <w:rPr>
          <w:rFonts w:hint="default" w:ascii="Arial" w:hAnsi="Arial"/>
          <w:b w:val="false"/>
          <w:i w:val="false"/>
          <w:color w:val="000000"/>
          <w:sz w:val="24"/>
        </w:rPr>
        <w:t>Aplicar as sanções regulamentares e contratuais, garantindo o contraditório e a ampla defesa;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10.6.</w:t>
      </w:r>
      <w:r>
        <w:rPr>
          <w:rFonts w:ascii="Times New Roman" w:hAnsi="Times New Roman"/>
          <w:b w:val="false"/>
          <w:i w:val="false"/>
          <w:color w:val="000000"/>
          <w:sz w:val="22"/>
        </w:rPr>
        <w:t xml:space="preserve"> </w:t>
      </w:r>
      <w:r>
        <w:rPr>
          <w:rFonts w:hint="default" w:ascii="Arial" w:hAnsi="Arial"/>
          <w:b w:val="false"/>
          <w:i w:val="false"/>
          <w:color w:val="000000"/>
          <w:sz w:val="24"/>
        </w:rPr>
        <w:t>Verificar minuciosamente, no prazo fixado, a conformidade do objeto recebido com as especificações constantes do Termo de Referência e da proposta, para fins de aceitação e recebimento definitivos;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10.7.</w:t>
      </w:r>
      <w:r>
        <w:rPr>
          <w:rFonts w:ascii="Times New Roman" w:hAnsi="Times New Roman"/>
          <w:b w:val="false"/>
          <w:i w:val="false"/>
          <w:color w:val="000000"/>
          <w:sz w:val="22"/>
        </w:rPr>
        <w:t xml:space="preserve"> </w:t>
      </w:r>
      <w:r>
        <w:rPr>
          <w:rFonts w:hint="default" w:ascii="Arial" w:hAnsi="Arial"/>
          <w:b w:val="false"/>
          <w:i w:val="false"/>
          <w:color w:val="000000"/>
          <w:sz w:val="24"/>
        </w:rPr>
        <w:t>Notificar o fornecedor, por escrito, sobre imperfeições falhas ou irregularidades constantes nos certificados digitais fornecidos, para que sejam corrigidos;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10.8.</w:t>
      </w:r>
      <w:r>
        <w:rPr>
          <w:rFonts w:ascii="Times New Roman" w:hAnsi="Times New Roman"/>
          <w:b w:val="false"/>
          <w:i w:val="false"/>
          <w:color w:val="000000"/>
          <w:sz w:val="22"/>
        </w:rPr>
        <w:t xml:space="preserve"> </w:t>
      </w:r>
      <w:r>
        <w:rPr>
          <w:rFonts w:hint="default" w:ascii="Arial" w:hAnsi="Arial"/>
          <w:b w:val="false"/>
          <w:i w:val="false"/>
          <w:color w:val="000000"/>
          <w:sz w:val="24"/>
        </w:rPr>
        <w:t>Verificar se os certificados digitais entregues pela CONTRATADA estão em conformidade com as especificações constantes deste termo, podendo sustar, recusar, mandar fazer ou desfazer qualquer fornecimento do objeto que esteja em desacordo com as especificações técnicas descritas neste Termo de Referência;</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11.</w:t>
      </w:r>
      <w:r>
        <w:rPr>
          <w:rFonts w:ascii="Times New Roman" w:hAnsi="Times New Roman"/>
          <w:b w:val="false"/>
          <w:i w:val="false"/>
          <w:color w:val="000000"/>
          <w:sz w:val="22"/>
        </w:rPr>
        <w:t xml:space="preserve"> </w:t>
      </w:r>
      <w:r>
        <w:rPr>
          <w:rFonts w:hint="default" w:ascii="Arial" w:hAnsi="Arial"/>
          <w:b/>
          <w:i w:val="false"/>
          <w:color w:val="000000"/>
          <w:sz w:val="24"/>
        </w:rPr>
        <w:t>DA GARANTIA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b/>
      </w:r>
      <w:r>
        <w:rPr>
          <w:rFonts w:hint="default" w:ascii="Arial" w:hAnsi="Arial"/>
          <w:b w:val="false"/>
          <w:i w:val="false"/>
          <w:color w:val="000000"/>
          <w:sz w:val="24"/>
        </w:rPr>
        <w:t>Prover garantia de correção e atualização motivadas por falhas técnicas e mudanças impostas por diretrizes oriundas da ICP-Brasil, pelo período mínimo de 36 (trinta e seis) meses para os certificados digitais, contados a partir da data de emissão do certificado.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12.</w:t>
      </w:r>
      <w:r>
        <w:rPr>
          <w:rFonts w:ascii="Times New Roman" w:hAnsi="Times New Roman"/>
          <w:b w:val="false"/>
          <w:i w:val="false"/>
          <w:color w:val="000000"/>
          <w:sz w:val="22"/>
        </w:rPr>
        <w:t xml:space="preserve"> </w:t>
      </w:r>
      <w:r>
        <w:rPr>
          <w:rFonts w:hint="default" w:ascii="Arial" w:hAnsi="Arial"/>
          <w:b/>
          <w:i w:val="false"/>
          <w:color w:val="000000"/>
          <w:sz w:val="24"/>
        </w:rPr>
        <w:t>DO PAGAMENTO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12.1.</w:t>
      </w:r>
      <w:r>
        <w:rPr>
          <w:rFonts w:ascii="Times New Roman" w:hAnsi="Times New Roman"/>
          <w:b w:val="false"/>
          <w:i w:val="false"/>
          <w:color w:val="000000"/>
          <w:sz w:val="22"/>
        </w:rPr>
        <w:t xml:space="preserve"> </w:t>
      </w:r>
      <w:r>
        <w:rPr>
          <w:rFonts w:hint="default" w:ascii="Arial" w:hAnsi="Arial"/>
          <w:b w:val="false"/>
          <w:i w:val="false"/>
          <w:color w:val="000000"/>
          <w:sz w:val="24"/>
        </w:rPr>
        <w:t>O pagamento será efetuado pela CONTRATANTE no prazo máximo de 30 (trinta) dias, contados da data do atesto na nota fiscal pelo setor competente, o qual observará as especificações exigidas no Termo de Referência;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12.2.</w:t>
      </w:r>
      <w:r>
        <w:rPr>
          <w:rFonts w:ascii="Times New Roman" w:hAnsi="Times New Roman"/>
          <w:b w:val="false"/>
          <w:i w:val="false"/>
          <w:color w:val="000000"/>
          <w:sz w:val="22"/>
        </w:rPr>
        <w:t xml:space="preserve"> </w:t>
      </w:r>
      <w:r>
        <w:rPr>
          <w:rFonts w:hint="default" w:ascii="Arial" w:hAnsi="Arial"/>
          <w:b w:val="false"/>
          <w:i w:val="false"/>
          <w:color w:val="000000"/>
          <w:sz w:val="24"/>
        </w:rPr>
        <w:t>A CONTRATADA deverá estar regularizada quanto à emissão de nota fiscal de acordo com sua legislação estadual;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12.3.</w:t>
      </w:r>
      <w:r>
        <w:rPr>
          <w:rFonts w:ascii="Times New Roman" w:hAnsi="Times New Roman"/>
          <w:b w:val="false"/>
          <w:i w:val="false"/>
          <w:color w:val="000000"/>
          <w:sz w:val="22"/>
        </w:rPr>
        <w:t xml:space="preserve"> </w:t>
      </w:r>
      <w:r>
        <w:rPr>
          <w:rFonts w:hint="default" w:ascii="Arial" w:hAnsi="Arial"/>
          <w:b w:val="false"/>
          <w:i w:val="false"/>
          <w:color w:val="000000"/>
          <w:sz w:val="24"/>
        </w:rPr>
        <w:t>O atesto da nota fiscal será efetuado no prazo máximo de 7 (sete) dias úteis contados do recebimento definitivo do material pelo responsável no local anteriormente mencionado;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12.4.</w:t>
      </w:r>
      <w:r>
        <w:rPr>
          <w:rFonts w:ascii="Times New Roman" w:hAnsi="Times New Roman"/>
          <w:b w:val="false"/>
          <w:i w:val="false"/>
          <w:color w:val="000000"/>
          <w:sz w:val="22"/>
        </w:rPr>
        <w:t xml:space="preserve"> </w:t>
      </w:r>
      <w:r>
        <w:rPr>
          <w:rFonts w:hint="default" w:ascii="Arial" w:hAnsi="Arial"/>
          <w:b w:val="false"/>
          <w:i w:val="false"/>
          <w:color w:val="000000"/>
          <w:sz w:val="24"/>
        </w:rPr>
        <w:t>A nota fiscal que contiver erro será devolvida à CONTRATADA para retificação e reapresentação, iniciando a contagem dos prazos fixados para o ATESTO a partir do recebimento da Nota Fiscal corrigida.</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13.</w:t>
      </w:r>
      <w:r>
        <w:rPr>
          <w:rFonts w:ascii="Times New Roman" w:hAnsi="Times New Roman"/>
          <w:b w:val="false"/>
          <w:i w:val="false"/>
          <w:color w:val="000000"/>
          <w:sz w:val="22"/>
        </w:rPr>
        <w:t xml:space="preserve"> </w:t>
      </w:r>
      <w:r>
        <w:rPr>
          <w:rFonts w:hint="default" w:ascii="Arial" w:hAnsi="Arial"/>
          <w:b/>
          <w:i w:val="false"/>
          <w:color w:val="000000"/>
          <w:sz w:val="24"/>
        </w:rPr>
        <w:t>DOTAÇÃO ORÇAMENTÁRIA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Os recursos para cobrir as despesas decorrentes da contratação, estão contemplados no Orçamento de 2024:</w:t>
      </w:r>
      <w:r>
        <w:rPr>
          <w:rFonts w:ascii="Times New Roman" w:hAnsi="Times New Roman"/>
          <w:b w:val="false"/>
          <w:i w:val="false"/>
          <w:color w:val="000000"/>
          <w:sz w:val="22"/>
        </w:rPr>
        <w:t xml:space="preserve"/>
      </w:r>
    </w:p>
    <w:p>
      <w:pPr>
        <w:spacing w:before="0" w:after="0" w:line="360"/>
        <w:ind w:left="0"/>
        <w:jc w:val="both"/>
      </w:pPr>
    </w:p>
    <w:tbl>
      <w:tblPr>
        <w:tblW w:w="5000" w:type="pct"/>
        <w:jc w:val="center"/>
        <w:tblCellSpacing w:w="0" w:type="auto"/>
        <w:tblBorders>
          <w:top w:val="none"/>
          <w:left w:val="none"/>
          <w:bottom w:val="none"/>
          <w:right w:val="none"/>
          <w:insideH w:val="none"/>
          <w:insideV w:val="none"/>
        </w:tblBorders>
      </w:tblPr>
      <w:tblGrid>
        <w:gridCol w:w="3474"/>
        <w:gridCol w:w="2323"/>
        <w:gridCol w:w="1955"/>
        <w:gridCol w:w="703"/>
        <w:gridCol w:w="1182"/>
      </w:tblGrid>
      <w:tr>
        <w:trPr>
          <w:trHeight w:val="225" w:hRule="atLeast"/>
        </w:trPr>
        <w:tc>
          <w:tcPr>
            <w:tcW w:w="0" w:type="auto"/>
            <w:gridSpan w:val="5"/>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Dotação</w:t>
            </w:r>
          </w:p>
        </w:tc>
      </w:tr>
      <w:tr>
        <w:trPr>
          <w:trHeight w:val="225" w:hRule="atLeast"/>
        </w:trPr>
        <w:tc>
          <w:tcPr>
            <w:tcW w:w="1802"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Funcional Programática</w:t>
            </w:r>
          </w:p>
        </w:tc>
        <w:tc>
          <w:tcPr>
            <w:tcW w:w="1205"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Natureza de Despesa</w:t>
            </w:r>
          </w:p>
        </w:tc>
        <w:tc>
          <w:tcPr>
            <w:tcW w:w="1014"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Fonte de Recurso</w:t>
            </w:r>
          </w:p>
        </w:tc>
        <w:tc>
          <w:tcPr>
            <w:tcW w:w="364"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Valor</w:t>
            </w:r>
          </w:p>
        </w:tc>
        <w:tc>
          <w:tcPr>
            <w:tcW w:w="613" w:type="pct"/>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Exercício.</w:t>
            </w:r>
          </w:p>
        </w:tc>
      </w:tr>
      <w:tr>
        <w:trPr>
          <w:trHeight w:val="255" w:hRule="atLeast"/>
        </w:trPr>
        <w:tc>
          <w:tcPr>
            <w:tcW w:w="1802"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345300 34530 2012211484080</w:t>
            </w:r>
          </w:p>
        </w:tc>
        <w:tc>
          <w:tcPr>
            <w:tcW w:w="1205"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33904013</w:t>
            </w:r>
          </w:p>
        </w:tc>
        <w:tc>
          <w:tcPr>
            <w:tcW w:w="1014"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7591666666</w:t>
            </w:r>
          </w:p>
        </w:tc>
        <w:tc>
          <w:tcPr>
            <w:tcW w:w="364"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613" w:type="pct"/>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2024</w:t>
            </w:r>
          </w:p>
        </w:tc>
      </w:tr>
      <w:tr>
        <w:trPr>
          <w:trHeight w:val="255" w:hRule="atLeast"/>
        </w:trPr>
        <w:tc>
          <w:tcPr>
            <w:tcW w:w="0" w:type="auto"/>
            <w:gridSpan w:val="3"/>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right"/>
            </w:pPr>
            <w:r>
              <w:rPr>
                <w:rFonts w:ascii="Times New Roman" w:hAnsi="Times New Roman"/>
                <w:b w:val="false"/>
                <w:i w:val="false"/>
                <w:color w:val="000000"/>
                <w:sz w:val="12"/>
              </w:rPr>
              <w:t>Custo total estimado (R$):</w:t>
            </w:r>
          </w:p>
        </w:tc>
        <w:tc>
          <w:tcPr>
            <w:tcW w:w="0" w:type="auto"/>
            <w:gridSpan w:val="2"/>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r>
    </w:tbl>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ascii="Times New Roman" w:hAnsi="Times New Roman"/>
          <w:b/>
          <w:i w:val="false"/>
          <w:color w:val="000000"/>
          <w:sz w:val="22"/>
        </w:rPr>
        <w:t>ASSINATURAS:</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4"/>
        </w:rPr>
        <w:t>Rejânia Aparecida da Silva</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val="false"/>
          <w:i w:val="false"/>
          <w:color w:val="000000"/>
          <w:sz w:val="24"/>
        </w:rPr>
        <w:t>Solicitante</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4"/>
        </w:rPr>
        <w:t>Ayla Dias Gomes Batista</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val="false"/>
          <w:i w:val="false"/>
          <w:color w:val="000000"/>
          <w:sz w:val="24"/>
        </w:rPr>
        <w:t>Diretoria de Administração e Finanças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Autorizo,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Observados os aspectos legais, formais e éticos.</w:t>
      </w:r>
      <w:r>
        <w:rPr>
          <w:rFonts w:ascii="Times New Roman" w:hAnsi="Times New Roman"/>
          <w:b w:val="false"/>
          <w:i w:val="false"/>
          <w:color w:val="000000"/>
          <w:sz w:val="22"/>
        </w:rPr>
        <w:t xml:space="preserve"/>
      </w:r>
    </w:p>
    <w:p>
      <w:pPr>
        <w:spacing w:before="0" w:after="0" w:line="360"/>
        <w:ind w:left="0"/>
        <w:jc w:val="center"/>
      </w:pPr>
    </w:p>
    <w:p>
      <w:pPr>
        <w:spacing w:before="0" w:after="0" w:line="360"/>
        <w:ind w:left="0"/>
        <w:jc w:val="center"/>
      </w:pP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4"/>
        </w:rPr>
        <w:t>Paulo Antônio Lima</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val="false"/>
          <w:i w:val="false"/>
          <w:color w:val="000000"/>
          <w:sz w:val="24"/>
        </w:rPr>
        <w:t>Presidente</w:t>
      </w:r>
      <w:r>
        <w:rPr>
          <w:rFonts w:ascii="Times New Roman" w:hAnsi="Times New Roman"/>
          <w:b w:val="false"/>
          <w:i w:val="false"/>
          <w:color w:val="000000"/>
          <w:sz w:val="22"/>
        </w:rPr>
        <w:t xml:space="preserve"/>
      </w:r>
    </w:p>
    <w:p>
      <w:pPr>
        <w:spacing w:before="0" w:after="0" w:line="360"/>
        <w:ind w:left="0"/>
        <w:jc w:val="both"/>
      </w:pPr>
    </w:p>
    <w:bookmarkEnd w:id="1"/>
    <w:bookmarkEnd w:id="0"/>
    <w:sectPr>
      <w:headerReference w:type="default" r:id="rId4"/>
      <w:footerReference w:type="default" r:id="rId5"/>
      <w:pgSz w:w="11907" w:h="16839" w:code="9"/>
      <w:pgMar w:top="3402" w:right="1134" w:bottom="1701" w:left="1134"/>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2977"/>
      <w:gridCol w:w="1358"/>
    </w:tblGrid>
    <w:tr>
      <w:trPr>
        <w:trHeight w:val="210" w:hRule="atLeast"/>
      </w:trPr>
      <w:tc>
        <w:tcPr>
          <w:tcW w:w="2977"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Governo do Estado do Tocantins</w:t>
          </w:r>
        </w:p>
      </w:tc>
      <w:tc>
        <w:tcPr>
          <w:tcW w:w="1358"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 xml:space="preserve">Pág. </w:t>
          </w:r>
          <w:r>
            <w:rPr>
              <w:rFonts w:hint="default" w:ascii="Arial" w:hAnsi="Arial"/>
              <w:b w:val="false"/>
              <w:i w:val="false"/>
              <w:color w:val="000000"/>
              <w:sz w:val="16"/>
            </w:rPr>
            <w:t>{{page}}</w:t>
          </w:r>
        </w:p>
      </w:tc>
    </w:tr>
  </w:tbl>
</w:ftr>
</file>

<file path=word/header.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5890"/>
      <w:gridCol w:w="440"/>
    </w:tblGrid>
    <w:tr>
      <w:trPr>
        <w:trHeight w:val="1050" w:hRule="atLeast"/>
      </w:trPr>
      <w:tc>
        <w:tcPr>
          <w:tcW w:w="5890" w:type="dxa"/>
          <w:tcBorders/>
          <w:tcMar>
            <w:top w:w="15" w:type="dxa"/>
            <w:left w:w="15" w:type="dxa"/>
            <w:bottom w:w="15" w:type="dxa"/>
            <w:right w:w="15" w:type="dxa"/>
          </w:tcMar>
          <w:vAlign w:val="center"/>
        </w:tcPr>
        <w:p>
          <w:pPr>
            <w:spacing w:before="0" w:after="0"/>
            <w:ind w:left="135"/>
            <w:jc w:val="right"/>
          </w:pPr>
          <w:r>
            <w:rPr>
              <w:rFonts w:hint="default" w:ascii="Arial" w:hAnsi="Arial"/>
              <w:b/>
              <w:i w:val="false"/>
              <w:color w:val="000000"/>
              <w:sz w:val="18"/>
            </w:rPr>
            <w:t xml:space="preserve"> Agência de Defesa Agropecuária do Estado do Tocantins </w:t>
          </w:r>
        </w:p>
      </w:tc>
      <w:tc>
        <w:tcPr>
          <w:tcW w:w="440" w:type="dxa"/>
          <w:tcBorders/>
          <w:tcMar>
            <w:top w:w="15" w:type="dxa"/>
            <w:left w:w="150" w:type="dxa"/>
            <w:bottom w:w="15" w:type="dxa"/>
            <w:right w:w="150" w:type="dxa"/>
          </w:tcMar>
          <w:vAlign w:val="center"/>
        </w:tcPr>
        <w:p>
          <w:r>
            <w:drawing>
              <wp:inline distT="0" distB="0" distL="0" distR="0">
                <wp:extent cx="1611610" cy="66675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1611610" cy="666750"/>
                        </a:xfrm>
                        <a:prstGeom prst="rect">
                          <a:avLst/>
                        </a:prstGeom>
                      </pic:spPr>
                    </pic:pic>
                  </a:graphicData>
                </a:graphic>
              </wp:inline>
            </w:drawing>
          </w:r>
        </w:p>
      </w:tc>
    </w:tr>
  </w:tbl>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bullet"/>
      <w:lvlText w:val=""/>
      <w:lvlJc w:val="left"/>
      <w:pPr>
        <w:ind w:left="960" w:hanging="360"/>
      </w:pPr>
      <w:rPr>
        <w:rFonts w:hint="default" w:ascii="Symbol" w:hAnsi="Symbol"/>
      </w:rPr>
    </w:lvl>
  </w:abstractNum>
  <w:abstractNum w:abstractNumId="4">
    <w:multiLevelType w:val="multilevel"/>
    <w:lvl w:ilvl="0">
      <w:start w:val="1"/>
      <w:numFmt w:val="bullet"/>
      <w:lvlText w:val=""/>
      <w:lvlJc w:val="left"/>
      <w:pPr>
        <w:ind w:left="960" w:hanging="360"/>
      </w:pPr>
      <w:rPr>
        <w:rFonts w:hint="default" w:ascii="Symbol" w:hAnsi="Symbol"/>
      </w:rPr>
    </w:lvl>
  </w:abstractNum>
  <w:abstractNum w:abstractNumId="5">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0"/>
  </w:num>
  <w:num w:numId="3">
    <w:abstractNumId w:val="3"/>
  </w:num>
  <w:num w:numId="4">
    <w:abstractNumId w:val="4"/>
  </w:num>
  <w:num w:numId="5">
    <w:abstractNumId w:val="5"/>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header.xml" Type="http://schemas.openxmlformats.org/officeDocument/2006/relationships/header" Id="rId4"/>
    <Relationship Target="footer.xml" Type="http://schemas.openxmlformats.org/officeDocument/2006/relationships/footer" Id="rId5"/>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