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INEXIGIBILIDADE DE LICITAÇÃO</w:t>
      </w:r>
    </w:p>
    <w:p>
      <w:pPr>
        <w:pStyle w:val="21"/>
        <w:jc w:val="center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  <w:lang w:val="pt-BR"/>
        </w:rPr>
        <w:t>009/2024</w:t>
      </w:r>
      <w:bookmarkStart w:id="0" w:name="_GoBack"/>
      <w:bookmarkEnd w:id="0"/>
    </w:p>
    <w:p>
      <w:pPr>
        <w:pStyle w:val="21"/>
        <w:jc w:val="both"/>
        <w:rPr>
          <w:rFonts w:ascii="Arial" w:hAnsi="Arial" w:cs="Arial"/>
          <w:sz w:val="24"/>
          <w:szCs w:val="24"/>
        </w:rPr>
      </w:pPr>
    </w:p>
    <w:p>
      <w:pPr>
        <w:jc w:val="both"/>
        <w:rPr>
          <w:rFonts w:ascii="Arial" w:hAnsi="Arial" w:cs="Arial"/>
          <w:sz w:val="24"/>
          <w:szCs w:val="24"/>
        </w:rPr>
      </w:pPr>
    </w:p>
    <w:p>
      <w:pPr>
        <w:spacing w:line="360" w:lineRule="auto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</w:rPr>
        <w:t>O Instituto de Previdência dos Servidores do Município de Guarapari/ES</w:t>
      </w:r>
      <w:r>
        <w:rPr>
          <w:rFonts w:hint="default" w:ascii="Arial" w:hAnsi="Arial" w:cs="Arial"/>
          <w:sz w:val="24"/>
          <w:szCs w:val="24"/>
        </w:rPr>
        <w:t>, através d</w:t>
      </w:r>
      <w:r>
        <w:rPr>
          <w:rFonts w:hint="default" w:ascii="Arial" w:hAnsi="Arial" w:cs="Arial"/>
          <w:sz w:val="24"/>
          <w:szCs w:val="24"/>
          <w:lang w:val="pt-BR"/>
        </w:rPr>
        <w:t>o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seu </w:t>
      </w:r>
      <w:r>
        <w:rPr>
          <w:rFonts w:hint="default" w:ascii="Arial" w:hAnsi="Arial" w:cs="Arial"/>
          <w:sz w:val="24"/>
          <w:szCs w:val="24"/>
        </w:rPr>
        <w:t xml:space="preserve">Diretor Presidente, ratifica o parecer favorável à contratação por </w:t>
      </w:r>
      <w:r>
        <w:rPr>
          <w:rFonts w:hint="default" w:ascii="Arial" w:hAnsi="Arial" w:cs="Arial"/>
          <w:b/>
          <w:bCs/>
          <w:sz w:val="24"/>
          <w:szCs w:val="24"/>
        </w:rPr>
        <w:t>INEXIGIBILIDADE</w:t>
      </w:r>
      <w:r>
        <w:rPr>
          <w:rFonts w:hint="default" w:ascii="Arial" w:hAnsi="Arial" w:cs="Arial"/>
          <w:sz w:val="24"/>
          <w:szCs w:val="24"/>
        </w:rPr>
        <w:t xml:space="preserve"> de licitação </w:t>
      </w:r>
      <w:r>
        <w:rPr>
          <w:rFonts w:hint="default" w:ascii="Arial" w:hAnsi="Arial" w:cs="Arial"/>
          <w:sz w:val="24"/>
          <w:szCs w:val="24"/>
          <w:lang w:val="pt-BR"/>
        </w:rPr>
        <w:t>a empresa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pt-BR"/>
        </w:rPr>
        <w:t xml:space="preserve"> </w:t>
      </w:r>
      <w:r>
        <w:rPr>
          <w:rFonts w:hint="default" w:ascii="Arial" w:hAnsi="Arial" w:eastAsia="Roboto"/>
          <w:b/>
          <w:bCs/>
          <w:i w:val="0"/>
          <w:iCs w:val="0"/>
          <w:color w:val="auto"/>
          <w:spacing w:val="0"/>
          <w:sz w:val="24"/>
          <w:szCs w:val="24"/>
          <w:lang w:val="pt-BR"/>
        </w:rPr>
        <w:t>ACIP (Associação Capixaba dos Institutos de Previdência)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, </w:t>
      </w:r>
      <w:r>
        <w:rPr>
          <w:rFonts w:hint="default" w:ascii="Arial" w:hAnsi="Arial" w:cs="Arial"/>
          <w:sz w:val="24"/>
          <w:szCs w:val="24"/>
          <w:lang w:val="pt-BR"/>
        </w:rPr>
        <w:t xml:space="preserve">referente a inscrição dos servidores no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17</w:t>
      </w:r>
      <w:r>
        <w:rPr>
          <w:rFonts w:hint="default" w:ascii="Arial" w:hAnsi="Arial" w:eastAsia="SimSun" w:cs="Arial"/>
          <w:b/>
          <w:bCs/>
          <w:i w:val="0"/>
          <w:caps w:val="0"/>
          <w:color w:val="000000"/>
          <w:spacing w:val="0"/>
          <w:sz w:val="24"/>
          <w:szCs w:val="24"/>
        </w:rPr>
        <w:t xml:space="preserve">º </w:t>
      </w:r>
      <w:r>
        <w:rPr>
          <w:rFonts w:hint="default" w:ascii="Arial" w:hAnsi="Arial" w:eastAsia="SimSun"/>
          <w:b/>
          <w:bCs/>
          <w:i w:val="0"/>
          <w:caps w:val="0"/>
          <w:color w:val="000000"/>
          <w:spacing w:val="0"/>
          <w:sz w:val="24"/>
          <w:szCs w:val="24"/>
        </w:rPr>
        <w:t>Seminário Capixaba de Previdência</w:t>
      </w:r>
      <w:r>
        <w:rPr>
          <w:rFonts w:hint="default" w:ascii="Arial" w:hAnsi="Arial" w:eastAsia="SimSun"/>
          <w:b/>
          <w:bCs/>
          <w:i w:val="0"/>
          <w:caps w:val="0"/>
          <w:color w:val="000000"/>
          <w:spacing w:val="0"/>
          <w:sz w:val="24"/>
          <w:szCs w:val="24"/>
          <w:lang w:val="pt-BR"/>
        </w:rPr>
        <w:t xml:space="preserve"> promovido pela ACIP (Associação Capixaba dos institutos de Previdência)</w:t>
      </w:r>
      <w:r>
        <w:rPr>
          <w:rFonts w:hint="default" w:ascii="Arial" w:hAnsi="Arial" w:eastAsia="SimSun"/>
          <w:b/>
          <w:bCs/>
          <w:sz w:val="24"/>
          <w:szCs w:val="24"/>
        </w:rPr>
        <w:t>.</w:t>
      </w:r>
      <w:r>
        <w:rPr>
          <w:rFonts w:hint="default" w:ascii="Arial" w:hAnsi="Arial" w:eastAsia="SimSun"/>
          <w:sz w:val="24"/>
          <w:szCs w:val="24"/>
        </w:rPr>
        <w:t xml:space="preserve"> Dias 2</w:t>
      </w:r>
      <w:r>
        <w:rPr>
          <w:rFonts w:hint="default" w:ascii="Arial" w:hAnsi="Arial" w:eastAsia="SimSun"/>
          <w:sz w:val="24"/>
          <w:szCs w:val="24"/>
          <w:lang w:val="pt-BR"/>
        </w:rPr>
        <w:t>1</w:t>
      </w:r>
      <w:r>
        <w:rPr>
          <w:rFonts w:hint="default" w:ascii="Arial" w:hAnsi="Arial" w:eastAsia="SimSun"/>
          <w:sz w:val="24"/>
          <w:szCs w:val="24"/>
        </w:rPr>
        <w:t xml:space="preserve"> e 2</w:t>
      </w:r>
      <w:r>
        <w:rPr>
          <w:rFonts w:hint="default" w:ascii="Arial" w:hAnsi="Arial" w:eastAsia="SimSun"/>
          <w:sz w:val="24"/>
          <w:szCs w:val="24"/>
          <w:lang w:val="pt-BR"/>
        </w:rPr>
        <w:t>2</w:t>
      </w:r>
      <w:r>
        <w:rPr>
          <w:rFonts w:hint="default" w:ascii="Arial" w:hAnsi="Arial" w:eastAsia="SimSun"/>
          <w:sz w:val="24"/>
          <w:szCs w:val="24"/>
        </w:rPr>
        <w:t xml:space="preserve"> de </w:t>
      </w:r>
      <w:r>
        <w:rPr>
          <w:rFonts w:hint="default" w:ascii="Arial" w:hAnsi="Arial" w:eastAsia="SimSun"/>
          <w:sz w:val="24"/>
          <w:szCs w:val="24"/>
          <w:lang w:val="pt-BR"/>
        </w:rPr>
        <w:t>maio</w:t>
      </w:r>
      <w:r>
        <w:rPr>
          <w:rFonts w:hint="default" w:ascii="Arial" w:hAnsi="Arial" w:eastAsia="SimSun"/>
          <w:sz w:val="24"/>
          <w:szCs w:val="24"/>
        </w:rPr>
        <w:t xml:space="preserve"> de 2024,  no Hotel </w:t>
      </w:r>
      <w:r>
        <w:rPr>
          <w:rFonts w:hint="default" w:ascii="Arial" w:hAnsi="Arial" w:eastAsia="SimSun"/>
          <w:sz w:val="24"/>
          <w:szCs w:val="24"/>
          <w:lang w:val="pt-BR"/>
        </w:rPr>
        <w:t>SESC</w:t>
      </w:r>
      <w:r>
        <w:rPr>
          <w:rFonts w:hint="default" w:ascii="Arial" w:hAnsi="Arial" w:eastAsia="SimSun"/>
          <w:sz w:val="24"/>
          <w:szCs w:val="24"/>
        </w:rPr>
        <w:t xml:space="preserve">, </w:t>
      </w:r>
      <w:r>
        <w:rPr>
          <w:rFonts w:hint="default" w:ascii="Arial" w:hAnsi="Arial" w:eastAsia="SimSun"/>
          <w:sz w:val="24"/>
          <w:szCs w:val="24"/>
          <w:lang w:val="pt-BR"/>
        </w:rPr>
        <w:t>Guarapari</w:t>
      </w:r>
      <w:r>
        <w:rPr>
          <w:rFonts w:hint="default" w:ascii="Arial" w:hAnsi="Arial" w:eastAsia="SimSun"/>
          <w:sz w:val="24"/>
          <w:szCs w:val="24"/>
        </w:rPr>
        <w:t>/ES</w:t>
      </w:r>
      <w:r>
        <w:rPr>
          <w:rFonts w:hint="default" w:ascii="Arial" w:hAnsi="Arial"/>
          <w:sz w:val="24"/>
          <w:szCs w:val="24"/>
          <w:lang w:val="pt-BR"/>
        </w:rPr>
        <w:t>,</w:t>
      </w:r>
      <w:r>
        <w:rPr>
          <w:rFonts w:hint="default" w:ascii="Arial" w:hAnsi="Arial" w:cs="Arial"/>
          <w:bCs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de </w:t>
      </w:r>
      <w:r>
        <w:rPr>
          <w:rFonts w:hint="default" w:ascii="Arial" w:hAnsi="Arial" w:cs="Arial"/>
          <w:sz w:val="24"/>
          <w:szCs w:val="24"/>
        </w:rPr>
        <w:t xml:space="preserve">acordo com o art. </w:t>
      </w:r>
      <w:r>
        <w:rPr>
          <w:rFonts w:hint="default" w:ascii="Arial" w:hAnsi="Arial" w:cs="Arial"/>
          <w:sz w:val="24"/>
          <w:szCs w:val="24"/>
          <w:lang w:val="pt-BR"/>
        </w:rPr>
        <w:t>74</w:t>
      </w:r>
      <w:r>
        <w:rPr>
          <w:rFonts w:hint="default" w:ascii="Arial" w:hAnsi="Arial" w:cs="Arial"/>
          <w:sz w:val="24"/>
          <w:szCs w:val="24"/>
        </w:rPr>
        <w:t>, inciso I</w:t>
      </w:r>
      <w:r>
        <w:rPr>
          <w:rFonts w:hint="default" w:ascii="Arial" w:hAnsi="Arial" w:cs="Arial"/>
          <w:sz w:val="24"/>
          <w:szCs w:val="24"/>
          <w:lang w:val="pt-BR"/>
        </w:rPr>
        <w:t>I</w:t>
      </w:r>
      <w:r>
        <w:rPr>
          <w:rFonts w:hint="default" w:ascii="Arial" w:hAnsi="Arial" w:cs="Arial"/>
          <w:sz w:val="24"/>
          <w:szCs w:val="24"/>
        </w:rPr>
        <w:t xml:space="preserve">I, da Lei nº </w:t>
      </w:r>
      <w:r>
        <w:rPr>
          <w:rFonts w:hint="default" w:ascii="Arial" w:hAnsi="Arial" w:cs="Arial"/>
          <w:sz w:val="24"/>
          <w:szCs w:val="24"/>
          <w:lang w:val="pt-BR"/>
        </w:rPr>
        <w:t>14.133/21</w:t>
      </w:r>
      <w:r>
        <w:rPr>
          <w:rFonts w:hint="default" w:ascii="Arial" w:hAnsi="Arial" w:cs="Arial"/>
          <w:sz w:val="24"/>
          <w:szCs w:val="24"/>
        </w:rPr>
        <w:t xml:space="preserve">. Tudo em conformidade com o processo nº </w:t>
      </w:r>
      <w:r>
        <w:rPr>
          <w:rFonts w:hint="default" w:ascii="Arial" w:hAnsi="Arial" w:cs="Arial"/>
          <w:sz w:val="24"/>
          <w:szCs w:val="24"/>
          <w:lang w:val="pt-BR"/>
        </w:rPr>
        <w:t>200265/2024</w:t>
      </w:r>
    </w:p>
    <w:p>
      <w:pPr>
        <w:pStyle w:val="21"/>
        <w:jc w:val="center"/>
        <w:rPr>
          <w:rFonts w:hint="default" w:ascii="Arial" w:hAnsi="Arial" w:cs="Arial"/>
          <w:sz w:val="24"/>
          <w:szCs w:val="24"/>
        </w:rPr>
      </w:pPr>
    </w:p>
    <w:p>
      <w:pPr>
        <w:pStyle w:val="2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Guarapari / ES,</w:t>
      </w:r>
      <w:r>
        <w:rPr>
          <w:rFonts w:hint="default" w:ascii="Arial" w:hAnsi="Arial" w:cs="Arial"/>
          <w:sz w:val="24"/>
          <w:szCs w:val="24"/>
          <w:lang w:val="pt-BR"/>
        </w:rPr>
        <w:t xml:space="preserve"> 22</w:t>
      </w:r>
      <w:r>
        <w:rPr>
          <w:rFonts w:ascii="Arial" w:hAnsi="Arial" w:cs="Arial"/>
          <w:sz w:val="24"/>
          <w:szCs w:val="24"/>
        </w:rPr>
        <w:t xml:space="preserve"> de</w:t>
      </w:r>
      <w:r>
        <w:rPr>
          <w:rFonts w:hint="default" w:ascii="Arial" w:hAnsi="Arial" w:cs="Arial"/>
          <w:sz w:val="24"/>
          <w:szCs w:val="24"/>
          <w:lang w:val="pt-BR"/>
        </w:rPr>
        <w:t xml:space="preserve"> abril</w:t>
      </w:r>
      <w:r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  <w:lang w:val="pt-BR"/>
        </w:rPr>
        <w:t>2</w:t>
      </w:r>
      <w:r>
        <w:rPr>
          <w:rFonts w:hint="default" w:ascii="Arial" w:hAnsi="Arial" w:cs="Arial"/>
          <w:sz w:val="24"/>
          <w:szCs w:val="24"/>
          <w:lang w:val="pt-BR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>
      <w:pPr>
        <w:pStyle w:val="21"/>
        <w:jc w:val="center"/>
        <w:rPr>
          <w:rFonts w:ascii="Arial" w:hAnsi="Arial" w:cs="Arial"/>
          <w:sz w:val="24"/>
          <w:szCs w:val="24"/>
        </w:rPr>
      </w:pPr>
    </w:p>
    <w:p>
      <w:pPr>
        <w:pStyle w:val="21"/>
        <w:jc w:val="center"/>
        <w:rPr>
          <w:rFonts w:ascii="Arial" w:hAnsi="Arial" w:cs="Arial"/>
          <w:sz w:val="24"/>
          <w:szCs w:val="24"/>
        </w:rPr>
      </w:pPr>
    </w:p>
    <w:p>
      <w:pPr>
        <w:pStyle w:val="21"/>
        <w:jc w:val="center"/>
        <w:rPr>
          <w:rFonts w:ascii="Arial" w:hAnsi="Arial" w:cs="Arial"/>
          <w:sz w:val="24"/>
          <w:szCs w:val="24"/>
        </w:rPr>
      </w:pPr>
    </w:p>
    <w:p>
      <w:pPr>
        <w:pStyle w:val="21"/>
        <w:jc w:val="center"/>
        <w:rPr>
          <w:rFonts w:ascii="Arial" w:hAnsi="Arial" w:cs="Arial"/>
          <w:sz w:val="24"/>
          <w:szCs w:val="24"/>
        </w:rPr>
      </w:pPr>
    </w:p>
    <w:p>
      <w:pPr>
        <w:pStyle w:val="21"/>
        <w:jc w:val="center"/>
        <w:rPr>
          <w:rFonts w:ascii="Arial" w:hAnsi="Arial" w:cs="Arial"/>
          <w:sz w:val="24"/>
          <w:szCs w:val="24"/>
        </w:rPr>
      </w:pPr>
    </w:p>
    <w:p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  <w:lang w:val="pt-BR"/>
        </w:rPr>
        <w:t>MARLENO MEDEIROS OLIVEIRA</w:t>
      </w:r>
    </w:p>
    <w:p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Diretor Presidente do Instituto de Previdência dos</w:t>
      </w:r>
    </w:p>
    <w:p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Servidores do Município de Guarapari / ES – IPG</w:t>
      </w:r>
    </w:p>
    <w:p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</w:p>
    <w:p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>
      <w:pPr>
        <w:pStyle w:val="21"/>
        <w:rPr>
          <w:rFonts w:ascii="Arial" w:hAnsi="Arial" w:cs="Arial"/>
          <w:sz w:val="24"/>
          <w:szCs w:val="24"/>
          <w:lang w:eastAsia="pt-BR"/>
        </w:rPr>
      </w:pPr>
    </w:p>
    <w:sectPr>
      <w:headerReference r:id="rId5" w:type="default"/>
      <w:footerReference r:id="rId6" w:type="default"/>
      <w:pgSz w:w="11906" w:h="16838"/>
      <w:pgMar w:top="1134" w:right="1418" w:bottom="1134" w:left="1134" w:header="709" w:footer="709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637"/>
      <w:gridCol w:w="7367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1637" w:type="dxa"/>
          <w:noWrap w:val="0"/>
          <w:vAlign w:val="top"/>
        </w:tcPr>
        <w:p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object>
              <v:shape id="_x0000_i1025" o:spt="75" type="#_x0000_t75" style="height:36.05pt;width:42.65pt;" o:ole="t" filled="f" o:preferrelative="t" stroked="f" coordsize="21600,21600">
                <v:path/>
                <v:fill on="f" focussize="0,0"/>
                <v:stroke on="f"/>
                <v:imagedata r:id="rId2" o:title=""/>
                <o:lock v:ext="edit" aspectratio="t"/>
                <w10:wrap type="none"/>
                <w10:anchorlock/>
              </v:shape>
              <o:OLEObject Type="Embed" ProgID="CorelDRAW.Graphic.12" ShapeID="_x0000_i1025" DrawAspect="Content" ObjectID="_1468075725" r:id="rId1">
                <o:LockedField>false</o:LockedField>
              </o:OLEObject>
            </w:object>
          </w:r>
        </w:p>
      </w:tc>
      <w:tc>
        <w:tcPr>
          <w:tcW w:w="7367" w:type="dxa"/>
          <w:noWrap w:val="0"/>
          <w:vAlign w:val="bottom"/>
        </w:tcPr>
        <w:p>
          <w:pPr>
            <w:spacing w:after="0" w:line="240" w:lineRule="auto"/>
            <w:jc w:val="right"/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 xml:space="preserve">Página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PAGE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  <w:r>
            <w:rPr>
              <w:rFonts w:ascii="Arial" w:hAnsi="Arial" w:cs="Arial"/>
              <w:b/>
              <w:sz w:val="14"/>
              <w:szCs w:val="14"/>
            </w:rPr>
            <w:t xml:space="preserve"> de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NUMPAGES 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</w:p>
        <w:p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  <w:p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Rua Alencar Moraes de Rezende, 55 – Bairro Jardim Boa Vista – CEP.: 29217-080 – Guarapari – ES</w:t>
          </w:r>
        </w:p>
        <w:p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Telefones 27 3361-8200 Ramais 255 / 260  – CNPJ 02.970.007/0001-61</w:t>
          </w:r>
        </w:p>
        <w:p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hp: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"http://www.guarapari.es.gov.br/ipg"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www.guarapari.es.gov.br/ipg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  <w:r>
            <w:rPr>
              <w:rFonts w:ascii="Arial" w:hAnsi="Arial" w:cs="Arial"/>
              <w:sz w:val="14"/>
              <w:szCs w:val="14"/>
            </w:rPr>
            <w:t xml:space="preserve">  –  e-mail 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"mailto:ipg@guarapari.es.gov.br"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ipg@guarapari.es.gov.br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</w:p>
        <w:p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</w:tc>
    </w:tr>
  </w:tbl>
  <w:p>
    <w:pPr>
      <w:pStyle w:val="12"/>
      <w:spacing w:after="0" w:line="240" w:lineRule="auto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after="0" w:line="240" w:lineRule="auto"/>
      <w:jc w:val="center"/>
      <w:rPr>
        <w:sz w:val="24"/>
        <w:szCs w:val="24"/>
      </w:rPr>
    </w:pPr>
    <w:r>
      <w:drawing>
        <wp:inline distT="0" distB="0" distL="114300" distR="114300">
          <wp:extent cx="883285" cy="814070"/>
          <wp:effectExtent l="0" t="0" r="12065" b="5080"/>
          <wp:docPr id="1" name="Imagem 1" descr="http://www.guarapari.es.gov.br/images/noticias/868/grande/brasao_guarapari_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http://www.guarapari.es.gov.br/images/noticias/868/grande/brasao_guarapari_novo.jpg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883285" cy="81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11"/>
      <w:spacing w:after="0" w:line="240" w:lineRule="auto"/>
      <w:jc w:val="center"/>
      <w:rPr>
        <w:rFonts w:ascii="Arial" w:hAnsi="Arial" w:cs="Arial"/>
        <w:b/>
        <w:i/>
        <w:kern w:val="36"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INSTITUTO DE PREVIDÊNCIA DOS SERVIDORES</w:t>
    </w:r>
  </w:p>
  <w:p>
    <w:pPr>
      <w:spacing w:after="0" w:line="240" w:lineRule="auto"/>
      <w:jc w:val="center"/>
      <w:rPr>
        <w:rFonts w:ascii="Arial" w:hAnsi="Arial" w:cs="Arial"/>
        <w:b/>
        <w:i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DO MUNICÍPIO DE GUARAPARI / ES – IPG</w:t>
    </w:r>
  </w:p>
  <w:p>
    <w:pPr>
      <w:pStyle w:val="11"/>
      <w:spacing w:after="0" w:line="240" w:lineRule="auto"/>
      <w:jc w:val="center"/>
      <w:rPr>
        <w:sz w:val="24"/>
        <w:szCs w:val="24"/>
      </w:rPr>
    </w:pPr>
  </w:p>
  <w:p>
    <w:pPr>
      <w:pStyle w:val="11"/>
      <w:spacing w:after="0" w:line="240" w:lineRule="auto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2D2714"/>
    <w:multiLevelType w:val="multilevel"/>
    <w:tmpl w:val="7C2D2714"/>
    <w:lvl w:ilvl="0" w:tentative="0">
      <w:start w:val="1"/>
      <w:numFmt w:val="none"/>
      <w:suff w:val="nothing"/>
      <w:lvlText w:val=""/>
      <w:lvlJc w:val="left"/>
      <w:pPr>
        <w:ind w:left="432" w:hanging="432"/>
      </w:pPr>
      <w:rPr>
        <w:rFonts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973"/>
    <w:rsid w:val="00014446"/>
    <w:rsid w:val="00014925"/>
    <w:rsid w:val="00017151"/>
    <w:rsid w:val="0002474C"/>
    <w:rsid w:val="000305B6"/>
    <w:rsid w:val="00035EB6"/>
    <w:rsid w:val="00050C3A"/>
    <w:rsid w:val="000A5222"/>
    <w:rsid w:val="000C6E16"/>
    <w:rsid w:val="000F3764"/>
    <w:rsid w:val="000F59EC"/>
    <w:rsid w:val="001168E4"/>
    <w:rsid w:val="001833EA"/>
    <w:rsid w:val="00197ACC"/>
    <w:rsid w:val="001A7684"/>
    <w:rsid w:val="001B1341"/>
    <w:rsid w:val="001F0C88"/>
    <w:rsid w:val="001F59F6"/>
    <w:rsid w:val="0024731B"/>
    <w:rsid w:val="0025049C"/>
    <w:rsid w:val="00254F7E"/>
    <w:rsid w:val="00257184"/>
    <w:rsid w:val="002701ED"/>
    <w:rsid w:val="002A542D"/>
    <w:rsid w:val="002A7F9D"/>
    <w:rsid w:val="002B3598"/>
    <w:rsid w:val="002C03F2"/>
    <w:rsid w:val="002E1B87"/>
    <w:rsid w:val="00392121"/>
    <w:rsid w:val="003967F4"/>
    <w:rsid w:val="003C750B"/>
    <w:rsid w:val="003F42DD"/>
    <w:rsid w:val="00454CE0"/>
    <w:rsid w:val="00463039"/>
    <w:rsid w:val="00470AB1"/>
    <w:rsid w:val="004916D7"/>
    <w:rsid w:val="005664FF"/>
    <w:rsid w:val="005A7B40"/>
    <w:rsid w:val="005B73CD"/>
    <w:rsid w:val="005C531A"/>
    <w:rsid w:val="005D79C6"/>
    <w:rsid w:val="00603F25"/>
    <w:rsid w:val="0069318B"/>
    <w:rsid w:val="006D505D"/>
    <w:rsid w:val="006E0FA5"/>
    <w:rsid w:val="006E5ED8"/>
    <w:rsid w:val="006F0803"/>
    <w:rsid w:val="007232E5"/>
    <w:rsid w:val="00740D25"/>
    <w:rsid w:val="0075446E"/>
    <w:rsid w:val="0077126A"/>
    <w:rsid w:val="00794DA5"/>
    <w:rsid w:val="00797077"/>
    <w:rsid w:val="007D42C7"/>
    <w:rsid w:val="007F6F1C"/>
    <w:rsid w:val="008232BF"/>
    <w:rsid w:val="00826231"/>
    <w:rsid w:val="008441F5"/>
    <w:rsid w:val="008551FF"/>
    <w:rsid w:val="00857A66"/>
    <w:rsid w:val="008972E1"/>
    <w:rsid w:val="008C00F2"/>
    <w:rsid w:val="008C1E64"/>
    <w:rsid w:val="008E1BD0"/>
    <w:rsid w:val="008F45D7"/>
    <w:rsid w:val="008F4AD1"/>
    <w:rsid w:val="009066AD"/>
    <w:rsid w:val="00921F6D"/>
    <w:rsid w:val="00936104"/>
    <w:rsid w:val="00982DB4"/>
    <w:rsid w:val="0098374B"/>
    <w:rsid w:val="009842F8"/>
    <w:rsid w:val="009A3AC6"/>
    <w:rsid w:val="009B3236"/>
    <w:rsid w:val="009B494A"/>
    <w:rsid w:val="009D00F0"/>
    <w:rsid w:val="009E6728"/>
    <w:rsid w:val="009F126E"/>
    <w:rsid w:val="009F465B"/>
    <w:rsid w:val="009F4AB5"/>
    <w:rsid w:val="00A00B14"/>
    <w:rsid w:val="00A10946"/>
    <w:rsid w:val="00A26BE1"/>
    <w:rsid w:val="00A2756F"/>
    <w:rsid w:val="00A45A86"/>
    <w:rsid w:val="00A53787"/>
    <w:rsid w:val="00AB1907"/>
    <w:rsid w:val="00AD5BB0"/>
    <w:rsid w:val="00B8029E"/>
    <w:rsid w:val="00B85B58"/>
    <w:rsid w:val="00BE5970"/>
    <w:rsid w:val="00BF2D29"/>
    <w:rsid w:val="00C32FA8"/>
    <w:rsid w:val="00C37982"/>
    <w:rsid w:val="00C55FFB"/>
    <w:rsid w:val="00C63A9C"/>
    <w:rsid w:val="00CC72B7"/>
    <w:rsid w:val="00CE7500"/>
    <w:rsid w:val="00D10621"/>
    <w:rsid w:val="00D200EC"/>
    <w:rsid w:val="00D2269F"/>
    <w:rsid w:val="00D9088A"/>
    <w:rsid w:val="00DA5CCF"/>
    <w:rsid w:val="00DC645A"/>
    <w:rsid w:val="00DD0312"/>
    <w:rsid w:val="00DF1785"/>
    <w:rsid w:val="00E031B0"/>
    <w:rsid w:val="00E0660C"/>
    <w:rsid w:val="00E356AB"/>
    <w:rsid w:val="00E53620"/>
    <w:rsid w:val="00E76E28"/>
    <w:rsid w:val="00E80CA8"/>
    <w:rsid w:val="00E840FB"/>
    <w:rsid w:val="00EA3D55"/>
    <w:rsid w:val="00EF3663"/>
    <w:rsid w:val="00F00064"/>
    <w:rsid w:val="00F16973"/>
    <w:rsid w:val="00F17093"/>
    <w:rsid w:val="00F22D8F"/>
    <w:rsid w:val="00F41869"/>
    <w:rsid w:val="00F4292A"/>
    <w:rsid w:val="00F43E0B"/>
    <w:rsid w:val="00F6368A"/>
    <w:rsid w:val="00F85CC4"/>
    <w:rsid w:val="00F93C72"/>
    <w:rsid w:val="04100A07"/>
    <w:rsid w:val="060B3BE4"/>
    <w:rsid w:val="08C87C47"/>
    <w:rsid w:val="0D0322CE"/>
    <w:rsid w:val="0D655CC1"/>
    <w:rsid w:val="0D894C89"/>
    <w:rsid w:val="0F2D6DA1"/>
    <w:rsid w:val="10B40C98"/>
    <w:rsid w:val="11512DAC"/>
    <w:rsid w:val="11AA5AB7"/>
    <w:rsid w:val="11CE2534"/>
    <w:rsid w:val="164B70E1"/>
    <w:rsid w:val="17CA6DFA"/>
    <w:rsid w:val="1AF37BE5"/>
    <w:rsid w:val="1D0A6110"/>
    <w:rsid w:val="201A4242"/>
    <w:rsid w:val="24CD2491"/>
    <w:rsid w:val="2BAD7335"/>
    <w:rsid w:val="2F685D55"/>
    <w:rsid w:val="32030857"/>
    <w:rsid w:val="390631E9"/>
    <w:rsid w:val="3AE21D22"/>
    <w:rsid w:val="3B7261A2"/>
    <w:rsid w:val="40E86751"/>
    <w:rsid w:val="41756B51"/>
    <w:rsid w:val="435E19FF"/>
    <w:rsid w:val="44AE585C"/>
    <w:rsid w:val="46F17BE5"/>
    <w:rsid w:val="4BB20177"/>
    <w:rsid w:val="4C997E3D"/>
    <w:rsid w:val="4DED612C"/>
    <w:rsid w:val="4E8D69CB"/>
    <w:rsid w:val="563F49BE"/>
    <w:rsid w:val="596013E7"/>
    <w:rsid w:val="5AA214E2"/>
    <w:rsid w:val="5D1F6922"/>
    <w:rsid w:val="5DA50453"/>
    <w:rsid w:val="5E5936FB"/>
    <w:rsid w:val="5FD43946"/>
    <w:rsid w:val="622F4116"/>
    <w:rsid w:val="630A037B"/>
    <w:rsid w:val="686C7E60"/>
    <w:rsid w:val="6AB910E3"/>
    <w:rsid w:val="6DF55117"/>
    <w:rsid w:val="71285813"/>
    <w:rsid w:val="793F28A1"/>
    <w:rsid w:val="7C11178A"/>
    <w:rsid w:val="7C1A2132"/>
    <w:rsid w:val="7E8346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nhideWhenUsed="0" w:uiPriority="0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paragraph" w:styleId="2">
    <w:name w:val="heading 3"/>
    <w:basedOn w:val="1"/>
    <w:next w:val="1"/>
    <w:link w:val="15"/>
    <w:autoRedefine/>
    <w:unhideWhenUsed/>
    <w:qFormat/>
    <w:uiPriority w:val="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3">
    <w:name w:val="heading 5"/>
    <w:basedOn w:val="1"/>
    <w:next w:val="1"/>
    <w:qFormat/>
    <w:uiPriority w:val="0"/>
    <w:pPr>
      <w:keepNext/>
      <w:jc w:val="center"/>
      <w:outlineLvl w:val="4"/>
    </w:pPr>
    <w:rPr>
      <w:b/>
      <w:bCs/>
    </w:rPr>
  </w:style>
  <w:style w:type="paragraph" w:styleId="4">
    <w:name w:val="heading 6"/>
    <w:basedOn w:val="1"/>
    <w:next w:val="1"/>
    <w:link w:val="16"/>
    <w:qFormat/>
    <w:uiPriority w:val="9"/>
    <w:pPr>
      <w:keepNext/>
      <w:spacing w:after="0" w:line="240" w:lineRule="auto"/>
      <w:outlineLvl w:val="5"/>
    </w:pPr>
    <w:rPr>
      <w:rFonts w:ascii="Bookman Old Style" w:hAnsi="Bookman Old Style"/>
      <w:b/>
      <w:sz w:val="20"/>
      <w:szCs w:val="20"/>
      <w:lang w:eastAsia="pt-BR"/>
    </w:rPr>
  </w:style>
  <w:style w:type="paragraph" w:styleId="5">
    <w:name w:val="heading 7"/>
    <w:basedOn w:val="1"/>
    <w:next w:val="1"/>
    <w:link w:val="17"/>
    <w:qFormat/>
    <w:uiPriority w:val="9"/>
    <w:pPr>
      <w:keepNext/>
      <w:spacing w:after="0" w:line="240" w:lineRule="auto"/>
      <w:jc w:val="center"/>
      <w:outlineLvl w:val="6"/>
    </w:pPr>
    <w:rPr>
      <w:rFonts w:ascii="Arial" w:hAnsi="Arial"/>
      <w:b/>
      <w:sz w:val="20"/>
      <w:szCs w:val="20"/>
      <w:lang w:eastAsia="pt-BR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uiPriority w:val="0"/>
    <w:rPr>
      <w:color w:val="0000FF"/>
      <w:u w:val="single"/>
    </w:rPr>
  </w:style>
  <w:style w:type="paragraph" w:styleId="9">
    <w:name w:val="Normal (Web)"/>
    <w:basedOn w:val="1"/>
    <w:autoRedefine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10">
    <w:name w:val="Body Text 2"/>
    <w:basedOn w:val="1"/>
    <w:qFormat/>
    <w:uiPriority w:val="0"/>
    <w:pPr>
      <w:ind w:right="141"/>
      <w:jc w:val="both"/>
    </w:pPr>
    <w:rPr>
      <w:sz w:val="22"/>
    </w:rPr>
  </w:style>
  <w:style w:type="paragraph" w:styleId="11">
    <w:name w:val="header"/>
    <w:basedOn w:val="1"/>
    <w:link w:val="18"/>
    <w:autoRedefine/>
    <w:unhideWhenUsed/>
    <w:qFormat/>
    <w:uiPriority w:val="99"/>
    <w:pPr>
      <w:tabs>
        <w:tab w:val="center" w:pos="4252"/>
        <w:tab w:val="right" w:pos="8504"/>
      </w:tabs>
    </w:pPr>
  </w:style>
  <w:style w:type="paragraph" w:styleId="12">
    <w:name w:val="footer"/>
    <w:basedOn w:val="1"/>
    <w:link w:val="19"/>
    <w:unhideWhenUsed/>
    <w:uiPriority w:val="99"/>
    <w:pPr>
      <w:tabs>
        <w:tab w:val="center" w:pos="4252"/>
        <w:tab w:val="right" w:pos="8504"/>
      </w:tabs>
    </w:pPr>
  </w:style>
  <w:style w:type="paragraph" w:styleId="13">
    <w:name w:val="Balloon Text"/>
    <w:basedOn w:val="1"/>
    <w:link w:val="20"/>
    <w:autoRedefine/>
    <w:unhideWhenUsed/>
    <w:uiPriority w:val="99"/>
    <w:pPr>
      <w:spacing w:after="0" w:line="240" w:lineRule="auto"/>
    </w:pPr>
    <w:rPr>
      <w:rFonts w:ascii="Tahoma" w:hAnsi="Tahoma"/>
      <w:sz w:val="16"/>
      <w:szCs w:val="16"/>
    </w:rPr>
  </w:style>
  <w:style w:type="table" w:styleId="14">
    <w:name w:val="Table Grid"/>
    <w:basedOn w:val="7"/>
    <w:autoRedefine/>
    <w:uiPriority w:val="59"/>
    <w:pPr>
      <w:spacing w:after="0" w:line="240" w:lineRule="auto"/>
    </w:pPr>
    <w:rPr>
      <w:rFonts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Título 3 Char"/>
    <w:link w:val="2"/>
    <w:semiHidden/>
    <w:qFormat/>
    <w:uiPriority w:val="9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customStyle="1" w:styleId="16">
    <w:name w:val="Título 6 Char"/>
    <w:link w:val="4"/>
    <w:autoRedefine/>
    <w:qFormat/>
    <w:locked/>
    <w:uiPriority w:val="9"/>
    <w:rPr>
      <w:rFonts w:ascii="Bookman Old Style" w:hAnsi="Bookman Old Style" w:cs="Times New Roman"/>
      <w:b/>
      <w:sz w:val="20"/>
      <w:szCs w:val="20"/>
      <w:lang w:eastAsia="pt-BR"/>
    </w:rPr>
  </w:style>
  <w:style w:type="character" w:customStyle="1" w:styleId="17">
    <w:name w:val="Título 7 Char"/>
    <w:link w:val="5"/>
    <w:locked/>
    <w:uiPriority w:val="9"/>
    <w:rPr>
      <w:rFonts w:ascii="Arial" w:hAnsi="Arial" w:cs="Times New Roman"/>
      <w:b/>
      <w:sz w:val="20"/>
      <w:szCs w:val="20"/>
      <w:lang w:eastAsia="pt-BR"/>
    </w:rPr>
  </w:style>
  <w:style w:type="character" w:customStyle="1" w:styleId="18">
    <w:name w:val="Cabeçalho Char"/>
    <w:basedOn w:val="6"/>
    <w:link w:val="11"/>
    <w:uiPriority w:val="99"/>
    <w:rPr>
      <w:rFonts w:cs="Times New Roman"/>
      <w:sz w:val="22"/>
      <w:szCs w:val="22"/>
      <w:lang w:eastAsia="en-US"/>
    </w:rPr>
  </w:style>
  <w:style w:type="character" w:customStyle="1" w:styleId="19">
    <w:name w:val="Rodapé Char"/>
    <w:basedOn w:val="6"/>
    <w:link w:val="12"/>
    <w:uiPriority w:val="99"/>
    <w:rPr>
      <w:rFonts w:cs="Times New Roman"/>
      <w:sz w:val="22"/>
      <w:szCs w:val="22"/>
      <w:lang w:eastAsia="en-US"/>
    </w:rPr>
  </w:style>
  <w:style w:type="character" w:customStyle="1" w:styleId="20">
    <w:name w:val="Texto de balão Char"/>
    <w:link w:val="13"/>
    <w:semiHidden/>
    <w:locked/>
    <w:uiPriority w:val="99"/>
    <w:rPr>
      <w:rFonts w:ascii="Tahoma" w:hAnsi="Tahoma" w:cs="Tahoma"/>
      <w:sz w:val="16"/>
      <w:szCs w:val="16"/>
    </w:rPr>
  </w:style>
  <w:style w:type="paragraph" w:styleId="21">
    <w:name w:val="No Spacing"/>
    <w:qFormat/>
    <w:uiPriority w:val="1"/>
    <w:rPr>
      <w:rFonts w:ascii="Times New Roman" w:hAnsi="Times New Roman" w:eastAsia="SimSun" w:cs="Times New Roman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guarapari.es.gov.br/images/noticias/868/grande/brasao_guarapari_nov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740</Characters>
  <Lines>6</Lines>
  <Paragraphs>1</Paragraphs>
  <TotalTime>2</TotalTime>
  <ScaleCrop>false</ScaleCrop>
  <LinksUpToDate>false</LinksUpToDate>
  <CharactersWithSpaces>876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2018-03-14T18:47:00Z</dcterms:created>
  <dc:creator>DELL</dc:creator>
  <cp:lastModifiedBy>Fabricio lucena de jesus</cp:lastModifiedBy>
  <cp:lastPrinted>2024-02-16T17:59:00Z</cp:lastPrinted>
  <dcterms:modified xsi:type="dcterms:W3CDTF">2024-04-22T19:49:36Z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1046-12.2.0.16731</vt:lpwstr>
  </property>
  <property fmtid="{D5CDD505-2E9C-101B-9397-08002B2CF9AE}" pid="3" name="ICV">
    <vt:lpwstr>652A6A61940A494E8A28D3CBDDCB7E5E_13</vt:lpwstr>
  </property>
</Properties>
</file>