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C2026C">
      <w:pPr>
        <w:jc w:val="both"/>
        <w:rPr>
          <w:rFonts w:hint="default" w:ascii="Arial" w:hAnsi="Arial" w:eastAsia="SimSun" w:cs="Arial"/>
          <w:sz w:val="24"/>
          <w:szCs w:val="24"/>
        </w:rPr>
      </w:pPr>
    </w:p>
    <w:p w14:paraId="2F38C64B">
      <w:pPr>
        <w:jc w:val="center"/>
        <w:rPr>
          <w:rFonts w:hint="default" w:ascii="Arial" w:hAnsi="Arial" w:cs="Arial"/>
          <w:b/>
          <w:bCs/>
          <w:sz w:val="24"/>
          <w:szCs w:val="24"/>
        </w:rPr>
      </w:pPr>
      <w:r>
        <w:rPr>
          <w:rFonts w:hint="default" w:ascii="Arial" w:hAnsi="Arial" w:cs="Arial"/>
          <w:b/>
          <w:bCs/>
          <w:sz w:val="24"/>
          <w:szCs w:val="24"/>
        </w:rPr>
        <w:t>TERMO DE REFERÊNCIA</w:t>
      </w:r>
    </w:p>
    <w:p w14:paraId="48E076FD">
      <w:pPr>
        <w:jc w:val="center"/>
        <w:rPr>
          <w:rFonts w:hint="default" w:ascii="Arial" w:hAnsi="Arial" w:cs="Arial"/>
          <w:b/>
          <w:bCs/>
          <w:sz w:val="24"/>
          <w:szCs w:val="24"/>
        </w:rPr>
      </w:pPr>
    </w:p>
    <w:p w14:paraId="6C3B9A60">
      <w:pPr>
        <w:jc w:val="center"/>
        <w:rPr>
          <w:rFonts w:hint="default" w:ascii="Arial" w:hAnsi="Arial" w:cs="Arial"/>
          <w:b/>
          <w:bCs/>
          <w:sz w:val="24"/>
          <w:szCs w:val="24"/>
        </w:rPr>
      </w:pPr>
    </w:p>
    <w:p w14:paraId="14E8A8F4">
      <w:pPr>
        <w:jc w:val="both"/>
        <w:rPr>
          <w:rFonts w:hint="default" w:ascii="Arial" w:hAnsi="Arial" w:eastAsia="SimSun" w:cs="Arial"/>
          <w:sz w:val="24"/>
          <w:szCs w:val="24"/>
        </w:rPr>
      </w:pPr>
      <w:r>
        <w:rPr>
          <w:rFonts w:hint="default" w:ascii="Arial" w:hAnsi="Arial" w:eastAsia="SimSun" w:cs="Arial"/>
          <w:sz w:val="24"/>
          <w:szCs w:val="24"/>
        </w:rPr>
        <w:t xml:space="preserve">IDENTIFICAÇÃO DO PROCESSO E SOLICITANTE </w:t>
      </w:r>
    </w:p>
    <w:p w14:paraId="2C343117">
      <w:pPr>
        <w:jc w:val="both"/>
        <w:rPr>
          <w:rFonts w:hint="default" w:ascii="Arial" w:hAnsi="Arial" w:eastAsia="SimSun" w:cs="Arial"/>
          <w:sz w:val="24"/>
          <w:szCs w:val="24"/>
          <w:lang w:val="pt-BR"/>
        </w:rPr>
      </w:pPr>
      <w:r>
        <w:rPr>
          <w:rFonts w:hint="default" w:ascii="Arial" w:hAnsi="Arial" w:eastAsia="SimSun" w:cs="Arial"/>
          <w:sz w:val="24"/>
          <w:szCs w:val="24"/>
        </w:rPr>
        <w:t xml:space="preserve">SETOR SOLICITANTE: </w:t>
      </w:r>
      <w:r>
        <w:rPr>
          <w:rFonts w:hint="default" w:ascii="Arial" w:hAnsi="Arial" w:eastAsia="SimSun" w:cs="Arial"/>
          <w:sz w:val="24"/>
          <w:szCs w:val="24"/>
          <w:lang w:val="pt-BR"/>
        </w:rPr>
        <w:t>Diretor Presidente</w:t>
      </w:r>
    </w:p>
    <w:p w14:paraId="614DE425">
      <w:pPr>
        <w:jc w:val="both"/>
        <w:rPr>
          <w:rFonts w:hint="default" w:ascii="Arial" w:hAnsi="Arial" w:eastAsia="SimSun" w:cs="Arial"/>
          <w:sz w:val="24"/>
          <w:szCs w:val="24"/>
        </w:rPr>
      </w:pPr>
    </w:p>
    <w:p w14:paraId="112EE9D1">
      <w:pPr>
        <w:jc w:val="both"/>
        <w:rPr>
          <w:rFonts w:hint="default" w:ascii="Arial" w:hAnsi="Arial" w:eastAsia="SimSun" w:cs="Arial"/>
          <w:sz w:val="24"/>
          <w:szCs w:val="24"/>
          <w:lang w:val="pt-BR"/>
        </w:rPr>
      </w:pPr>
      <w:r>
        <w:rPr>
          <w:rFonts w:hint="default" w:ascii="Arial" w:hAnsi="Arial" w:eastAsia="SimSun" w:cs="Arial"/>
          <w:sz w:val="24"/>
          <w:szCs w:val="24"/>
        </w:rPr>
        <w:t xml:space="preserve">II – NECESSIDADE DA CONTRATAÇÃO E JUSTIFICATIVA – art. 18, § 1º, I da NLLC e art. 3º, I, do Decreto Municipal nº </w:t>
      </w:r>
      <w:r>
        <w:rPr>
          <w:rFonts w:hint="default" w:ascii="Arial" w:hAnsi="Arial" w:eastAsia="SimSun" w:cs="Arial"/>
          <w:sz w:val="24"/>
          <w:szCs w:val="24"/>
          <w:lang w:val="pt-BR"/>
        </w:rPr>
        <w:t>248/2023 art. 7°.</w:t>
      </w:r>
    </w:p>
    <w:p w14:paraId="6BE9F65D">
      <w:pPr>
        <w:jc w:val="left"/>
        <w:rPr>
          <w:rFonts w:hint="default" w:ascii="Arial" w:hAnsi="Arial" w:cs="Arial"/>
          <w:b/>
          <w:bCs/>
          <w:sz w:val="24"/>
          <w:szCs w:val="24"/>
        </w:rPr>
      </w:pPr>
    </w:p>
    <w:p w14:paraId="5361433D">
      <w:pPr>
        <w:jc w:val="both"/>
        <w:rPr>
          <w:rFonts w:hint="default" w:ascii="Arial" w:hAnsi="Arial" w:cs="Arial"/>
          <w:b/>
          <w:bCs/>
          <w:sz w:val="22"/>
          <w:szCs w:val="22"/>
        </w:rPr>
      </w:pPr>
      <w:r>
        <w:rPr>
          <w:rFonts w:hint="default" w:ascii="Arial" w:hAnsi="Arial" w:cs="Arial"/>
          <w:b/>
          <w:bCs/>
          <w:sz w:val="22"/>
          <w:szCs w:val="22"/>
        </w:rPr>
        <w:t xml:space="preserve">                                                                                                                                                                                </w:t>
      </w:r>
    </w:p>
    <w:p w14:paraId="6DED4F62">
      <w:pPr>
        <w:pStyle w:val="12"/>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0" w:firstLineChars="0"/>
        <w:outlineLvl w:val="9"/>
        <w:rPr>
          <w:rFonts w:hint="default" w:ascii="Arial" w:hAnsi="Arial" w:cs="Arial"/>
          <w:b/>
          <w:bCs/>
          <w:sz w:val="24"/>
          <w:szCs w:val="24"/>
        </w:rPr>
      </w:pPr>
      <w:r>
        <w:rPr>
          <w:rFonts w:hint="default" w:ascii="Arial" w:hAnsi="Arial" w:cs="Arial"/>
          <w:b/>
          <w:bCs/>
          <w:sz w:val="24"/>
          <w:szCs w:val="24"/>
        </w:rPr>
        <w:t>OBJETO</w:t>
      </w:r>
    </w:p>
    <w:p w14:paraId="73535964">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outlineLvl w:val="9"/>
        <w:rPr>
          <w:rFonts w:hint="default" w:ascii="Arial" w:hAnsi="Arial" w:cs="Arial"/>
          <w:b/>
          <w:bCs/>
          <w:sz w:val="24"/>
          <w:szCs w:val="24"/>
        </w:rPr>
      </w:pPr>
    </w:p>
    <w:p w14:paraId="09D621A5">
      <w:pPr>
        <w:pStyle w:val="2"/>
        <w:numPr>
          <w:ilvl w:val="0"/>
          <w:numId w:val="0"/>
        </w:numPr>
        <w:tabs>
          <w:tab w:val="left" w:pos="432"/>
          <w:tab w:val="left" w:pos="480"/>
        </w:tabs>
        <w:spacing w:before="1" w:after="0" w:line="240" w:lineRule="auto"/>
        <w:ind w:leftChars="0" w:right="0" w:rightChars="0"/>
        <w:jc w:val="both"/>
        <w:rPr>
          <w:rFonts w:hint="default" w:ascii="Arial" w:hAnsi="Arial" w:eastAsia="Times New Roman"/>
          <w:b w:val="0"/>
          <w:bCs/>
          <w:sz w:val="24"/>
          <w:szCs w:val="24"/>
          <w:lang w:val="pt-BR"/>
        </w:rPr>
      </w:pPr>
      <w:r>
        <w:rPr>
          <w:rFonts w:hint="default" w:ascii="Arial" w:hAnsi="Arial" w:eastAsia="SimSun"/>
          <w:b w:val="0"/>
          <w:bCs w:val="0"/>
          <w:sz w:val="24"/>
          <w:szCs w:val="24"/>
        </w:rPr>
        <w:t>O presente Termo de Referência tem por objeto determinar as condições que disciplinarão a contratação de empresa para a Aquisição do Serviço de desenvolvimento, monitoramento, configuração e suporte de WebSite Institucional, destinados a suprir as necessidades básicas</w:t>
      </w:r>
      <w:r>
        <w:rPr>
          <w:rFonts w:hint="default" w:ascii="Arial" w:hAnsi="Arial" w:eastAsia="SimSun"/>
          <w:b w:val="0"/>
          <w:bCs w:val="0"/>
          <w:sz w:val="24"/>
          <w:szCs w:val="24"/>
          <w:lang w:val="pt-BR"/>
        </w:rPr>
        <w:t xml:space="preserve"> do Instituto de Previdência dos Servidores do Município de Guarapari.</w:t>
      </w:r>
    </w:p>
    <w:p w14:paraId="1644A87D">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eastAsia="SimSun" w:cs="Arial"/>
          <w:sz w:val="24"/>
          <w:szCs w:val="24"/>
          <w:lang w:val="pt-BR"/>
        </w:rPr>
      </w:pPr>
    </w:p>
    <w:p w14:paraId="7136D025">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left="0" w:leftChars="0" w:firstLine="0" w:firstLineChars="0"/>
        <w:jc w:val="both"/>
        <w:textAlignment w:val="auto"/>
        <w:rPr>
          <w:rFonts w:hint="default" w:ascii="Arial" w:hAnsi="Arial" w:cs="Arial"/>
          <w:sz w:val="24"/>
          <w:szCs w:val="24"/>
          <w:lang w:val="pt-BR"/>
        </w:rPr>
      </w:pPr>
      <w:r>
        <w:rPr>
          <w:rFonts w:hint="default" w:ascii="Arial" w:hAnsi="Arial"/>
          <w:sz w:val="24"/>
          <w:szCs w:val="24"/>
        </w:rPr>
        <w:t>A especificação do objeto serviço a ser contratado, conforme quadro abaixo</w:t>
      </w:r>
    </w:p>
    <w:tbl>
      <w:tblPr>
        <w:tblStyle w:val="11"/>
        <w:tblW w:w="84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3967"/>
        <w:gridCol w:w="1288"/>
        <w:gridCol w:w="2337"/>
      </w:tblGrid>
      <w:tr w14:paraId="488FB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shd w:val="clear" w:color="auto" w:fill="BEBEBE" w:themeFill="background1" w:themeFillShade="BF"/>
          </w:tcPr>
          <w:p w14:paraId="15F9E2A1">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jc w:val="center"/>
              <w:textAlignment w:val="auto"/>
              <w:rPr>
                <w:rFonts w:hint="default" w:ascii="Arial" w:hAnsi="Arial" w:cs="Arial"/>
                <w:b/>
                <w:bCs/>
                <w:sz w:val="24"/>
                <w:szCs w:val="24"/>
                <w:vertAlign w:val="baseline"/>
                <w:lang w:val="pt-BR"/>
              </w:rPr>
            </w:pPr>
            <w:r>
              <w:rPr>
                <w:rFonts w:hint="default" w:ascii="Arial" w:hAnsi="Arial" w:cs="Arial"/>
                <w:b/>
                <w:bCs/>
                <w:sz w:val="24"/>
                <w:szCs w:val="24"/>
                <w:vertAlign w:val="baseline"/>
                <w:lang w:val="pt-BR"/>
              </w:rPr>
              <w:t>Item</w:t>
            </w:r>
          </w:p>
        </w:tc>
        <w:tc>
          <w:tcPr>
            <w:tcW w:w="3967" w:type="dxa"/>
            <w:shd w:val="clear" w:color="auto" w:fill="BEBEBE" w:themeFill="background1" w:themeFillShade="BF"/>
          </w:tcPr>
          <w:p w14:paraId="020BE4F6">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jc w:val="center"/>
              <w:textAlignment w:val="auto"/>
              <w:rPr>
                <w:rFonts w:hint="default" w:ascii="Arial" w:hAnsi="Arial" w:cs="Arial"/>
                <w:b/>
                <w:bCs/>
                <w:sz w:val="24"/>
                <w:szCs w:val="24"/>
                <w:vertAlign w:val="baseline"/>
                <w:lang w:val="pt-BR"/>
              </w:rPr>
            </w:pPr>
            <w:r>
              <w:rPr>
                <w:rFonts w:hint="default" w:ascii="Arial" w:hAnsi="Arial" w:cs="Arial"/>
                <w:b/>
                <w:bCs/>
                <w:sz w:val="24"/>
                <w:szCs w:val="24"/>
                <w:vertAlign w:val="baseline"/>
                <w:lang w:val="pt-BR"/>
              </w:rPr>
              <w:t>Serviço</w:t>
            </w:r>
          </w:p>
        </w:tc>
        <w:tc>
          <w:tcPr>
            <w:tcW w:w="1288" w:type="dxa"/>
            <w:shd w:val="clear" w:color="auto" w:fill="BEBEBE" w:themeFill="background1" w:themeFillShade="BF"/>
          </w:tcPr>
          <w:p w14:paraId="7FDBAAAA">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jc w:val="center"/>
              <w:textAlignment w:val="auto"/>
              <w:rPr>
                <w:rFonts w:hint="default" w:ascii="Arial" w:hAnsi="Arial" w:cs="Arial"/>
                <w:b/>
                <w:bCs/>
                <w:sz w:val="24"/>
                <w:szCs w:val="24"/>
                <w:vertAlign w:val="baseline"/>
                <w:lang w:val="pt-BR"/>
              </w:rPr>
            </w:pPr>
            <w:r>
              <w:rPr>
                <w:rFonts w:hint="default" w:ascii="Arial" w:hAnsi="Arial" w:cs="Arial"/>
                <w:b/>
                <w:bCs/>
                <w:sz w:val="24"/>
                <w:szCs w:val="24"/>
                <w:vertAlign w:val="baseline"/>
                <w:lang w:val="pt-BR"/>
              </w:rPr>
              <w:t>Qtde.</w:t>
            </w:r>
          </w:p>
        </w:tc>
        <w:tc>
          <w:tcPr>
            <w:tcW w:w="2337" w:type="dxa"/>
            <w:shd w:val="clear" w:color="auto" w:fill="BEBEBE" w:themeFill="background1" w:themeFillShade="BF"/>
          </w:tcPr>
          <w:p w14:paraId="3381556E">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jc w:val="center"/>
              <w:textAlignment w:val="auto"/>
              <w:rPr>
                <w:rFonts w:hint="default" w:ascii="Arial" w:hAnsi="Arial" w:cs="Arial"/>
                <w:b/>
                <w:bCs/>
                <w:sz w:val="24"/>
                <w:szCs w:val="24"/>
                <w:vertAlign w:val="baseline"/>
                <w:lang w:val="pt-BR"/>
              </w:rPr>
            </w:pPr>
            <w:r>
              <w:rPr>
                <w:rFonts w:hint="default" w:ascii="Arial" w:hAnsi="Arial" w:cs="Arial"/>
                <w:b/>
                <w:bCs/>
                <w:sz w:val="24"/>
                <w:szCs w:val="24"/>
                <w:vertAlign w:val="baseline"/>
                <w:lang w:val="pt-BR"/>
              </w:rPr>
              <w:t>Unid</w:t>
            </w:r>
          </w:p>
        </w:tc>
      </w:tr>
      <w:tr w14:paraId="3D76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tcPr>
          <w:p w14:paraId="76D627A6">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jc w:val="center"/>
              <w:textAlignment w:val="auto"/>
              <w:rPr>
                <w:rFonts w:hint="default" w:ascii="Arial" w:hAnsi="Arial" w:cs="Arial"/>
                <w:sz w:val="24"/>
                <w:szCs w:val="24"/>
                <w:vertAlign w:val="baseline"/>
                <w:lang w:val="pt-BR"/>
              </w:rPr>
            </w:pPr>
          </w:p>
          <w:p w14:paraId="474B289A">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jc w:val="center"/>
              <w:textAlignment w:val="auto"/>
              <w:rPr>
                <w:rFonts w:hint="default" w:ascii="Arial" w:hAnsi="Arial" w:cs="Arial"/>
                <w:sz w:val="24"/>
                <w:szCs w:val="24"/>
                <w:vertAlign w:val="baseline"/>
                <w:lang w:val="pt-BR"/>
              </w:rPr>
            </w:pPr>
            <w:r>
              <w:rPr>
                <w:rFonts w:hint="default" w:ascii="Arial" w:hAnsi="Arial" w:cs="Arial"/>
                <w:sz w:val="24"/>
                <w:szCs w:val="24"/>
                <w:vertAlign w:val="baseline"/>
                <w:lang w:val="pt-BR"/>
              </w:rPr>
              <w:t>01</w:t>
            </w:r>
          </w:p>
        </w:tc>
        <w:tc>
          <w:tcPr>
            <w:tcW w:w="3967" w:type="dxa"/>
          </w:tcPr>
          <w:p w14:paraId="5C20B241">
            <w:pPr>
              <w:pStyle w:val="2"/>
              <w:numPr>
                <w:ilvl w:val="0"/>
                <w:numId w:val="0"/>
              </w:numPr>
              <w:tabs>
                <w:tab w:val="left" w:pos="432"/>
                <w:tab w:val="left" w:pos="480"/>
              </w:tabs>
              <w:spacing w:before="1" w:after="0" w:line="240" w:lineRule="auto"/>
              <w:ind w:leftChars="0" w:right="0" w:rightChars="0"/>
              <w:jc w:val="both"/>
              <w:rPr>
                <w:rFonts w:hint="default" w:ascii="Arial" w:hAnsi="Arial" w:cs="Arial"/>
                <w:sz w:val="24"/>
                <w:szCs w:val="24"/>
                <w:vertAlign w:val="baseline"/>
                <w:lang w:val="pt-BR"/>
              </w:rPr>
            </w:pPr>
            <w:r>
              <w:rPr>
                <w:rFonts w:hint="default" w:ascii="Arial" w:hAnsi="Arial"/>
                <w:b w:val="0"/>
                <w:bCs/>
                <w:i w:val="0"/>
                <w:iCs/>
                <w:sz w:val="24"/>
                <w:szCs w:val="24"/>
              </w:rPr>
              <w:t>Aquisição do Serviço de desenvolvimento, monitoramento, configuração</w:t>
            </w:r>
            <w:r>
              <w:rPr>
                <w:rFonts w:hint="default" w:ascii="Arial" w:hAnsi="Arial"/>
                <w:b w:val="0"/>
                <w:bCs/>
                <w:i w:val="0"/>
                <w:iCs/>
                <w:sz w:val="24"/>
                <w:szCs w:val="24"/>
                <w:lang w:val="pt-BR"/>
              </w:rPr>
              <w:t>, customização</w:t>
            </w:r>
            <w:r>
              <w:rPr>
                <w:rFonts w:hint="default" w:ascii="Arial" w:hAnsi="Arial"/>
                <w:b w:val="0"/>
                <w:bCs/>
                <w:i w:val="0"/>
                <w:iCs/>
                <w:sz w:val="24"/>
                <w:szCs w:val="24"/>
              </w:rPr>
              <w:t xml:space="preserve"> e suporte de WebSite Institucional.</w:t>
            </w:r>
          </w:p>
        </w:tc>
        <w:tc>
          <w:tcPr>
            <w:tcW w:w="1288" w:type="dxa"/>
          </w:tcPr>
          <w:p w14:paraId="1170F648">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jc w:val="center"/>
              <w:textAlignment w:val="auto"/>
              <w:rPr>
                <w:rFonts w:hint="default" w:ascii="Arial" w:hAnsi="Arial" w:cs="Arial"/>
                <w:sz w:val="24"/>
                <w:szCs w:val="24"/>
                <w:vertAlign w:val="baseline"/>
                <w:lang w:val="pt-BR"/>
              </w:rPr>
            </w:pPr>
            <w:r>
              <w:rPr>
                <w:rFonts w:hint="default" w:ascii="Arial" w:hAnsi="Arial" w:cs="Arial"/>
                <w:b/>
                <w:bCs/>
                <w:color w:val="auto"/>
                <w:sz w:val="24"/>
                <w:szCs w:val="24"/>
                <w:vertAlign w:val="baseline"/>
                <w:lang w:val="pt-BR"/>
              </w:rPr>
              <w:t>12</w:t>
            </w:r>
          </w:p>
        </w:tc>
        <w:tc>
          <w:tcPr>
            <w:tcW w:w="2337" w:type="dxa"/>
          </w:tcPr>
          <w:p w14:paraId="24C07FE1">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jc w:val="center"/>
              <w:textAlignment w:val="auto"/>
              <w:rPr>
                <w:rFonts w:hint="default" w:ascii="Arial" w:hAnsi="Arial" w:cs="Arial"/>
                <w:sz w:val="24"/>
                <w:szCs w:val="24"/>
                <w:vertAlign w:val="baseline"/>
                <w:lang w:val="pt-BR"/>
              </w:rPr>
            </w:pPr>
            <w:r>
              <w:rPr>
                <w:rFonts w:hint="default" w:ascii="Arial" w:hAnsi="Arial" w:cs="Arial"/>
                <w:sz w:val="24"/>
                <w:szCs w:val="24"/>
                <w:vertAlign w:val="baseline"/>
                <w:lang w:val="pt-BR"/>
              </w:rPr>
              <w:t>meses</w:t>
            </w:r>
          </w:p>
        </w:tc>
      </w:tr>
    </w:tbl>
    <w:p w14:paraId="5BC1A96E">
      <w:pPr>
        <w:jc w:val="both"/>
        <w:rPr>
          <w:rFonts w:hint="default" w:ascii="Arial" w:hAnsi="Arial" w:eastAsia="SimSun" w:cs="Arial"/>
          <w:sz w:val="24"/>
          <w:szCs w:val="24"/>
        </w:rPr>
      </w:pPr>
    </w:p>
    <w:p w14:paraId="3B7493AD">
      <w:pPr>
        <w:jc w:val="both"/>
        <w:rPr>
          <w:rFonts w:hint="default" w:ascii="Arial" w:hAnsi="Arial" w:eastAsia="SimSun"/>
          <w:sz w:val="24"/>
          <w:szCs w:val="24"/>
        </w:rPr>
      </w:pPr>
      <w:r>
        <w:rPr>
          <w:rFonts w:hint="default" w:ascii="Arial" w:hAnsi="Arial" w:eastAsia="SimSun"/>
          <w:sz w:val="24"/>
          <w:szCs w:val="24"/>
        </w:rPr>
        <w:t>O website a ser desenvolvido deverá atender os seguintes objetivos:</w:t>
      </w:r>
    </w:p>
    <w:p w14:paraId="1F48AEFF">
      <w:pPr>
        <w:jc w:val="both"/>
        <w:rPr>
          <w:rFonts w:hint="default" w:ascii="Arial" w:hAnsi="Arial" w:eastAsia="SimSun"/>
          <w:sz w:val="24"/>
          <w:szCs w:val="24"/>
        </w:rPr>
      </w:pPr>
      <w:r>
        <w:rPr>
          <w:rFonts w:hint="default" w:ascii="Arial" w:hAnsi="Arial" w:eastAsia="SimSun"/>
          <w:sz w:val="24"/>
          <w:szCs w:val="24"/>
        </w:rPr>
        <w:t>a) Possibilitar fácil acesso aos conteúdos;</w:t>
      </w:r>
    </w:p>
    <w:p w14:paraId="0AEEA665">
      <w:pPr>
        <w:jc w:val="both"/>
        <w:rPr>
          <w:rFonts w:hint="default" w:ascii="Arial" w:hAnsi="Arial" w:eastAsia="SimSun"/>
          <w:sz w:val="24"/>
          <w:szCs w:val="24"/>
        </w:rPr>
      </w:pPr>
      <w:r>
        <w:rPr>
          <w:rFonts w:hint="default" w:ascii="Arial" w:hAnsi="Arial" w:eastAsia="SimSun"/>
          <w:sz w:val="24"/>
          <w:szCs w:val="24"/>
        </w:rPr>
        <w:t>b) Apresentar elevado desempenho na navegação das páginas;</w:t>
      </w:r>
    </w:p>
    <w:p w14:paraId="376C31A5">
      <w:pPr>
        <w:jc w:val="both"/>
        <w:rPr>
          <w:rFonts w:hint="default" w:ascii="Arial" w:hAnsi="Arial" w:eastAsia="SimSun"/>
          <w:sz w:val="24"/>
          <w:szCs w:val="24"/>
        </w:rPr>
      </w:pPr>
      <w:r>
        <w:rPr>
          <w:rFonts w:hint="default" w:ascii="Arial" w:hAnsi="Arial" w:eastAsia="SimSun"/>
          <w:sz w:val="24"/>
          <w:szCs w:val="24"/>
        </w:rPr>
        <w:t>c) O layout deverá permitir uma boa interação do usuário com o website;</w:t>
      </w:r>
    </w:p>
    <w:p w14:paraId="0C9A0730">
      <w:pPr>
        <w:jc w:val="both"/>
        <w:rPr>
          <w:rFonts w:hint="default" w:ascii="Arial" w:hAnsi="Arial" w:eastAsia="SimSun"/>
          <w:sz w:val="24"/>
          <w:szCs w:val="24"/>
        </w:rPr>
      </w:pPr>
      <w:r>
        <w:rPr>
          <w:rFonts w:hint="default" w:ascii="Arial" w:hAnsi="Arial" w:eastAsia="SimSun"/>
          <w:sz w:val="24"/>
          <w:szCs w:val="24"/>
        </w:rPr>
        <w:t xml:space="preserve">d) Permitir a </w:t>
      </w:r>
      <w:r>
        <w:rPr>
          <w:rFonts w:hint="default" w:ascii="Arial" w:hAnsi="Arial" w:eastAsia="SimSun"/>
          <w:sz w:val="24"/>
          <w:szCs w:val="24"/>
          <w:lang w:val="pt-BR"/>
        </w:rPr>
        <w:t>direcionamento para outros portais ou plataformas através de links</w:t>
      </w:r>
      <w:r>
        <w:rPr>
          <w:rFonts w:hint="default" w:ascii="Arial" w:hAnsi="Arial" w:eastAsia="SimSun"/>
          <w:sz w:val="24"/>
          <w:szCs w:val="24"/>
        </w:rPr>
        <w:t>;</w:t>
      </w:r>
    </w:p>
    <w:p w14:paraId="0C65378E">
      <w:pPr>
        <w:jc w:val="both"/>
        <w:rPr>
          <w:rFonts w:hint="default" w:ascii="Arial" w:hAnsi="Arial" w:eastAsia="SimSun" w:cs="Arial"/>
          <w:sz w:val="24"/>
          <w:szCs w:val="24"/>
        </w:rPr>
      </w:pPr>
      <w:r>
        <w:rPr>
          <w:rFonts w:hint="default" w:ascii="Arial" w:hAnsi="Arial" w:eastAsia="SimSun"/>
          <w:sz w:val="24"/>
          <w:szCs w:val="24"/>
        </w:rPr>
        <w:t xml:space="preserve">e) Permitir uma fácil e rápida atualização do conteúdo pelos administradores. </w:t>
      </w:r>
    </w:p>
    <w:p w14:paraId="16AB05B2">
      <w:pPr>
        <w:pStyle w:val="2"/>
        <w:numPr>
          <w:ilvl w:val="0"/>
          <w:numId w:val="0"/>
        </w:numPr>
        <w:tabs>
          <w:tab w:val="left" w:pos="480"/>
        </w:tabs>
        <w:spacing w:before="1" w:after="0" w:line="240" w:lineRule="auto"/>
        <w:ind w:leftChars="0" w:right="0" w:rightChars="0"/>
        <w:jc w:val="both"/>
        <w:rPr>
          <w:rFonts w:hint="default" w:ascii="Arial" w:hAnsi="Arial" w:cs="Arial"/>
        </w:rPr>
      </w:pPr>
    </w:p>
    <w:p w14:paraId="5D7263CC">
      <w:pPr>
        <w:rPr>
          <w:rFonts w:hint="default" w:ascii="Arial" w:hAnsi="Arial" w:cs="Arial"/>
        </w:rPr>
      </w:pPr>
    </w:p>
    <w:p w14:paraId="00F1DF41">
      <w:pPr>
        <w:pStyle w:val="2"/>
        <w:numPr>
          <w:ilvl w:val="0"/>
          <w:numId w:val="2"/>
        </w:numPr>
        <w:tabs>
          <w:tab w:val="left" w:pos="480"/>
        </w:tabs>
        <w:spacing w:before="1" w:after="0" w:line="240" w:lineRule="auto"/>
        <w:ind w:left="480" w:leftChars="0" w:right="0" w:hanging="480" w:firstLineChars="0"/>
        <w:jc w:val="both"/>
        <w:rPr>
          <w:rFonts w:hint="default" w:ascii="Arial" w:hAnsi="Arial" w:cs="Arial"/>
        </w:rPr>
      </w:pPr>
      <w:r>
        <w:rPr>
          <w:rFonts w:hint="default" w:ascii="Arial" w:hAnsi="Arial"/>
        </w:rPr>
        <w:t>DA NECESSIDADE E JUSTIFICATIVA DA CONTRATAÇÃO</w:t>
      </w:r>
    </w:p>
    <w:p w14:paraId="7D4A69D0">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sz w:val="24"/>
          <w:szCs w:val="24"/>
        </w:rPr>
      </w:pPr>
    </w:p>
    <w:p w14:paraId="0C9C76A9">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rPr>
      </w:pPr>
      <w:r>
        <w:rPr>
          <w:rFonts w:hint="default" w:ascii="Arial" w:hAnsi="Arial"/>
          <w:color w:val="auto"/>
          <w:sz w:val="24"/>
          <w:szCs w:val="24"/>
        </w:rPr>
        <w:t>A presente justificativa tem como objetivo atender o dispositivo legal que respalde a contratação por dispensa conforme art. 75, II da Lei 14.133/2021, visando suprir a demanda da Aquisição do Serviço de desenvolvimento, monitoramento, configuração</w:t>
      </w:r>
      <w:r>
        <w:rPr>
          <w:rFonts w:hint="default" w:ascii="Arial" w:hAnsi="Arial"/>
          <w:color w:val="auto"/>
          <w:sz w:val="24"/>
          <w:szCs w:val="24"/>
          <w:lang w:val="pt-BR"/>
        </w:rPr>
        <w:t>, customização</w:t>
      </w:r>
      <w:r>
        <w:rPr>
          <w:rFonts w:hint="default" w:ascii="Arial" w:hAnsi="Arial"/>
          <w:color w:val="auto"/>
          <w:sz w:val="24"/>
          <w:szCs w:val="24"/>
        </w:rPr>
        <w:t xml:space="preserve"> e suporte de WebSite Institucional, citado e para não prejudicar o bom andamento dos trabalhos </w:t>
      </w:r>
      <w:r>
        <w:rPr>
          <w:rFonts w:hint="default" w:ascii="Arial" w:hAnsi="Arial"/>
          <w:color w:val="auto"/>
          <w:sz w:val="24"/>
          <w:szCs w:val="24"/>
          <w:lang w:val="pt-BR"/>
        </w:rPr>
        <w:t>do Instituto de Previdência dos Servidores do Município de Guarapari</w:t>
      </w:r>
      <w:r>
        <w:rPr>
          <w:rFonts w:hint="default" w:ascii="Arial" w:hAnsi="Arial"/>
          <w:color w:val="auto"/>
          <w:sz w:val="24"/>
          <w:szCs w:val="24"/>
        </w:rPr>
        <w:t xml:space="preserve">. </w:t>
      </w:r>
    </w:p>
    <w:p w14:paraId="5F3C2F64">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rPr>
      </w:pPr>
    </w:p>
    <w:p w14:paraId="031D5B1E">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r>
        <w:rPr>
          <w:rFonts w:hint="default" w:ascii="Arial" w:hAnsi="Arial"/>
          <w:color w:val="auto"/>
          <w:sz w:val="24"/>
          <w:szCs w:val="24"/>
        </w:rPr>
        <w:t>Cumpre destacar que trata-se de contratação que ocorre de forma permanente ao longo dos anos, logo, reflete uma necessidade de natureza continuada da Administração. Todavia, diante do dever de planejamento trazido pela Lei 14.133/2021– Nova Lei de Licitações e Contratos– que também prevê a possibilidade de contratos plurianuais</w:t>
      </w:r>
      <w:r>
        <w:rPr>
          <w:rFonts w:hint="default" w:ascii="Arial" w:hAnsi="Arial"/>
          <w:color w:val="auto"/>
          <w:sz w:val="24"/>
          <w:szCs w:val="24"/>
          <w:lang w:val="pt-BR"/>
        </w:rPr>
        <w:t>.</w:t>
      </w:r>
    </w:p>
    <w:p w14:paraId="0FECDEAC">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rPr>
      </w:pPr>
    </w:p>
    <w:p w14:paraId="249E532C">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auto"/>
          <w:sz w:val="24"/>
          <w:szCs w:val="24"/>
        </w:rPr>
      </w:pPr>
      <w:r>
        <w:rPr>
          <w:rFonts w:hint="default" w:ascii="Arial" w:hAnsi="Arial"/>
          <w:color w:val="auto"/>
          <w:sz w:val="24"/>
          <w:szCs w:val="24"/>
        </w:rPr>
        <w:t xml:space="preserve">Temos que a dispensa de licitação do art. 75, II se mostra mais adequada e mais transparente, inclusive porque permite o envio de propostas complementares no prazo de 3 (três) dias úteis e, por consequência lógica, atende ao princípio da competitividade e da vantajosidade. </w:t>
      </w:r>
    </w:p>
    <w:p w14:paraId="6B2B105D">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rPr>
      </w:pPr>
    </w:p>
    <w:p w14:paraId="7F1C2824">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auto"/>
          <w:sz w:val="24"/>
          <w:szCs w:val="24"/>
        </w:rPr>
      </w:pPr>
      <w:r>
        <w:rPr>
          <w:rFonts w:hint="default" w:ascii="Arial" w:hAnsi="Arial"/>
          <w:color w:val="auto"/>
          <w:sz w:val="24"/>
          <w:szCs w:val="24"/>
        </w:rPr>
        <w:t>A par das referências de preços obtidas a partir dos custos de contratações semelhantes constantes do PNCP, temos que o valor limite se enquadra nos moldes do art. 75, II da Lei 14.133/2021. Informa ainda que no exercício financeiro de 2024 ainda não foram adquiridos produtos dentro do mesmo “ramo de atividade” pel</w:t>
      </w:r>
      <w:r>
        <w:rPr>
          <w:rFonts w:hint="default" w:ascii="Arial" w:hAnsi="Arial"/>
          <w:color w:val="auto"/>
          <w:sz w:val="24"/>
          <w:szCs w:val="24"/>
          <w:lang w:val="pt-BR"/>
        </w:rPr>
        <w:t xml:space="preserve">o Instituto </w:t>
      </w:r>
      <w:r>
        <w:rPr>
          <w:rFonts w:hint="default" w:ascii="Arial" w:hAnsi="Arial"/>
          <w:color w:val="auto"/>
          <w:sz w:val="24"/>
          <w:szCs w:val="24"/>
        </w:rPr>
        <w:t xml:space="preserve">por meio de contratação direta, logo, não há riscos de fracionamento de despesas. </w:t>
      </w:r>
    </w:p>
    <w:p w14:paraId="4B86E1DF">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rPr>
      </w:pPr>
    </w:p>
    <w:p w14:paraId="200CC3E2">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r>
        <w:rPr>
          <w:rFonts w:hint="default" w:ascii="Arial" w:hAnsi="Arial"/>
          <w:color w:val="auto"/>
          <w:sz w:val="24"/>
          <w:szCs w:val="24"/>
        </w:rPr>
        <w:t xml:space="preserve">As atividades </w:t>
      </w:r>
      <w:r>
        <w:rPr>
          <w:rFonts w:hint="default" w:ascii="Arial" w:hAnsi="Arial"/>
          <w:color w:val="auto"/>
          <w:sz w:val="24"/>
          <w:szCs w:val="24"/>
          <w:lang w:val="pt-BR"/>
        </w:rPr>
        <w:t>previdenciárias</w:t>
      </w:r>
      <w:r>
        <w:rPr>
          <w:rFonts w:hint="default" w:ascii="Arial" w:hAnsi="Arial"/>
          <w:color w:val="auto"/>
          <w:sz w:val="24"/>
          <w:szCs w:val="24"/>
        </w:rPr>
        <w:t xml:space="preserve"> e administrativa</w:t>
      </w:r>
      <w:r>
        <w:rPr>
          <w:rFonts w:hint="default" w:ascii="Arial" w:hAnsi="Arial"/>
          <w:color w:val="auto"/>
          <w:sz w:val="24"/>
          <w:szCs w:val="24"/>
          <w:lang w:val="pt-BR"/>
        </w:rPr>
        <w:t>s</w:t>
      </w:r>
      <w:r>
        <w:rPr>
          <w:rFonts w:hint="default" w:ascii="Arial" w:hAnsi="Arial"/>
          <w:color w:val="auto"/>
          <w:sz w:val="24"/>
          <w:szCs w:val="24"/>
        </w:rPr>
        <w:t xml:space="preserve"> são amparadas fortemente no uso de soluções de TI</w:t>
      </w:r>
      <w:r>
        <w:rPr>
          <w:rFonts w:hint="default" w:ascii="Arial" w:hAnsi="Arial"/>
          <w:color w:val="auto"/>
          <w:sz w:val="24"/>
          <w:szCs w:val="24"/>
          <w:lang w:val="pt-BR"/>
        </w:rPr>
        <w:t xml:space="preserve"> - </w:t>
      </w:r>
      <w:r>
        <w:rPr>
          <w:rFonts w:hint="default" w:ascii="Arial" w:hAnsi="Arial"/>
          <w:color w:val="auto"/>
          <w:sz w:val="24"/>
          <w:szCs w:val="24"/>
        </w:rPr>
        <w:t>equipamentos, softwares e sistemas de informação</w:t>
      </w:r>
      <w:r>
        <w:rPr>
          <w:rFonts w:hint="default" w:ascii="Arial" w:hAnsi="Arial"/>
          <w:color w:val="auto"/>
          <w:sz w:val="24"/>
          <w:szCs w:val="24"/>
          <w:lang w:val="pt-BR"/>
        </w:rPr>
        <w:t xml:space="preserve"> </w:t>
      </w:r>
      <w:r>
        <w:rPr>
          <w:rFonts w:hint="default" w:ascii="Arial" w:hAnsi="Arial"/>
          <w:color w:val="auto"/>
          <w:sz w:val="24"/>
          <w:szCs w:val="24"/>
        </w:rPr>
        <w:t>- que se tornaram vitais para o funcionamento e melhoria dos serviços prestados. Como consequência, o suporte adequado e tempestivo ao uso dessas soluções tornou-se fator crítico para a manutenção da disponibilidade e estabilidade dos serviços de TI e do funcionamento d</w:t>
      </w:r>
      <w:r>
        <w:rPr>
          <w:rFonts w:hint="default" w:ascii="Arial" w:hAnsi="Arial"/>
          <w:color w:val="auto"/>
          <w:sz w:val="24"/>
          <w:szCs w:val="24"/>
          <w:lang w:val="pt-BR"/>
        </w:rPr>
        <w:t>o instituto</w:t>
      </w:r>
      <w:r>
        <w:rPr>
          <w:rFonts w:hint="default" w:ascii="Arial" w:hAnsi="Arial"/>
          <w:color w:val="auto"/>
          <w:sz w:val="24"/>
          <w:szCs w:val="24"/>
        </w:rPr>
        <w:t>. Aquisição do</w:t>
      </w:r>
      <w:r>
        <w:rPr>
          <w:rFonts w:hint="default" w:ascii="Arial" w:hAnsi="Arial"/>
          <w:color w:val="auto"/>
          <w:sz w:val="24"/>
          <w:szCs w:val="24"/>
          <w:lang w:val="pt-BR"/>
        </w:rPr>
        <w:t xml:space="preserve"> Serviço de desenvolvimento, monitoramento, configuração, customização e suporte de WebSite Institucional, pelo IPG para a edição e criação de conteúdo digital e páginas web.</w:t>
      </w:r>
      <w:r>
        <w:rPr>
          <w:rFonts w:hint="default" w:ascii="Arial" w:hAnsi="Arial"/>
          <w:color w:val="FF0000"/>
          <w:sz w:val="24"/>
          <w:szCs w:val="24"/>
          <w:lang w:val="pt-BR"/>
        </w:rPr>
        <w:t xml:space="preserve"> </w:t>
      </w:r>
    </w:p>
    <w:p w14:paraId="2786B5A6">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p>
    <w:p w14:paraId="489031BA">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r>
        <w:rPr>
          <w:rFonts w:hint="default" w:ascii="Arial" w:hAnsi="Arial"/>
          <w:color w:val="auto"/>
          <w:sz w:val="24"/>
          <w:szCs w:val="24"/>
          <w:lang w:val="pt-BR"/>
        </w:rPr>
        <w:t>O desenvolvimento do Website se faz necessário a inclusão de abas úteis, links, departamentos, contatos e portal da transparência. No entanto, a criação deste Website oficial deverá proporcionar uma navegação fácil entre as abas, departamentos e setores. O site será responsável e adaptativo, além de possuir um sistema administrativo online para o gerenciamento de conteúdo(painel de controle).</w:t>
      </w:r>
      <w:r>
        <w:rPr>
          <w:rFonts w:hint="default" w:ascii="Arial" w:hAnsi="Arial"/>
          <w:color w:val="FF0000"/>
          <w:sz w:val="24"/>
          <w:szCs w:val="24"/>
          <w:lang w:val="pt-BR"/>
        </w:rPr>
        <w:t xml:space="preserve"> </w:t>
      </w:r>
    </w:p>
    <w:p w14:paraId="703E2CAE">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p>
    <w:p w14:paraId="65B0F992">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r>
        <w:rPr>
          <w:rFonts w:hint="default" w:ascii="Arial" w:hAnsi="Arial"/>
          <w:color w:val="auto"/>
          <w:sz w:val="24"/>
          <w:szCs w:val="24"/>
          <w:lang w:val="pt-BR"/>
        </w:rPr>
        <w:t>No portal Website, são armazenados, através de links do portal da transparência, todos os atos administrativos, contábeis e de benefícios, tais como empenhos, pagamentos, folha de pagamento, memorandos e pareceres entre outros. Além disso, administrativamente, são disponibilizadas publicações de decretos , editais, contratos e licitações.</w:t>
      </w:r>
      <w:r>
        <w:rPr>
          <w:rFonts w:hint="default" w:ascii="Arial" w:hAnsi="Arial"/>
          <w:color w:val="FF0000"/>
          <w:sz w:val="24"/>
          <w:szCs w:val="24"/>
          <w:lang w:val="pt-BR"/>
        </w:rPr>
        <w:t xml:space="preserve"> </w:t>
      </w:r>
    </w:p>
    <w:p w14:paraId="1D503C4F">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p>
    <w:p w14:paraId="66E847D8">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r>
        <w:rPr>
          <w:rFonts w:hint="default" w:ascii="Arial" w:hAnsi="Arial"/>
          <w:color w:val="auto"/>
          <w:sz w:val="24"/>
          <w:szCs w:val="24"/>
          <w:lang w:val="pt-BR"/>
        </w:rPr>
        <w:t>O Website também serve como ressaltar que há acesso a ferramentas utilizadas pelos servidores públicos, como contra-cheque e folha de pagamento.</w:t>
      </w:r>
      <w:r>
        <w:rPr>
          <w:rFonts w:hint="default" w:ascii="Arial" w:hAnsi="Arial"/>
          <w:color w:val="FF0000"/>
          <w:sz w:val="24"/>
          <w:szCs w:val="24"/>
          <w:lang w:val="pt-BR"/>
        </w:rPr>
        <w:t xml:space="preserve"> </w:t>
      </w:r>
    </w:p>
    <w:p w14:paraId="6435078D">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p>
    <w:p w14:paraId="5B4CFEF2">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r>
        <w:rPr>
          <w:rFonts w:hint="default" w:ascii="Arial" w:hAnsi="Arial"/>
          <w:color w:val="auto"/>
          <w:sz w:val="24"/>
          <w:szCs w:val="24"/>
          <w:lang w:val="pt-BR"/>
        </w:rPr>
        <w:t>Por fim, é necessário que a empresa contratada forneça treinamento aos usuários, com uma carga horária mínima de 20 horas, realizado no local(in loco). Este treinamento garantirá que os usuários estejam aptos a utilizar todas as funcionalidades do novo Website de forma eficaz.</w:t>
      </w:r>
    </w:p>
    <w:p w14:paraId="0AE51217">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olor w:val="FF0000"/>
          <w:sz w:val="24"/>
          <w:szCs w:val="24"/>
          <w:lang w:val="pt-BR"/>
        </w:rPr>
      </w:pPr>
    </w:p>
    <w:p w14:paraId="1AC175D1">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sz w:val="24"/>
          <w:szCs w:val="24"/>
          <w:lang w:val="pt-BR"/>
        </w:rPr>
      </w:pPr>
    </w:p>
    <w:p w14:paraId="30B67D5E">
      <w:pPr>
        <w:pStyle w:val="12"/>
        <w:keepNext w:val="0"/>
        <w:keepLines w:val="0"/>
        <w:pageBreakBefore w:val="0"/>
        <w:widowControl/>
        <w:numPr>
          <w:ilvl w:val="0"/>
          <w:numId w:val="2"/>
        </w:numPr>
        <w:kinsoku/>
        <w:wordWrap/>
        <w:overflowPunct/>
        <w:topLinePunct w:val="0"/>
        <w:autoSpaceDE/>
        <w:autoSpaceDN/>
        <w:bidi w:val="0"/>
        <w:adjustRightInd/>
        <w:snapToGrid/>
        <w:spacing w:line="240" w:lineRule="auto"/>
        <w:ind w:left="480" w:leftChars="0" w:hanging="480" w:firstLineChars="0"/>
        <w:jc w:val="both"/>
        <w:outlineLvl w:val="9"/>
        <w:rPr>
          <w:rFonts w:hint="default" w:ascii="Arial" w:hAnsi="Arial" w:eastAsia="SimSun" w:cs="Arial"/>
          <w:b/>
          <w:bCs/>
          <w:sz w:val="24"/>
          <w:szCs w:val="24"/>
          <w:lang w:val="pt-BR"/>
        </w:rPr>
      </w:pPr>
      <w:r>
        <w:rPr>
          <w:rFonts w:hint="default" w:ascii="Arial" w:hAnsi="Arial" w:eastAsia="SimSun" w:cs="Arial"/>
          <w:b/>
          <w:bCs/>
          <w:sz w:val="24"/>
          <w:szCs w:val="24"/>
          <w:lang w:val="pt-BR"/>
        </w:rPr>
        <w:t xml:space="preserve"> </w:t>
      </w:r>
      <w:r>
        <w:rPr>
          <w:rFonts w:hint="default" w:ascii="Arial" w:hAnsi="Arial" w:eastAsia="Arial" w:cs="Arial"/>
          <w:b/>
          <w:bCs/>
          <w:i w:val="0"/>
          <w:iCs w:val="0"/>
          <w:caps w:val="0"/>
          <w:color w:val="040C28"/>
          <w:spacing w:val="0"/>
          <w:sz w:val="24"/>
          <w:szCs w:val="24"/>
          <w:lang w:val="pt-BR"/>
        </w:rPr>
        <w:t>FUNDAMENTO LEGAL</w:t>
      </w:r>
    </w:p>
    <w:p w14:paraId="4FD5F6EE">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eastAsia="SimSun" w:cs="Arial"/>
          <w:b/>
          <w:bCs/>
          <w:sz w:val="24"/>
          <w:szCs w:val="24"/>
          <w:lang w:val="pt-BR"/>
        </w:rPr>
      </w:pPr>
    </w:p>
    <w:p w14:paraId="1869B64A">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auto"/>
          <w:sz w:val="24"/>
          <w:szCs w:val="24"/>
        </w:rPr>
      </w:pPr>
      <w:r>
        <w:rPr>
          <w:rFonts w:hint="default" w:ascii="Arial" w:hAnsi="Arial" w:eastAsia="SimSun"/>
          <w:b w:val="0"/>
          <w:bCs w:val="0"/>
          <w:color w:val="auto"/>
          <w:sz w:val="24"/>
          <w:szCs w:val="24"/>
        </w:rPr>
        <w:t>A presente Aquisição do Serviço de desenvolvimento, monitoramento, configuração</w:t>
      </w:r>
      <w:r>
        <w:rPr>
          <w:rFonts w:hint="default" w:ascii="Arial" w:hAnsi="Arial" w:eastAsia="SimSun"/>
          <w:b w:val="0"/>
          <w:bCs w:val="0"/>
          <w:color w:val="auto"/>
          <w:sz w:val="24"/>
          <w:szCs w:val="24"/>
          <w:lang w:val="pt-BR"/>
        </w:rPr>
        <w:t>, customização</w:t>
      </w:r>
      <w:r>
        <w:rPr>
          <w:rFonts w:hint="default" w:ascii="Arial" w:hAnsi="Arial" w:eastAsia="SimSun"/>
          <w:b w:val="0"/>
          <w:bCs w:val="0"/>
          <w:color w:val="auto"/>
          <w:sz w:val="24"/>
          <w:szCs w:val="24"/>
        </w:rPr>
        <w:t xml:space="preserve"> e suporte de WebSite Institucional, deverá ser realizada por dispensa de licitação, com fundamento no art. 75, II, da Lei n. 14.133/2021- NLL. </w:t>
      </w:r>
    </w:p>
    <w:p w14:paraId="3F2F6AF6">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FF0000"/>
          <w:sz w:val="24"/>
          <w:szCs w:val="24"/>
        </w:rPr>
      </w:pPr>
    </w:p>
    <w:p w14:paraId="7C302A74">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FF0000"/>
          <w:sz w:val="24"/>
          <w:szCs w:val="24"/>
        </w:rPr>
      </w:pPr>
      <w:r>
        <w:rPr>
          <w:rFonts w:hint="default" w:ascii="Arial" w:hAnsi="Arial" w:eastAsia="SimSun"/>
          <w:b w:val="0"/>
          <w:bCs w:val="0"/>
          <w:color w:val="auto"/>
          <w:sz w:val="24"/>
          <w:szCs w:val="24"/>
        </w:rPr>
        <w:t>Os novos procedimentos trazidos pela NLL e a transição e capacitação de pessoal para a Aquisição da Licença do software mediante procedimento legal (pregão) acarretou a presente contratação com amparo no dispositivo supracitado.</w:t>
      </w:r>
      <w:r>
        <w:rPr>
          <w:rFonts w:hint="default" w:ascii="Arial" w:hAnsi="Arial" w:eastAsia="SimSun"/>
          <w:b w:val="0"/>
          <w:bCs w:val="0"/>
          <w:color w:val="FF0000"/>
          <w:sz w:val="24"/>
          <w:szCs w:val="24"/>
        </w:rPr>
        <w:t xml:space="preserve"> </w:t>
      </w:r>
    </w:p>
    <w:p w14:paraId="29556555">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FF0000"/>
          <w:sz w:val="24"/>
          <w:szCs w:val="24"/>
        </w:rPr>
      </w:pPr>
    </w:p>
    <w:p w14:paraId="4A345D38">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FF0000"/>
          <w:sz w:val="24"/>
          <w:szCs w:val="24"/>
        </w:rPr>
      </w:pPr>
      <w:r>
        <w:rPr>
          <w:rFonts w:hint="default" w:ascii="Arial" w:hAnsi="Arial" w:eastAsia="SimSun"/>
          <w:b w:val="0"/>
          <w:bCs w:val="0"/>
          <w:color w:val="auto"/>
          <w:sz w:val="24"/>
          <w:szCs w:val="24"/>
          <w:lang w:val="pt-BR"/>
        </w:rPr>
        <w:t>O IPG (Instituto de Previdência dos Servidores do Município de Guarapari)</w:t>
      </w:r>
      <w:r>
        <w:rPr>
          <w:rFonts w:hint="default" w:ascii="Arial" w:hAnsi="Arial" w:eastAsia="SimSun"/>
          <w:b w:val="0"/>
          <w:bCs w:val="0"/>
          <w:color w:val="auto"/>
          <w:sz w:val="24"/>
          <w:szCs w:val="24"/>
        </w:rPr>
        <w:t>, justifica a grande necessidade da obtenção Aquisição do Serviço de desenvolvimento, monitoramento, configuração</w:t>
      </w:r>
      <w:r>
        <w:rPr>
          <w:rFonts w:hint="default" w:ascii="Arial" w:hAnsi="Arial" w:eastAsia="SimSun"/>
          <w:b w:val="0"/>
          <w:bCs w:val="0"/>
          <w:color w:val="auto"/>
          <w:sz w:val="24"/>
          <w:szCs w:val="24"/>
          <w:lang w:val="pt-BR"/>
        </w:rPr>
        <w:t>, customização</w:t>
      </w:r>
      <w:r>
        <w:rPr>
          <w:rFonts w:hint="default" w:ascii="Arial" w:hAnsi="Arial" w:eastAsia="SimSun"/>
          <w:b w:val="0"/>
          <w:bCs w:val="0"/>
          <w:color w:val="auto"/>
          <w:sz w:val="24"/>
          <w:szCs w:val="24"/>
        </w:rPr>
        <w:t xml:space="preserve"> e suporte de WebSite Institucional, tendo em vista a garantia dos serviços a serem prestados pel</w:t>
      </w:r>
      <w:r>
        <w:rPr>
          <w:rFonts w:hint="default" w:ascii="Arial" w:hAnsi="Arial" w:eastAsia="SimSun"/>
          <w:b w:val="0"/>
          <w:bCs w:val="0"/>
          <w:color w:val="auto"/>
          <w:sz w:val="24"/>
          <w:szCs w:val="24"/>
          <w:lang w:val="pt-BR"/>
        </w:rPr>
        <w:t>o IPG</w:t>
      </w:r>
      <w:r>
        <w:rPr>
          <w:rFonts w:hint="default" w:ascii="Arial" w:hAnsi="Arial" w:eastAsia="SimSun"/>
          <w:b w:val="0"/>
          <w:bCs w:val="0"/>
          <w:color w:val="auto"/>
          <w:sz w:val="24"/>
          <w:szCs w:val="24"/>
        </w:rPr>
        <w:t xml:space="preserve">, visando atender as necessidades rotineiras, assim como edições de </w:t>
      </w:r>
      <w:r>
        <w:rPr>
          <w:rFonts w:hint="default" w:ascii="Arial" w:hAnsi="Arial" w:eastAsia="SimSun"/>
          <w:b w:val="0"/>
          <w:bCs w:val="0"/>
          <w:color w:val="auto"/>
          <w:sz w:val="24"/>
          <w:szCs w:val="24"/>
          <w:lang w:val="pt-BR"/>
        </w:rPr>
        <w:t>publicações, documentos, processos e informações</w:t>
      </w:r>
      <w:r>
        <w:rPr>
          <w:rFonts w:hint="default" w:ascii="Arial" w:hAnsi="Arial" w:eastAsia="SimSun"/>
          <w:b w:val="0"/>
          <w:bCs w:val="0"/>
          <w:color w:val="auto"/>
          <w:sz w:val="24"/>
          <w:szCs w:val="24"/>
        </w:rPr>
        <w:t xml:space="preserve">. </w:t>
      </w:r>
    </w:p>
    <w:p w14:paraId="6D2972F5">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FF0000"/>
          <w:sz w:val="24"/>
          <w:szCs w:val="24"/>
        </w:rPr>
      </w:pPr>
    </w:p>
    <w:p w14:paraId="00D74361">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auto"/>
          <w:sz w:val="24"/>
          <w:szCs w:val="24"/>
        </w:rPr>
      </w:pPr>
      <w:r>
        <w:rPr>
          <w:rFonts w:hint="default" w:ascii="Arial" w:hAnsi="Arial" w:eastAsia="SimSun"/>
          <w:b w:val="0"/>
          <w:bCs w:val="0"/>
          <w:color w:val="auto"/>
          <w:sz w:val="24"/>
          <w:szCs w:val="24"/>
        </w:rPr>
        <w:t>Tendo como base o Princípio da continuidade dos serviços públicos, segundo o qual a Administração Pública executa suas atribuições essência</w:t>
      </w:r>
      <w:r>
        <w:rPr>
          <w:rFonts w:hint="default" w:ascii="Arial" w:hAnsi="Arial" w:eastAsia="SimSun"/>
          <w:b w:val="0"/>
          <w:bCs w:val="0"/>
          <w:color w:val="auto"/>
          <w:sz w:val="24"/>
          <w:szCs w:val="24"/>
          <w:lang w:val="pt-BR"/>
        </w:rPr>
        <w:t>i</w:t>
      </w:r>
      <w:r>
        <w:rPr>
          <w:rFonts w:hint="default" w:ascii="Arial" w:hAnsi="Arial" w:eastAsia="SimSun"/>
          <w:b w:val="0"/>
          <w:bCs w:val="0"/>
          <w:color w:val="auto"/>
          <w:sz w:val="24"/>
          <w:szCs w:val="24"/>
        </w:rPr>
        <w:t>s ou necessárias aos administrados, entendesse que Aquisição do Serviço de desenvolvimento, monitoramento, configuração</w:t>
      </w:r>
      <w:r>
        <w:rPr>
          <w:rFonts w:hint="default" w:ascii="Arial" w:hAnsi="Arial" w:eastAsia="SimSun"/>
          <w:b w:val="0"/>
          <w:bCs w:val="0"/>
          <w:color w:val="auto"/>
          <w:sz w:val="24"/>
          <w:szCs w:val="24"/>
          <w:lang w:val="pt-BR"/>
        </w:rPr>
        <w:t>, customização</w:t>
      </w:r>
      <w:r>
        <w:rPr>
          <w:rFonts w:hint="default" w:ascii="Arial" w:hAnsi="Arial" w:eastAsia="SimSun"/>
          <w:b w:val="0"/>
          <w:bCs w:val="0"/>
          <w:color w:val="auto"/>
          <w:sz w:val="24"/>
          <w:szCs w:val="24"/>
        </w:rPr>
        <w:t xml:space="preserve"> e suporte de WebSite Institucional do objeto deste Termo de Referência é imprescindível para manutenção das atividades diárias desenvolvidas pel</w:t>
      </w:r>
      <w:r>
        <w:rPr>
          <w:rFonts w:hint="default" w:ascii="Arial" w:hAnsi="Arial" w:eastAsia="SimSun"/>
          <w:b w:val="0"/>
          <w:bCs w:val="0"/>
          <w:color w:val="auto"/>
          <w:sz w:val="24"/>
          <w:szCs w:val="24"/>
          <w:lang w:val="pt-BR"/>
        </w:rPr>
        <w:t>o IPG</w:t>
      </w:r>
      <w:r>
        <w:rPr>
          <w:rFonts w:hint="default" w:ascii="Arial" w:hAnsi="Arial" w:eastAsia="SimSun"/>
          <w:b w:val="0"/>
          <w:bCs w:val="0"/>
          <w:color w:val="auto"/>
          <w:sz w:val="24"/>
          <w:szCs w:val="24"/>
        </w:rPr>
        <w:t>;</w:t>
      </w:r>
    </w:p>
    <w:p w14:paraId="20C168AA">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FF0000"/>
          <w:sz w:val="24"/>
          <w:szCs w:val="24"/>
        </w:rPr>
      </w:pPr>
    </w:p>
    <w:p w14:paraId="76DD4A06">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auto"/>
          <w:sz w:val="24"/>
          <w:szCs w:val="24"/>
        </w:rPr>
      </w:pPr>
      <w:r>
        <w:rPr>
          <w:rFonts w:hint="default" w:ascii="Arial" w:hAnsi="Arial" w:eastAsia="SimSun"/>
          <w:b w:val="0"/>
          <w:bCs w:val="0"/>
          <w:color w:val="auto"/>
          <w:sz w:val="24"/>
          <w:szCs w:val="24"/>
        </w:rPr>
        <w:t>No que se refere ao quantitativo do objeto disposto no Termo de Referência, o mesmo foi mensurado levando-se em consideração uma quantidade estimada para pelo prazo de 12 (doze) meses, suficiente ao atendimento da demanda, devidamente ponderado em históricos anteriores pelos departamentos responsáveis pela supervisão da Aquisição do Serviço de desenvolvimento, monitoramento, configuração</w:t>
      </w:r>
      <w:r>
        <w:rPr>
          <w:rFonts w:hint="default" w:ascii="Arial" w:hAnsi="Arial" w:eastAsia="SimSun"/>
          <w:b w:val="0"/>
          <w:bCs w:val="0"/>
          <w:color w:val="auto"/>
          <w:sz w:val="24"/>
          <w:szCs w:val="24"/>
          <w:lang w:val="pt-BR"/>
        </w:rPr>
        <w:t xml:space="preserve">, customização </w:t>
      </w:r>
      <w:r>
        <w:rPr>
          <w:rFonts w:hint="default" w:ascii="Arial" w:hAnsi="Arial" w:eastAsia="SimSun"/>
          <w:b w:val="0"/>
          <w:bCs w:val="0"/>
          <w:color w:val="auto"/>
          <w:sz w:val="24"/>
          <w:szCs w:val="24"/>
        </w:rPr>
        <w:t xml:space="preserve"> e suporte de WebSite Institucional, respeitando uma margem de suportar um eventual aumento da demanda;</w:t>
      </w:r>
    </w:p>
    <w:p w14:paraId="2BEFC08E">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FF0000"/>
          <w:sz w:val="24"/>
          <w:szCs w:val="24"/>
        </w:rPr>
      </w:pPr>
    </w:p>
    <w:p w14:paraId="68C49D3F">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bCs/>
          <w:color w:val="FF0000"/>
          <w:sz w:val="24"/>
          <w:szCs w:val="24"/>
          <w:lang w:val="pt-BR"/>
        </w:rPr>
      </w:pPr>
      <w:r>
        <w:rPr>
          <w:rFonts w:hint="default" w:ascii="Arial" w:hAnsi="Arial" w:eastAsia="SimSun"/>
          <w:b/>
          <w:bCs/>
          <w:color w:val="auto"/>
          <w:sz w:val="24"/>
          <w:szCs w:val="24"/>
          <w:lang w:val="pt-BR"/>
        </w:rPr>
        <w:t>ENQUANDRAMENTO DE SERVIÇOS COMUNS:</w:t>
      </w:r>
    </w:p>
    <w:p w14:paraId="5495ECD1">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bCs/>
          <w:color w:val="FF0000"/>
          <w:sz w:val="24"/>
          <w:szCs w:val="24"/>
          <w:lang w:val="pt-BR"/>
        </w:rPr>
      </w:pPr>
    </w:p>
    <w:p w14:paraId="613EEC57">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FF0000"/>
          <w:sz w:val="24"/>
          <w:szCs w:val="24"/>
        </w:rPr>
      </w:pPr>
      <w:r>
        <w:rPr>
          <w:rFonts w:hint="default" w:ascii="Arial" w:hAnsi="Arial" w:eastAsia="SimSun"/>
          <w:b w:val="0"/>
          <w:bCs w:val="0"/>
          <w:color w:val="auto"/>
          <w:sz w:val="24"/>
          <w:szCs w:val="24"/>
        </w:rPr>
        <w:t>Trata-se de Aquisição do Serviço de desenvolvimento, monitoramento, configuração e suporte de WebSite Institucional, cujos padrões de desempenho e qualidade podem ser objetivamente definidos no termo de referência por meio de especificações usuais no mercado.</w:t>
      </w:r>
    </w:p>
    <w:p w14:paraId="55942577">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FF0000"/>
          <w:sz w:val="24"/>
          <w:szCs w:val="24"/>
          <w:lang w:val="pt-BR"/>
        </w:rPr>
      </w:pPr>
    </w:p>
    <w:p w14:paraId="6E166EC4">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p>
    <w:p w14:paraId="12ADE0C2">
      <w:pPr>
        <w:pStyle w:val="12"/>
        <w:keepNext w:val="0"/>
        <w:keepLines w:val="0"/>
        <w:pageBreakBefore w:val="0"/>
        <w:widowControl/>
        <w:numPr>
          <w:ilvl w:val="0"/>
          <w:numId w:val="2"/>
        </w:numPr>
        <w:kinsoku/>
        <w:wordWrap/>
        <w:overflowPunct/>
        <w:topLinePunct w:val="0"/>
        <w:autoSpaceDE/>
        <w:autoSpaceDN/>
        <w:bidi w:val="0"/>
        <w:adjustRightInd/>
        <w:snapToGrid/>
        <w:spacing w:line="240" w:lineRule="auto"/>
        <w:ind w:left="480" w:leftChars="0" w:hanging="480" w:firstLineChars="0"/>
        <w:jc w:val="both"/>
        <w:outlineLvl w:val="9"/>
        <w:rPr>
          <w:rFonts w:hint="default" w:ascii="Arial" w:hAnsi="Arial" w:eastAsia="SimSun" w:cs="Arial"/>
          <w:b/>
          <w:bCs/>
          <w:sz w:val="24"/>
          <w:szCs w:val="24"/>
          <w:lang w:val="pt-BR"/>
        </w:rPr>
      </w:pPr>
      <w:r>
        <w:rPr>
          <w:rFonts w:hint="default" w:ascii="Arial" w:hAnsi="Arial" w:eastAsia="SimSun" w:cs="Arial"/>
          <w:b/>
          <w:bCs/>
          <w:sz w:val="24"/>
          <w:szCs w:val="24"/>
          <w:lang w:val="pt-BR"/>
        </w:rPr>
        <w:t>JUSTIFICATIVA PARA O NÃO PARCELAMENTO DO OBJETO:</w:t>
      </w:r>
    </w:p>
    <w:p w14:paraId="7DCB62C6">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eastAsia="SimSun" w:cs="Arial"/>
          <w:b/>
          <w:bCs/>
          <w:sz w:val="24"/>
          <w:szCs w:val="24"/>
          <w:lang w:val="pt-BR"/>
        </w:rPr>
      </w:pPr>
    </w:p>
    <w:p w14:paraId="2FD846F1">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r>
        <w:rPr>
          <w:rFonts w:hint="default" w:ascii="Arial" w:hAnsi="Arial" w:eastAsia="SimSun"/>
          <w:b w:val="0"/>
          <w:bCs w:val="0"/>
          <w:sz w:val="24"/>
          <w:szCs w:val="24"/>
          <w:lang w:val="pt-BR"/>
        </w:rPr>
        <w:t>Aquisição do Serviço de desenvolvimento, monitoramento, configuração, customização e suporte de WebSite Institucional, supramencionado tem como objetivo mantê-lo sua natureza por compra de acordo com Art. 75, II da Lei 14.133/2021 para atender a demanda e necessidade do IPG.</w:t>
      </w:r>
    </w:p>
    <w:p w14:paraId="21EFFE2A">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p>
    <w:p w14:paraId="02531217">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r>
        <w:rPr>
          <w:rFonts w:hint="default" w:ascii="Arial" w:hAnsi="Arial" w:eastAsia="SimSun"/>
          <w:b w:val="0"/>
          <w:bCs w:val="0"/>
          <w:sz w:val="24"/>
          <w:szCs w:val="24"/>
          <w:lang w:val="pt-BR"/>
        </w:rPr>
        <w:t>A presente contratação contempla Aquisição do Serviço de desenvolvimento, monitoramento, configuração, customização e suporte de WebSite Institucional, no qual uma assinatura permite o acesso a um conjunto de softwares disponibilizados pelo fabricante. Dessa forma, o objeto não pode ser dividido em itens.</w:t>
      </w:r>
    </w:p>
    <w:p w14:paraId="5FAC9433">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p>
    <w:p w14:paraId="366AB1D6">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r>
        <w:rPr>
          <w:rFonts w:hint="default" w:ascii="Arial" w:hAnsi="Arial" w:eastAsia="SimSun"/>
          <w:b w:val="0"/>
          <w:bCs w:val="0"/>
          <w:sz w:val="24"/>
          <w:szCs w:val="24"/>
          <w:lang w:val="pt-BR"/>
        </w:rPr>
        <w:t>A adjudicação do objeto dar-se-á pelo menor preço por item.</w:t>
      </w:r>
    </w:p>
    <w:p w14:paraId="219BADAE">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p>
    <w:p w14:paraId="75ED0D20">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r>
        <w:rPr>
          <w:rFonts w:hint="default" w:ascii="Arial" w:hAnsi="Arial" w:eastAsia="SimSun"/>
          <w:b w:val="0"/>
          <w:bCs w:val="0"/>
          <w:sz w:val="24"/>
          <w:szCs w:val="24"/>
          <w:lang w:val="pt-BR"/>
        </w:rPr>
        <w:t xml:space="preserve">Compete a administração buscar o menor dispêndio possível de recursos, assegurando a qualidade da Aquisição do Serviço de desenvolvimento, monitoramento, configuração, customização e suporte de WebSite Institucional, o que exige a escolha da solução mais adequada e eficiente dentre as diversas opções existentes já por ocasião da definição do objeto e das condições da contratação, posto que é essa descrição que impulsiona a seleção da proposta mais vantajosa, objetivo precípuo da licitação, nos termos do artigo 2º do Regulamento. Nessa linha é a lição de Marçal Justen Filho: </w:t>
      </w:r>
    </w:p>
    <w:p w14:paraId="0AFD0B95">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p>
    <w:p w14:paraId="462F829B">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2800" w:leftChars="1400" w:firstLine="0" w:firstLineChars="0"/>
        <w:contextualSpacing/>
        <w:jc w:val="both"/>
        <w:outlineLvl w:val="9"/>
        <w:rPr>
          <w:rFonts w:hint="default" w:ascii="Arial" w:hAnsi="Arial" w:eastAsia="SimSun"/>
          <w:b w:val="0"/>
          <w:bCs w:val="0"/>
          <w:sz w:val="24"/>
          <w:szCs w:val="24"/>
          <w:lang w:val="pt-BR"/>
        </w:rPr>
      </w:pPr>
      <w:r>
        <w:rPr>
          <w:rFonts w:hint="default" w:ascii="Arial" w:hAnsi="Arial" w:eastAsia="SimSun"/>
          <w:b w:val="0"/>
          <w:bCs w:val="0"/>
          <w:sz w:val="24"/>
          <w:szCs w:val="24"/>
          <w:lang w:val="pt-BR"/>
        </w:rPr>
        <w:t>“Como regra, as contratações promovidas pela Administração apresentam um custo. Esse custo consiste não apenas no montante de recursos públicos transferidos a terceiros. Mais que isso, o custo imposto à Administração se relaciona com a necessidade de opção entre diversas soluções mutuamente excludentes. Quando a Administração desembolsa um montante de recursos para uma contratação determinada, o referido montante não poderá ser utilizado para promover outras atividades. Por isso, existe o dever de a Administração desembolsar o menor valor possível para obter uma prestação porque isso lhe assegurará a possibilidade de desenvolver outras atividades com os recursos remanescentes. A vantagem caracteriza-se como a adequação e satisfação do interesse coletivo por via da execução do contrato. A maior vantagem possível configura-se pela conjugação de dois aspectos interrelacionados. Um dos ângulos relaciona-se com a prestação a ser executada por parte da Administração; o outro vincula-se à prestação à cargo do particular. A maior vantagem apresenta-se quando a Administração assumir o dever de realizar a prestação menos onerosa e o particular se obrigar a realizar a melhor e mais completa prestação. Configura-se, portanto, uma relação custo-benefício. A maior vantagem corresponde à situação de menor custo e maior benefício para a Administração.”</w:t>
      </w:r>
    </w:p>
    <w:p w14:paraId="1A18AE0B">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p>
    <w:p w14:paraId="100A2191">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2800" w:leftChars="1400" w:firstLine="0" w:firstLineChars="0"/>
        <w:contextualSpacing/>
        <w:jc w:val="both"/>
        <w:outlineLvl w:val="9"/>
        <w:rPr>
          <w:rFonts w:hint="default" w:ascii="Arial" w:hAnsi="Arial" w:eastAsia="SimSun"/>
          <w:b w:val="0"/>
          <w:bCs w:val="0"/>
          <w:sz w:val="24"/>
          <w:szCs w:val="24"/>
          <w:lang w:val="pt-BR"/>
        </w:rPr>
      </w:pPr>
      <w:r>
        <w:rPr>
          <w:rFonts w:hint="default" w:ascii="Arial" w:hAnsi="Arial" w:eastAsia="SimSun"/>
          <w:b w:val="0"/>
          <w:bCs w:val="0"/>
          <w:sz w:val="24"/>
          <w:szCs w:val="24"/>
          <w:lang w:val="pt-BR"/>
        </w:rPr>
        <w:t>“Proíbe-se a aplicação de recursos públicos em empreendimentos com dimensões não estimadas ou estimadas em perspectivas irreais, inexequíveis, onerosas ou não isonômicas. Não poderá ser desencadeado um empreendimento sem serem cumpridas todas as exigências prévias. Nem sequer poderá iniciar-se a licitação sem o cumprimento de tais requisitos, que se inserem na fase interna da atividade administrativa. (...) As duas finalidades básicas da etapa interna A primeira finalidade da Lei é evitar contratações administrativas defeituosas, assim entendidas aquelas que se inviabilizem ao longo da execução do objeto ou que não assegurem o aproveitamento mais eficiente dos recursos públicos. Outra finalidade legal é promover uma licitação satisfatória, reduzindo o risco de conflitos, impugnações e atrasos. A definição do contrato e a fixação das condições da licitação. Para atingir essas duas finalidades, é imperioso que a Administração identifique de modo perfeito o objeto a ser executado, a presença dos requisitos legais de admissibilidade da contratação e a conveniência da solução a ser adotada para execução do objeto contratado. Essa é a primeira etapa a ser cumprida pela Administração.” (grifou-se) A partir dessas premissas é que se deve avaliar o parcelamento do objeto , sem esquecer que, a rigor, objetos divisíveis, complexos ou de naturezas distintas devem ser parcelados em itens independentes com vistas à ampliação da competitividade– princípio básico da licitação–, propiciando, assim, que os licitantes apresentem propostas individualizadas para cada um deles, de acordo com suas condições, e, igualmente, que o julgamento seja feito emrelação a cada qual, o que usualmente resulta em preços mais vantajosos. O não parcelamento do objeto, seja para os fins da adoção de um objeto único ou mesmo do agrupamento de itens em lotes– que por óbvio devem guardar compatibilidade entre si, admitir julgamento com base em um mesmo critério e permitir execução por um mesmo fornecedor–, por sua vez, deve ser visto com cautela e exige justificativa adequada e consistente, já que ao menos em tese reduz a competitividade, na medida que impõe a cotação do global ou de todos os itens que compõem cada lote pelos particulares, e pode também não resultar na escolha da proposta efetivamente mais vantajosa, em virtude de o julgamento considerar o custo total do objeto ou de cada lote definido, conforme o caso, e não dos itens isolados. Bem por isso é que a decisão relativa à divisão ou não do objeto deve ser motivada em cada caso concreto e deve ser precedida de estudos do mercado específico ainda na fase interna da contratação, que evidenciem a vantagem sob a ótica técnica e/ou econômica.”</w:t>
      </w:r>
    </w:p>
    <w:p w14:paraId="6F63A622">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p>
    <w:p w14:paraId="2C20D78E">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r>
        <w:rPr>
          <w:rFonts w:hint="default" w:ascii="Arial" w:hAnsi="Arial" w:eastAsia="SimSun"/>
          <w:b w:val="0"/>
          <w:bCs w:val="0"/>
          <w:sz w:val="24"/>
          <w:szCs w:val="24"/>
          <w:lang w:val="pt-BR"/>
        </w:rPr>
        <w:t xml:space="preserve">Neste sentido, esclarecemos que nossa análise aponta para o NÃO PARCELAMENTO do objeto. Uma vez que quando reparamos o conjunto de aquisições (compras) especificadas neste termo, as compras como regra, devem atender ao parcelamento quando for tecnicamente viável e economicamente vantajoso (art. 40, inciso V, alínea b, da Lei nº 14.133/2021). </w:t>
      </w:r>
    </w:p>
    <w:p w14:paraId="000AE393">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p>
    <w:p w14:paraId="3579CD79">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r>
        <w:rPr>
          <w:rFonts w:hint="default" w:ascii="Arial" w:hAnsi="Arial" w:eastAsia="SimSun"/>
          <w:b w:val="0"/>
          <w:bCs w:val="0"/>
          <w:sz w:val="24"/>
          <w:szCs w:val="24"/>
          <w:lang w:val="pt-BR"/>
        </w:rPr>
        <w:t>Cabe ressaltar que este objeto não é viável o parcelamento de itens, ou seja, não podendo ser executada de forma independente. Por exemplo, não é viável uma empresa vir e fornecer um serviço de desenvolvimento, monitoramento, configuração, customização e suporte de WebSite Institucional e outra empresa fornecer outro, isso deve estar sob a mesma responsabilidade de entrega ou execução como etapas interligadas e não isoladas. Uma vez que, para que não haja falha ou problema na execução do WebSite, pois buscamos o menor preço global, para execução do grupo (itens) de maior representatividade no orçamento, sendo assim não se comprova no caso em tela, pelas medidas adotadas pela administração que técnica e econômica viável na vantajosidade de tal parcelamento.</w:t>
      </w:r>
    </w:p>
    <w:p w14:paraId="01824D5A">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sz w:val="24"/>
          <w:szCs w:val="24"/>
          <w:lang w:val="pt-BR"/>
        </w:rPr>
      </w:pPr>
    </w:p>
    <w:p w14:paraId="374854EF">
      <w:pPr>
        <w:pStyle w:val="12"/>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0" w:firstLineChars="0"/>
        <w:jc w:val="both"/>
        <w:outlineLvl w:val="9"/>
        <w:rPr>
          <w:rFonts w:hint="default" w:ascii="Arial" w:hAnsi="Arial" w:eastAsia="SimSun" w:cs="Arial"/>
          <w:b/>
          <w:bCs/>
          <w:sz w:val="24"/>
          <w:szCs w:val="24"/>
        </w:rPr>
      </w:pPr>
      <w:r>
        <w:rPr>
          <w:rFonts w:hint="default" w:ascii="Arial" w:hAnsi="Arial" w:eastAsia="SimSun" w:cs="Arial"/>
          <w:b/>
          <w:bCs/>
          <w:sz w:val="24"/>
          <w:szCs w:val="24"/>
        </w:rPr>
        <w:t>JUSTIFICATIVA D</w:t>
      </w:r>
      <w:r>
        <w:rPr>
          <w:rFonts w:hint="default" w:ascii="Arial" w:hAnsi="Arial" w:eastAsia="SimSun" w:cs="Arial"/>
          <w:b/>
          <w:bCs/>
          <w:sz w:val="24"/>
          <w:szCs w:val="24"/>
          <w:lang w:val="pt-BR"/>
        </w:rPr>
        <w:t>A DISPENSA</w:t>
      </w:r>
    </w:p>
    <w:p w14:paraId="21AD518A">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eastAsia="SimSun" w:cs="Arial"/>
          <w:b/>
          <w:bCs/>
          <w:sz w:val="24"/>
          <w:szCs w:val="24"/>
        </w:rPr>
      </w:pPr>
    </w:p>
    <w:p w14:paraId="1CD600DF">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jc w:val="both"/>
        <w:outlineLvl w:val="9"/>
        <w:rPr>
          <w:rFonts w:hint="default" w:ascii="Arial" w:hAnsi="Arial" w:eastAsia="SimSun"/>
          <w:sz w:val="24"/>
          <w:szCs w:val="24"/>
        </w:rPr>
      </w:pPr>
      <w:r>
        <w:rPr>
          <w:rFonts w:hint="default" w:ascii="Arial" w:hAnsi="Arial" w:eastAsia="SimSun"/>
          <w:sz w:val="24"/>
          <w:szCs w:val="24"/>
        </w:rPr>
        <w:t>A presente Aquisição do Serviço de desenvolvimento, monitoramento, configuração</w:t>
      </w:r>
      <w:r>
        <w:rPr>
          <w:rFonts w:hint="default" w:ascii="Arial" w:hAnsi="Arial" w:eastAsia="SimSun"/>
          <w:sz w:val="24"/>
          <w:szCs w:val="24"/>
          <w:lang w:val="pt-BR"/>
        </w:rPr>
        <w:t xml:space="preserve">, </w:t>
      </w:r>
      <w:r>
        <w:rPr>
          <w:rFonts w:hint="default" w:ascii="Arial" w:hAnsi="Arial" w:eastAsia="SimSun"/>
          <w:b w:val="0"/>
          <w:bCs w:val="0"/>
          <w:sz w:val="24"/>
          <w:szCs w:val="24"/>
          <w:lang w:val="pt-BR"/>
        </w:rPr>
        <w:t>customização</w:t>
      </w:r>
      <w:r>
        <w:rPr>
          <w:rFonts w:hint="default" w:ascii="Arial" w:hAnsi="Arial" w:eastAsia="SimSun"/>
          <w:sz w:val="24"/>
          <w:szCs w:val="24"/>
        </w:rPr>
        <w:t xml:space="preserve"> e suporte de WebSite Institucional, deverá ser realizada por dispensa de licitação, com fundamento no art. 75, II, da Lei n. 14.133/2021- NLL.</w:t>
      </w:r>
    </w:p>
    <w:p w14:paraId="1607DA33">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jc w:val="both"/>
        <w:outlineLvl w:val="9"/>
        <w:rPr>
          <w:rFonts w:hint="default" w:ascii="Arial" w:hAnsi="Arial" w:eastAsia="SimSun"/>
          <w:sz w:val="24"/>
          <w:szCs w:val="24"/>
        </w:rPr>
      </w:pPr>
    </w:p>
    <w:p w14:paraId="3EFB880F">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jc w:val="both"/>
        <w:outlineLvl w:val="9"/>
        <w:rPr>
          <w:rFonts w:hint="default" w:ascii="Arial" w:hAnsi="Arial" w:eastAsia="SimSun"/>
          <w:sz w:val="24"/>
          <w:szCs w:val="24"/>
        </w:rPr>
      </w:pPr>
      <w:r>
        <w:rPr>
          <w:rFonts w:hint="default" w:ascii="Arial" w:hAnsi="Arial" w:eastAsia="SimSun"/>
          <w:sz w:val="24"/>
          <w:szCs w:val="24"/>
        </w:rPr>
        <w:t>Os novos procedimentos trazidos pela NLL e a transição e capacitação de pessoal para a Aquisição da Licença do software mediante procedimento legal (pregão) acarretou a presente contratação com amparo no dispositivo supracitado.</w:t>
      </w:r>
    </w:p>
    <w:p w14:paraId="3EE61A7B">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jc w:val="both"/>
        <w:outlineLvl w:val="9"/>
        <w:rPr>
          <w:rFonts w:hint="default" w:ascii="Arial" w:hAnsi="Arial" w:eastAsia="SimSun"/>
          <w:sz w:val="24"/>
          <w:szCs w:val="24"/>
        </w:rPr>
      </w:pPr>
    </w:p>
    <w:p w14:paraId="6F3D6F31">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jc w:val="both"/>
        <w:outlineLvl w:val="9"/>
        <w:rPr>
          <w:rFonts w:hint="default" w:ascii="Arial" w:hAnsi="Arial" w:eastAsia="SimSun" w:cs="Arial"/>
          <w:sz w:val="24"/>
          <w:szCs w:val="24"/>
          <w:lang w:val="pt-BR" w:eastAsia="zh-CN"/>
        </w:rPr>
      </w:pPr>
    </w:p>
    <w:p w14:paraId="6C1C0DC4">
      <w:pPr>
        <w:pStyle w:val="12"/>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0" w:firstLineChars="0"/>
        <w:jc w:val="both"/>
        <w:outlineLvl w:val="9"/>
        <w:rPr>
          <w:rFonts w:hint="default" w:ascii="Arial" w:hAnsi="Arial" w:cs="Arial"/>
          <w:sz w:val="24"/>
          <w:szCs w:val="24"/>
        </w:rPr>
      </w:pPr>
      <w:r>
        <w:rPr>
          <w:rFonts w:hint="default" w:ascii="Arial" w:hAnsi="Arial"/>
          <w:b/>
          <w:bCs/>
          <w:sz w:val="24"/>
          <w:szCs w:val="24"/>
        </w:rPr>
        <w:t>DISPENSA DE ELABORAÇÃO DE</w:t>
      </w:r>
      <w:r>
        <w:rPr>
          <w:rFonts w:hint="default" w:ascii="Arial" w:hAnsi="Arial"/>
          <w:b/>
          <w:bCs/>
          <w:sz w:val="24"/>
          <w:szCs w:val="24"/>
          <w:lang w:val="pt-BR"/>
        </w:rPr>
        <w:t xml:space="preserve"> </w:t>
      </w:r>
      <w:r>
        <w:rPr>
          <w:rFonts w:hint="default" w:ascii="Arial" w:hAnsi="Arial"/>
          <w:b/>
          <w:bCs/>
          <w:sz w:val="24"/>
          <w:szCs w:val="24"/>
        </w:rPr>
        <w:t>ESTUDO</w:t>
      </w:r>
      <w:r>
        <w:rPr>
          <w:rFonts w:hint="default" w:ascii="Arial" w:hAnsi="Arial"/>
          <w:b/>
          <w:bCs/>
          <w:sz w:val="24"/>
          <w:szCs w:val="24"/>
          <w:lang w:val="pt-BR"/>
        </w:rPr>
        <w:t xml:space="preserve"> </w:t>
      </w:r>
      <w:r>
        <w:rPr>
          <w:rFonts w:hint="default" w:ascii="Arial" w:hAnsi="Arial"/>
          <w:b/>
          <w:bCs/>
          <w:sz w:val="24"/>
          <w:szCs w:val="24"/>
        </w:rPr>
        <w:t>TÉCNICO</w:t>
      </w:r>
      <w:r>
        <w:rPr>
          <w:rFonts w:hint="default" w:ascii="Arial" w:hAnsi="Arial"/>
          <w:b/>
          <w:bCs/>
          <w:sz w:val="24"/>
          <w:szCs w:val="24"/>
          <w:lang w:val="pt-BR"/>
        </w:rPr>
        <w:t xml:space="preserve"> </w:t>
      </w:r>
      <w:r>
        <w:rPr>
          <w:rFonts w:hint="default" w:ascii="Arial" w:hAnsi="Arial"/>
          <w:b/>
          <w:bCs/>
          <w:sz w:val="24"/>
          <w:szCs w:val="24"/>
        </w:rPr>
        <w:t>PRELIMINAR</w:t>
      </w:r>
      <w:r>
        <w:rPr>
          <w:rFonts w:hint="default" w:ascii="Arial" w:hAnsi="Arial" w:cs="Arial"/>
          <w:b/>
          <w:bCs/>
          <w:sz w:val="24"/>
          <w:szCs w:val="24"/>
        </w:rPr>
        <w:t xml:space="preserve"> :</w:t>
      </w:r>
    </w:p>
    <w:p w14:paraId="7EC8EDD0">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cs="Arial"/>
          <w:sz w:val="24"/>
          <w:szCs w:val="24"/>
        </w:rPr>
      </w:pPr>
    </w:p>
    <w:p w14:paraId="5058EBDF">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auto"/>
          <w:sz w:val="24"/>
          <w:szCs w:val="24"/>
        </w:rPr>
      </w:pPr>
      <w:r>
        <w:rPr>
          <w:rFonts w:hint="default" w:ascii="Arial" w:hAnsi="Arial" w:eastAsia="SimSun"/>
          <w:b w:val="0"/>
          <w:bCs w:val="0"/>
          <w:color w:val="auto"/>
          <w:sz w:val="24"/>
          <w:szCs w:val="24"/>
        </w:rPr>
        <w:t>De acordo com o Decreto Municipal nº 248/2023, dispões sobre a elaboração do Estudo Técnico Preliminar para aquisição de bens e a contratação de serviços - art. 7º, II.</w:t>
      </w:r>
    </w:p>
    <w:p w14:paraId="3F9DED87">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contextualSpacing/>
        <w:jc w:val="both"/>
        <w:outlineLvl w:val="9"/>
        <w:rPr>
          <w:rFonts w:hint="default" w:ascii="Arial" w:hAnsi="Arial" w:eastAsia="SimSun"/>
          <w:b w:val="0"/>
          <w:bCs w:val="0"/>
          <w:color w:val="auto"/>
          <w:sz w:val="24"/>
          <w:szCs w:val="24"/>
          <w:lang w:val="pt-BR"/>
        </w:rPr>
      </w:pPr>
      <w:r>
        <w:rPr>
          <w:rFonts w:hint="default" w:ascii="Arial" w:hAnsi="Arial" w:eastAsia="SimSun"/>
          <w:b w:val="0"/>
          <w:bCs w:val="0"/>
          <w:color w:val="auto"/>
          <w:sz w:val="24"/>
          <w:szCs w:val="24"/>
          <w:lang w:val="pt-BR"/>
        </w:rPr>
        <w:tab/>
      </w:r>
      <w:r>
        <w:rPr>
          <w:rFonts w:hint="default" w:ascii="Arial" w:hAnsi="Arial" w:eastAsia="SimSun"/>
          <w:b w:val="0"/>
          <w:bCs w:val="0"/>
          <w:color w:val="auto"/>
          <w:sz w:val="24"/>
          <w:szCs w:val="24"/>
          <w:lang w:val="pt-BR"/>
        </w:rPr>
        <w:tab/>
      </w:r>
      <w:r>
        <w:rPr>
          <w:rFonts w:hint="default" w:ascii="Arial" w:hAnsi="Arial" w:eastAsia="SimSun"/>
          <w:b w:val="0"/>
          <w:bCs w:val="0"/>
          <w:color w:val="auto"/>
          <w:sz w:val="24"/>
          <w:szCs w:val="24"/>
          <w:lang w:val="pt-BR"/>
        </w:rPr>
        <w:t xml:space="preserve">Art. 7. A elaboração do ETP é dispensável, mediante justificativa, </w:t>
      </w:r>
      <w:r>
        <w:rPr>
          <w:rFonts w:hint="default" w:ascii="Arial" w:hAnsi="Arial" w:eastAsia="SimSun"/>
          <w:b w:val="0"/>
          <w:bCs w:val="0"/>
          <w:color w:val="auto"/>
          <w:sz w:val="24"/>
          <w:szCs w:val="24"/>
          <w:lang w:val="pt-BR"/>
        </w:rPr>
        <w:tab/>
      </w:r>
      <w:r>
        <w:rPr>
          <w:rFonts w:hint="default" w:ascii="Arial" w:hAnsi="Arial" w:eastAsia="SimSun"/>
          <w:b w:val="0"/>
          <w:bCs w:val="0"/>
          <w:color w:val="auto"/>
          <w:sz w:val="24"/>
          <w:szCs w:val="24"/>
          <w:lang w:val="pt-BR"/>
        </w:rPr>
        <w:tab/>
      </w:r>
      <w:r>
        <w:rPr>
          <w:rFonts w:hint="default" w:ascii="Arial" w:hAnsi="Arial" w:eastAsia="SimSun"/>
          <w:b w:val="0"/>
          <w:bCs w:val="0"/>
          <w:color w:val="auto"/>
          <w:sz w:val="24"/>
          <w:szCs w:val="24"/>
          <w:lang w:val="pt-BR"/>
        </w:rPr>
        <w:t>nas seguintes hipóteses:</w:t>
      </w:r>
    </w:p>
    <w:p w14:paraId="62CA5F54">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708" w:leftChars="0" w:firstLine="708" w:firstLineChars="0"/>
        <w:contextualSpacing/>
        <w:jc w:val="both"/>
        <w:outlineLvl w:val="9"/>
        <w:rPr>
          <w:rFonts w:hint="default" w:ascii="Arial" w:hAnsi="Arial" w:eastAsia="SimSun"/>
          <w:b w:val="0"/>
          <w:bCs w:val="0"/>
          <w:color w:val="auto"/>
          <w:sz w:val="24"/>
          <w:szCs w:val="24"/>
          <w:lang w:val="pt-BR"/>
        </w:rPr>
      </w:pPr>
      <w:r>
        <w:rPr>
          <w:rFonts w:hint="default" w:ascii="Arial" w:hAnsi="Arial" w:eastAsia="SimSun"/>
          <w:b w:val="0"/>
          <w:bCs w:val="0"/>
          <w:color w:val="auto"/>
          <w:sz w:val="24"/>
          <w:szCs w:val="24"/>
          <w:lang w:val="pt-BR"/>
        </w:rPr>
        <w:t xml:space="preserve">II - para contratação que envolva valores inferiores a </w:t>
      </w:r>
      <w:r>
        <w:rPr>
          <w:rFonts w:hint="default" w:ascii="Arial" w:hAnsi="Arial" w:eastAsia="SimSun"/>
          <w:b w:val="0"/>
          <w:bCs w:val="0"/>
          <w:color w:val="auto"/>
          <w:sz w:val="24"/>
          <w:szCs w:val="24"/>
          <w:lang w:val="pt-BR"/>
        </w:rPr>
        <w:tab/>
      </w:r>
      <w:r>
        <w:rPr>
          <w:rFonts w:hint="default" w:ascii="Arial" w:hAnsi="Arial" w:eastAsia="SimSun"/>
          <w:b w:val="0"/>
          <w:bCs w:val="0"/>
          <w:color w:val="auto"/>
          <w:sz w:val="24"/>
          <w:szCs w:val="24"/>
          <w:lang w:val="pt-BR"/>
        </w:rPr>
        <w:t xml:space="preserve">R$ 50.000,00 (cinquenta mil reais), no caso de outros serviços e </w:t>
      </w:r>
      <w:r>
        <w:rPr>
          <w:rFonts w:hint="default" w:ascii="Arial" w:hAnsi="Arial" w:eastAsia="SimSun"/>
          <w:b w:val="0"/>
          <w:bCs w:val="0"/>
          <w:color w:val="auto"/>
          <w:sz w:val="24"/>
          <w:szCs w:val="24"/>
          <w:lang w:val="pt-BR"/>
        </w:rPr>
        <w:tab/>
      </w:r>
      <w:r>
        <w:rPr>
          <w:rFonts w:hint="default" w:ascii="Arial" w:hAnsi="Arial" w:eastAsia="SimSun"/>
          <w:b w:val="0"/>
          <w:bCs w:val="0"/>
          <w:color w:val="auto"/>
          <w:sz w:val="24"/>
          <w:szCs w:val="24"/>
          <w:lang w:val="pt-BR"/>
        </w:rPr>
        <w:t>compras; (inciso VII do art. 75 da Lei nº 14.133/2021).</w:t>
      </w:r>
    </w:p>
    <w:p w14:paraId="1DBD17F5">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outlineLvl w:val="9"/>
        <w:rPr>
          <w:rFonts w:hint="default" w:ascii="Arial" w:hAnsi="Arial"/>
          <w:sz w:val="24"/>
          <w:szCs w:val="24"/>
        </w:rPr>
      </w:pPr>
    </w:p>
    <w:p w14:paraId="30316F19">
      <w:pPr>
        <w:pStyle w:val="12"/>
        <w:keepNext w:val="0"/>
        <w:keepLines w:val="0"/>
        <w:pageBreakBefore w:val="0"/>
        <w:widowControl/>
        <w:numPr>
          <w:ilvl w:val="0"/>
          <w:numId w:val="2"/>
        </w:numPr>
        <w:kinsoku/>
        <w:wordWrap/>
        <w:overflowPunct/>
        <w:topLinePunct w:val="0"/>
        <w:autoSpaceDE/>
        <w:autoSpaceDN/>
        <w:bidi w:val="0"/>
        <w:adjustRightInd/>
        <w:snapToGrid/>
        <w:spacing w:before="0" w:after="0" w:line="240" w:lineRule="auto"/>
        <w:ind w:left="0" w:leftChars="0" w:firstLine="0" w:firstLineChars="0"/>
        <w:contextualSpacing/>
        <w:jc w:val="both"/>
        <w:outlineLvl w:val="9"/>
        <w:rPr>
          <w:rFonts w:hint="default" w:ascii="Arial" w:hAnsi="Arial" w:eastAsia="SimSun" w:cs="Arial"/>
          <w:sz w:val="24"/>
          <w:szCs w:val="24"/>
        </w:rPr>
      </w:pPr>
      <w:r>
        <w:rPr>
          <w:rFonts w:hint="default" w:ascii="Arial" w:hAnsi="Arial" w:eastAsia="SimSun" w:cs="Arial"/>
          <w:b/>
          <w:bCs/>
          <w:sz w:val="24"/>
          <w:szCs w:val="24"/>
        </w:rPr>
        <w:t>CONDIÇÕES DE PAGAMENTO</w:t>
      </w:r>
      <w:r>
        <w:rPr>
          <w:rFonts w:hint="default" w:ascii="Arial" w:hAnsi="Arial" w:eastAsia="SimSun" w:cs="Arial"/>
          <w:sz w:val="24"/>
          <w:szCs w:val="24"/>
        </w:rPr>
        <w:t xml:space="preserve"> </w:t>
      </w:r>
    </w:p>
    <w:p w14:paraId="127A4BF6">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p>
    <w:p w14:paraId="4AC75473">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r>
        <w:rPr>
          <w:rFonts w:hint="default" w:ascii="Arial" w:hAnsi="Arial" w:eastAsia="SimSun"/>
          <w:sz w:val="24"/>
          <w:szCs w:val="24"/>
        </w:rPr>
        <w:t xml:space="preserve">O pagamento será realizado no prazo máximo de até 30 (trinta) dias, contados a partir do recebimento da Nota Fiscal devidamente atestada, através de ordem bancária, para crédito em banco, agência e conta corrente indicados pelo contratado. </w:t>
      </w:r>
    </w:p>
    <w:p w14:paraId="01A38BD8">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p>
    <w:p w14:paraId="15C3D0FE">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r>
        <w:rPr>
          <w:rFonts w:hint="default" w:ascii="Arial" w:hAnsi="Arial" w:eastAsia="SimSun"/>
          <w:sz w:val="24"/>
          <w:szCs w:val="24"/>
        </w:rPr>
        <w:t xml:space="preserve">Considera-se ocorrido o recebimento da nota fiscal ou fatura no momento em que o órgão contratante atestar a execução do objeto, conforme descrito na ordem de fornecimento. </w:t>
      </w:r>
    </w:p>
    <w:p w14:paraId="19C2915F">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p>
    <w:p w14:paraId="59056883">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r>
        <w:rPr>
          <w:rFonts w:hint="default" w:ascii="Arial" w:hAnsi="Arial" w:eastAsia="SimSun"/>
          <w:sz w:val="24"/>
          <w:szCs w:val="24"/>
        </w:rPr>
        <w:t xml:space="preserve">A Nota Fiscal deverá ser obrigatoriamente acompanhada da comprovação da regularidade fiscal. </w:t>
      </w:r>
    </w:p>
    <w:p w14:paraId="5CAB5B2C">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p>
    <w:p w14:paraId="15329D30">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r>
        <w:rPr>
          <w:rFonts w:hint="default" w:ascii="Arial" w:hAnsi="Arial" w:eastAsia="SimSun"/>
          <w:sz w:val="24"/>
          <w:szCs w:val="24"/>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18F5AD3C">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p>
    <w:p w14:paraId="05652CB2">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r>
        <w:rPr>
          <w:rFonts w:hint="default" w:ascii="Arial" w:hAnsi="Arial" w:eastAsia="SimSun"/>
          <w:sz w:val="24"/>
          <w:szCs w:val="24"/>
        </w:rPr>
        <w:t xml:space="preserve">Será considerada data do pagamento o dia em que constar como emitida a ordem bancária para pagamento. </w:t>
      </w:r>
    </w:p>
    <w:p w14:paraId="7F99375D">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p>
    <w:p w14:paraId="3E95E99E">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eastAsia="SimSun"/>
          <w:sz w:val="24"/>
          <w:szCs w:val="24"/>
        </w:rPr>
      </w:pPr>
      <w:r>
        <w:rPr>
          <w:rFonts w:hint="default" w:ascii="Arial" w:hAnsi="Arial" w:eastAsia="SimSun"/>
          <w:sz w:val="24"/>
          <w:szCs w:val="24"/>
        </w:rPr>
        <w:t>Quando do pagamento, será efetuada a retenção tributária prevista na legislação aplicável.</w:t>
      </w:r>
    </w:p>
    <w:p w14:paraId="0805248A">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SimSun" w:hAnsi="SimSun" w:eastAsia="SimSun" w:cs="SimSun"/>
          <w:sz w:val="24"/>
          <w:szCs w:val="24"/>
        </w:rPr>
      </w:pPr>
      <w:r>
        <w:rPr>
          <w:rFonts w:hint="default" w:ascii="Arial" w:hAnsi="Arial" w:eastAsia="SimSun"/>
          <w:sz w:val="24"/>
          <w:szCs w:val="24"/>
        </w:rPr>
        <w:t xml:space="preserve"> </w:t>
      </w:r>
    </w:p>
    <w:p w14:paraId="7A72254C">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sz w:val="24"/>
          <w:szCs w:val="24"/>
          <w:highlight w:val="none"/>
        </w:rPr>
      </w:pPr>
      <w:r>
        <w:rPr>
          <w:rFonts w:hint="default" w:ascii="Arial" w:hAnsi="Arial" w:cs="Arial"/>
          <w:b/>
          <w:bCs/>
          <w:sz w:val="24"/>
          <w:szCs w:val="24"/>
          <w:lang w:val="pt-BR"/>
        </w:rPr>
        <w:t>7</w:t>
      </w:r>
      <w:r>
        <w:rPr>
          <w:rFonts w:hint="default" w:ascii="Arial" w:hAnsi="Arial" w:cs="Arial"/>
          <w:b/>
          <w:bCs/>
          <w:sz w:val="24"/>
          <w:szCs w:val="24"/>
        </w:rPr>
        <w:t>.1.</w:t>
      </w:r>
      <w:r>
        <w:rPr>
          <w:rFonts w:hint="default" w:ascii="Arial" w:hAnsi="Arial" w:cs="Arial"/>
          <w:sz w:val="24"/>
          <w:szCs w:val="24"/>
        </w:rPr>
        <w:t xml:space="preserve"> Os recursos financeiros necessários aos pagamentos do objeto desta contratação são oriundos da seguinte </w:t>
      </w:r>
      <w:r>
        <w:rPr>
          <w:rFonts w:hint="default" w:ascii="Arial" w:hAnsi="Arial" w:cs="Arial"/>
          <w:sz w:val="24"/>
          <w:szCs w:val="24"/>
          <w:highlight w:val="none"/>
        </w:rPr>
        <w:t>dotação orçamentária:</w:t>
      </w:r>
    </w:p>
    <w:p w14:paraId="061F18DC">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b/>
          <w:bCs/>
          <w:sz w:val="24"/>
          <w:szCs w:val="24"/>
        </w:rPr>
      </w:pPr>
    </w:p>
    <w:p w14:paraId="3F399521">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708" w:firstLineChars="0"/>
        <w:contextualSpacing/>
        <w:jc w:val="both"/>
        <w:outlineLvl w:val="9"/>
        <w:rPr>
          <w:rFonts w:hint="default" w:ascii="Arial" w:hAnsi="Arial" w:cs="Arial"/>
          <w:b w:val="0"/>
          <w:bCs/>
          <w:color w:val="auto"/>
          <w:sz w:val="24"/>
          <w:szCs w:val="24"/>
          <w:lang w:val="pt-BR" w:eastAsia="pt-BR"/>
        </w:rPr>
      </w:pPr>
      <w:r>
        <w:rPr>
          <w:rFonts w:hint="default" w:ascii="Arial" w:hAnsi="Arial" w:cs="Arial"/>
          <w:b w:val="0"/>
          <w:bCs/>
          <w:color w:val="auto"/>
          <w:sz w:val="24"/>
          <w:szCs w:val="24"/>
          <w:lang w:val="pt-BR" w:eastAsia="pt-BR"/>
        </w:rPr>
        <w:t>UG:</w:t>
      </w:r>
      <w:r>
        <w:rPr>
          <w:rFonts w:hint="default" w:ascii="Arial" w:hAnsi="Arial" w:cs="Arial"/>
          <w:b w:val="0"/>
          <w:bCs/>
          <w:color w:val="auto"/>
          <w:sz w:val="24"/>
          <w:szCs w:val="24"/>
          <w:lang w:val="en-US" w:eastAsia="pt-BR"/>
        </w:rPr>
        <w:t xml:space="preserve"> </w:t>
      </w:r>
      <w:r>
        <w:rPr>
          <w:rFonts w:hint="default" w:ascii="Arial" w:hAnsi="Arial" w:cs="Arial"/>
          <w:b/>
          <w:bCs w:val="0"/>
          <w:color w:val="auto"/>
          <w:sz w:val="24"/>
          <w:szCs w:val="24"/>
          <w:lang w:val="en-US" w:eastAsia="pt-BR"/>
        </w:rPr>
        <w:t>301</w:t>
      </w:r>
      <w:r>
        <w:rPr>
          <w:rFonts w:hint="default" w:ascii="Arial" w:hAnsi="Arial" w:cs="Arial"/>
          <w:b w:val="0"/>
          <w:bCs/>
          <w:color w:val="auto"/>
          <w:sz w:val="24"/>
          <w:szCs w:val="24"/>
          <w:lang w:val="en-US" w:eastAsia="pt-BR"/>
        </w:rPr>
        <w:t xml:space="preserve"> - </w:t>
      </w:r>
      <w:r>
        <w:rPr>
          <w:rFonts w:hint="default" w:ascii="Arial" w:hAnsi="Arial" w:cs="Arial"/>
          <w:b w:val="0"/>
          <w:bCs/>
          <w:color w:val="auto"/>
          <w:sz w:val="24"/>
          <w:szCs w:val="24"/>
          <w:lang w:val="pt-BR" w:eastAsia="pt-BR"/>
        </w:rPr>
        <w:t>Inst. de Prev. Dos Serv. do Mun. de Guarapari / ES – IPG</w:t>
      </w:r>
    </w:p>
    <w:p w14:paraId="694B5879">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708" w:firstLineChars="0"/>
        <w:contextualSpacing/>
        <w:jc w:val="both"/>
        <w:outlineLvl w:val="9"/>
        <w:rPr>
          <w:rFonts w:hint="default" w:ascii="Arial" w:hAnsi="Arial" w:cs="Arial"/>
          <w:b w:val="0"/>
          <w:bCs/>
          <w:color w:val="auto"/>
          <w:sz w:val="24"/>
          <w:szCs w:val="24"/>
          <w:lang w:val="en-US" w:eastAsia="pt-BR"/>
        </w:rPr>
      </w:pPr>
      <w:r>
        <w:rPr>
          <w:rFonts w:hint="default" w:ascii="Arial" w:hAnsi="Arial" w:cs="Arial"/>
          <w:b w:val="0"/>
          <w:bCs/>
          <w:color w:val="auto"/>
          <w:sz w:val="24"/>
          <w:szCs w:val="24"/>
          <w:lang w:val="pt-BR" w:eastAsia="pt-BR"/>
        </w:rPr>
        <w:t>Órgão:</w:t>
      </w:r>
      <w:r>
        <w:rPr>
          <w:rFonts w:hint="default" w:ascii="Arial" w:hAnsi="Arial" w:cs="Arial"/>
          <w:b w:val="0"/>
          <w:bCs/>
          <w:color w:val="auto"/>
          <w:sz w:val="24"/>
          <w:szCs w:val="24"/>
          <w:lang w:val="en-US" w:eastAsia="pt-BR"/>
        </w:rPr>
        <w:t xml:space="preserve"> </w:t>
      </w:r>
      <w:r>
        <w:rPr>
          <w:rFonts w:hint="default" w:ascii="Arial" w:hAnsi="Arial" w:cs="Arial"/>
          <w:b/>
          <w:bCs w:val="0"/>
          <w:color w:val="auto"/>
          <w:sz w:val="24"/>
          <w:szCs w:val="24"/>
          <w:lang w:val="pt-BR" w:eastAsia="pt-BR"/>
        </w:rPr>
        <w:t>30.01</w:t>
      </w:r>
      <w:r>
        <w:rPr>
          <w:rFonts w:hint="default" w:ascii="Arial" w:hAnsi="Arial" w:cs="Arial"/>
          <w:b/>
          <w:bCs w:val="0"/>
          <w:color w:val="auto"/>
          <w:sz w:val="24"/>
          <w:szCs w:val="24"/>
          <w:lang w:val="en-US" w:eastAsia="pt-BR"/>
        </w:rPr>
        <w:t xml:space="preserve"> </w:t>
      </w:r>
      <w:r>
        <w:rPr>
          <w:rFonts w:hint="default" w:ascii="Arial" w:hAnsi="Arial" w:cs="Arial"/>
          <w:b w:val="0"/>
          <w:bCs/>
          <w:color w:val="auto"/>
          <w:sz w:val="24"/>
          <w:szCs w:val="24"/>
          <w:lang w:val="en-US" w:eastAsia="pt-BR"/>
        </w:rPr>
        <w:t xml:space="preserve">- </w:t>
      </w:r>
      <w:r>
        <w:rPr>
          <w:rFonts w:hint="default" w:ascii="Arial" w:hAnsi="Arial" w:cs="Arial"/>
          <w:b w:val="0"/>
          <w:bCs/>
          <w:color w:val="auto"/>
          <w:sz w:val="24"/>
          <w:szCs w:val="24"/>
          <w:lang w:val="pt-BR" w:eastAsia="pt-BR"/>
        </w:rPr>
        <w:t xml:space="preserve">Inst. de Prev. Dos Serv. do Mun. de Guarapari / ES - </w:t>
      </w:r>
      <w:r>
        <w:rPr>
          <w:rFonts w:hint="default" w:ascii="Arial" w:hAnsi="Arial" w:cs="Arial"/>
          <w:b w:val="0"/>
          <w:bCs/>
          <w:color w:val="auto"/>
          <w:sz w:val="24"/>
          <w:szCs w:val="24"/>
          <w:lang w:val="en-US" w:eastAsia="pt-BR"/>
        </w:rPr>
        <w:tab/>
      </w:r>
      <w:r>
        <w:rPr>
          <w:rFonts w:hint="default" w:ascii="Arial" w:hAnsi="Arial" w:cs="Arial"/>
          <w:b w:val="0"/>
          <w:bCs/>
          <w:color w:val="auto"/>
          <w:sz w:val="24"/>
          <w:szCs w:val="24"/>
          <w:lang w:val="pt-BR" w:eastAsia="pt-BR"/>
        </w:rPr>
        <w:t>IPG</w:t>
      </w:r>
    </w:p>
    <w:p w14:paraId="5D3C6905">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708" w:firstLineChars="0"/>
        <w:contextualSpacing/>
        <w:jc w:val="both"/>
        <w:outlineLvl w:val="9"/>
        <w:rPr>
          <w:rFonts w:hint="default" w:ascii="Arial" w:hAnsi="Arial" w:cs="Arial"/>
          <w:b w:val="0"/>
          <w:bCs/>
          <w:color w:val="auto"/>
          <w:sz w:val="24"/>
          <w:szCs w:val="24"/>
          <w:lang w:val="pt-BR" w:eastAsia="pt-BR"/>
        </w:rPr>
      </w:pPr>
      <w:r>
        <w:rPr>
          <w:rFonts w:hint="default" w:ascii="Arial" w:hAnsi="Arial" w:cs="Arial"/>
          <w:b w:val="0"/>
          <w:bCs/>
          <w:color w:val="auto"/>
          <w:sz w:val="24"/>
          <w:szCs w:val="24"/>
          <w:lang w:val="pt-BR" w:eastAsia="pt-BR"/>
        </w:rPr>
        <w:t>Atividade:</w:t>
      </w:r>
      <w:r>
        <w:rPr>
          <w:rFonts w:hint="default" w:ascii="Arial" w:hAnsi="Arial" w:cs="Arial"/>
          <w:b w:val="0"/>
          <w:bCs/>
          <w:color w:val="auto"/>
          <w:sz w:val="24"/>
          <w:szCs w:val="24"/>
          <w:lang w:val="en-US" w:eastAsia="pt-BR"/>
        </w:rPr>
        <w:t xml:space="preserve"> </w:t>
      </w:r>
      <w:r>
        <w:rPr>
          <w:rFonts w:hint="default" w:ascii="Arial" w:hAnsi="Arial" w:cs="Arial"/>
          <w:b/>
          <w:bCs w:val="0"/>
          <w:color w:val="auto"/>
          <w:sz w:val="24"/>
          <w:szCs w:val="24"/>
          <w:lang w:val="pt-BR" w:eastAsia="pt-BR"/>
        </w:rPr>
        <w:t>09.122.0024.2.111</w:t>
      </w:r>
      <w:r>
        <w:rPr>
          <w:rFonts w:hint="default" w:ascii="Arial" w:hAnsi="Arial" w:cs="Arial"/>
          <w:b w:val="0"/>
          <w:bCs/>
          <w:color w:val="auto"/>
          <w:sz w:val="24"/>
          <w:szCs w:val="24"/>
          <w:lang w:val="en-US" w:eastAsia="pt-BR"/>
        </w:rPr>
        <w:t xml:space="preserve"> - </w:t>
      </w:r>
      <w:r>
        <w:rPr>
          <w:rFonts w:hint="default" w:ascii="Arial" w:hAnsi="Arial" w:cs="Arial"/>
          <w:b w:val="0"/>
          <w:bCs/>
          <w:color w:val="auto"/>
          <w:sz w:val="24"/>
          <w:szCs w:val="24"/>
          <w:lang w:val="pt-BR" w:eastAsia="pt-BR"/>
        </w:rPr>
        <w:t xml:space="preserve">Manutenção dos Serviços </w:t>
      </w:r>
      <w:r>
        <w:rPr>
          <w:rFonts w:hint="default" w:ascii="Arial" w:hAnsi="Arial" w:cs="Arial"/>
          <w:b w:val="0"/>
          <w:bCs/>
          <w:color w:val="auto"/>
          <w:sz w:val="24"/>
          <w:szCs w:val="24"/>
          <w:lang w:val="en-US" w:eastAsia="pt-BR"/>
        </w:rPr>
        <w:tab/>
      </w:r>
      <w:r>
        <w:rPr>
          <w:rFonts w:hint="default" w:ascii="Arial" w:hAnsi="Arial" w:cs="Arial"/>
          <w:b w:val="0"/>
          <w:bCs/>
          <w:color w:val="auto"/>
          <w:sz w:val="24"/>
          <w:szCs w:val="24"/>
          <w:lang w:val="pt-BR" w:eastAsia="pt-BR"/>
        </w:rPr>
        <w:t>Administrativos do IPG</w:t>
      </w:r>
    </w:p>
    <w:p w14:paraId="18E1B7D4">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708" w:firstLineChars="0"/>
        <w:contextualSpacing/>
        <w:jc w:val="both"/>
        <w:outlineLvl w:val="9"/>
        <w:rPr>
          <w:rFonts w:hint="default" w:ascii="Arial" w:hAnsi="Arial" w:cs="Arial"/>
          <w:b w:val="0"/>
          <w:bCs/>
          <w:color w:val="auto"/>
          <w:sz w:val="24"/>
          <w:szCs w:val="24"/>
          <w:lang w:val="en-US" w:eastAsia="pt-BR"/>
        </w:rPr>
      </w:pPr>
      <w:r>
        <w:rPr>
          <w:rFonts w:hint="default" w:ascii="Arial" w:hAnsi="Arial" w:cs="Arial"/>
          <w:b/>
          <w:bCs w:val="0"/>
          <w:color w:val="auto"/>
          <w:sz w:val="24"/>
          <w:szCs w:val="24"/>
          <w:lang w:val="en-US" w:eastAsia="pt-BR"/>
        </w:rPr>
        <w:t>3.3.90.40.99</w:t>
      </w:r>
      <w:r>
        <w:rPr>
          <w:rFonts w:hint="default" w:ascii="Arial" w:hAnsi="Arial" w:cs="Arial"/>
          <w:b w:val="0"/>
          <w:bCs/>
          <w:color w:val="auto"/>
          <w:sz w:val="24"/>
          <w:szCs w:val="24"/>
          <w:lang w:val="en-US" w:eastAsia="pt-BR"/>
        </w:rPr>
        <w:t xml:space="preserve"> - Outros Serviços de tecnologia da informação e </w:t>
      </w:r>
      <w:r>
        <w:rPr>
          <w:rFonts w:hint="default" w:ascii="Arial" w:hAnsi="Arial" w:cs="Arial"/>
          <w:b w:val="0"/>
          <w:bCs/>
          <w:color w:val="auto"/>
          <w:sz w:val="24"/>
          <w:szCs w:val="24"/>
          <w:lang w:val="en-US" w:eastAsia="pt-BR"/>
        </w:rPr>
        <w:tab/>
      </w:r>
      <w:r>
        <w:rPr>
          <w:rFonts w:hint="default" w:ascii="Arial" w:hAnsi="Arial" w:cs="Arial"/>
          <w:b w:val="0"/>
          <w:bCs/>
          <w:color w:val="auto"/>
          <w:sz w:val="24"/>
          <w:szCs w:val="24"/>
          <w:lang w:val="en-US" w:eastAsia="pt-BR"/>
        </w:rPr>
        <w:tab/>
      </w:r>
      <w:r>
        <w:rPr>
          <w:rFonts w:hint="default" w:ascii="Arial" w:hAnsi="Arial" w:cs="Arial"/>
          <w:b w:val="0"/>
          <w:bCs/>
          <w:color w:val="auto"/>
          <w:sz w:val="24"/>
          <w:szCs w:val="24"/>
          <w:lang w:val="en-US" w:eastAsia="pt-BR"/>
        </w:rPr>
        <w:t>comunicação</w:t>
      </w:r>
    </w:p>
    <w:p w14:paraId="7A55B8E4">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708" w:firstLineChars="0"/>
        <w:contextualSpacing/>
        <w:jc w:val="both"/>
        <w:outlineLvl w:val="9"/>
        <w:rPr>
          <w:rFonts w:hint="default" w:ascii="Arial" w:hAnsi="Arial" w:cs="Arial"/>
          <w:b w:val="0"/>
          <w:bCs/>
          <w:color w:val="auto"/>
          <w:sz w:val="24"/>
          <w:szCs w:val="24"/>
          <w:lang w:val="en-US" w:eastAsia="pt-BR"/>
        </w:rPr>
      </w:pPr>
    </w:p>
    <w:p w14:paraId="685DD800">
      <w:pPr>
        <w:pStyle w:val="12"/>
        <w:keepNext w:val="0"/>
        <w:keepLines w:val="0"/>
        <w:pageBreakBefore w:val="0"/>
        <w:widowControl/>
        <w:kinsoku/>
        <w:wordWrap/>
        <w:overflowPunct/>
        <w:topLinePunct w:val="0"/>
        <w:autoSpaceDE/>
        <w:autoSpaceDN/>
        <w:bidi w:val="0"/>
        <w:adjustRightInd/>
        <w:snapToGrid/>
        <w:spacing w:before="0" w:after="0" w:line="240" w:lineRule="auto"/>
        <w:ind w:left="0" w:firstLine="0"/>
        <w:contextualSpacing/>
        <w:jc w:val="both"/>
        <w:outlineLvl w:val="9"/>
        <w:rPr>
          <w:rFonts w:hint="default" w:ascii="Arial" w:hAnsi="Arial" w:cs="Arial"/>
          <w:sz w:val="24"/>
          <w:szCs w:val="24"/>
        </w:rPr>
      </w:pPr>
    </w:p>
    <w:p w14:paraId="37804BB0">
      <w:pPr>
        <w:pStyle w:val="2"/>
        <w:numPr>
          <w:ilvl w:val="0"/>
          <w:numId w:val="2"/>
        </w:numPr>
        <w:tabs>
          <w:tab w:val="left" w:pos="480"/>
        </w:tabs>
        <w:spacing w:before="1" w:after="0" w:line="240" w:lineRule="auto"/>
        <w:ind w:left="0" w:leftChars="0" w:right="0" w:rightChars="0" w:firstLine="0" w:firstLineChars="0"/>
        <w:jc w:val="both"/>
        <w:rPr>
          <w:rFonts w:hint="default" w:ascii="Arial" w:hAnsi="Arial" w:cs="Arial"/>
        </w:rPr>
      </w:pPr>
      <w:r>
        <w:rPr>
          <w:rFonts w:hint="default" w:ascii="Arial" w:hAnsi="Arial"/>
        </w:rPr>
        <w:t>DESCRIÇÃO DA SOLUÇÃO COMO UM TODO CONSIDERADO O CICLO DE VIDA DO OBJETO E ESPECIFICAÇÃO DO PRODUTO</w:t>
      </w:r>
    </w:p>
    <w:p w14:paraId="01BE2D14">
      <w:pPr>
        <w:pStyle w:val="12"/>
        <w:keepNext w:val="0"/>
        <w:keepLines w:val="0"/>
        <w:pageBreakBefore w:val="0"/>
        <w:widowControl w:val="0"/>
        <w:numPr>
          <w:ilvl w:val="0"/>
          <w:numId w:val="3"/>
        </w:numPr>
        <w:tabs>
          <w:tab w:val="left" w:pos="840"/>
          <w:tab w:val="clear" w:pos="425"/>
        </w:tabs>
        <w:kinsoku/>
        <w:wordWrap/>
        <w:overflowPunct/>
        <w:topLinePunct w:val="0"/>
        <w:autoSpaceDE w:val="0"/>
        <w:autoSpaceDN w:val="0"/>
        <w:bidi w:val="0"/>
        <w:adjustRightInd/>
        <w:snapToGrid/>
        <w:spacing w:before="240" w:after="240" w:line="240" w:lineRule="auto"/>
        <w:ind w:left="425" w:leftChars="0" w:right="112" w:rightChars="0" w:hanging="425" w:firstLineChars="0"/>
        <w:jc w:val="both"/>
        <w:textAlignment w:val="auto"/>
        <w:rPr>
          <w:rFonts w:hint="default" w:ascii="Arial" w:hAnsi="Arial" w:cs="Arial"/>
          <w:sz w:val="24"/>
        </w:rPr>
      </w:pPr>
      <w:r>
        <w:rPr>
          <w:rFonts w:hint="default" w:ascii="Arial" w:hAnsi="Arial"/>
          <w:sz w:val="24"/>
        </w:rPr>
        <w:t>Aquisição do Serviço de desenvolvimento, monitoramento, configuração</w:t>
      </w:r>
      <w:r>
        <w:rPr>
          <w:rFonts w:hint="default" w:ascii="Arial" w:hAnsi="Arial"/>
          <w:sz w:val="24"/>
          <w:lang w:val="pt-BR"/>
        </w:rPr>
        <w:t>, customização</w:t>
      </w:r>
      <w:r>
        <w:rPr>
          <w:rFonts w:hint="default" w:ascii="Arial" w:hAnsi="Arial"/>
          <w:sz w:val="24"/>
        </w:rPr>
        <w:t xml:space="preserve"> e suporte de WebSite Institucional (quadro itens 1), definidas pela Diretoria requisitante, conforme cronograma de entrega definido, no prazo de 05 (cinco) dias, sendo prorrogável mediante solicitação por escrito e justificativa</w:t>
      </w:r>
      <w:r>
        <w:rPr>
          <w:rFonts w:hint="default" w:ascii="Arial" w:hAnsi="Arial" w:cs="Arial"/>
          <w:sz w:val="24"/>
        </w:rPr>
        <w:t xml:space="preserve"> cláusulas contratuais;</w:t>
      </w:r>
      <w:r>
        <w:rPr>
          <w:rFonts w:hint="default" w:ascii="Arial" w:hAnsi="Arial" w:cs="Arial"/>
          <w:sz w:val="24"/>
          <w:lang w:val="pt-BR"/>
        </w:rPr>
        <w:t xml:space="preserve"> </w:t>
      </w:r>
      <w:r>
        <w:rPr>
          <w:rFonts w:hint="default" w:ascii="Arial" w:hAnsi="Arial"/>
          <w:sz w:val="24"/>
          <w:lang w:val="pt-BR"/>
        </w:rPr>
        <w:t>P</w:t>
      </w:r>
      <w:r>
        <w:rPr>
          <w:rFonts w:hint="default" w:ascii="Arial" w:hAnsi="Arial"/>
          <w:sz w:val="24"/>
        </w:rPr>
        <w:t>ela empresa contratada, após a emissão de nota de empenho e/ou documento equivalente, e será acompanhada por fiscal designado especialmente para tal fim, o qual será responsável pelo atesto do ato;</w:t>
      </w:r>
    </w:p>
    <w:p w14:paraId="74213045">
      <w:pPr>
        <w:pStyle w:val="12"/>
        <w:keepNext w:val="0"/>
        <w:keepLines w:val="0"/>
        <w:pageBreakBefore w:val="0"/>
        <w:widowControl w:val="0"/>
        <w:numPr>
          <w:ilvl w:val="0"/>
          <w:numId w:val="3"/>
        </w:numPr>
        <w:tabs>
          <w:tab w:val="left" w:pos="840"/>
          <w:tab w:val="clear" w:pos="425"/>
        </w:tabs>
        <w:kinsoku/>
        <w:wordWrap/>
        <w:overflowPunct/>
        <w:topLinePunct w:val="0"/>
        <w:autoSpaceDE w:val="0"/>
        <w:autoSpaceDN w:val="0"/>
        <w:bidi w:val="0"/>
        <w:adjustRightInd/>
        <w:snapToGrid/>
        <w:spacing w:before="240" w:after="240" w:line="240" w:lineRule="auto"/>
        <w:ind w:left="425" w:leftChars="0" w:right="112" w:rightChars="0" w:hanging="425" w:firstLineChars="0"/>
        <w:jc w:val="both"/>
        <w:textAlignment w:val="auto"/>
        <w:rPr>
          <w:rFonts w:hint="default" w:ascii="Arial" w:hAnsi="Arial" w:cs="Arial"/>
          <w:sz w:val="24"/>
        </w:rPr>
      </w:pPr>
      <w:r>
        <w:rPr>
          <w:rFonts w:hint="default" w:ascii="Arial" w:hAnsi="Arial"/>
          <w:sz w:val="24"/>
        </w:rPr>
        <w:t>O fornecimento, serão objeto de inspeção, que será realizada por servidor designado pela Diretoria requisitante;</w:t>
      </w:r>
    </w:p>
    <w:p w14:paraId="0AF4108E">
      <w:pPr>
        <w:pStyle w:val="12"/>
        <w:keepNext w:val="0"/>
        <w:keepLines w:val="0"/>
        <w:pageBreakBefore w:val="0"/>
        <w:widowControl w:val="0"/>
        <w:numPr>
          <w:ilvl w:val="0"/>
          <w:numId w:val="3"/>
        </w:numPr>
        <w:tabs>
          <w:tab w:val="left" w:pos="840"/>
          <w:tab w:val="clear" w:pos="425"/>
        </w:tabs>
        <w:kinsoku/>
        <w:wordWrap/>
        <w:overflowPunct/>
        <w:topLinePunct w:val="0"/>
        <w:autoSpaceDE w:val="0"/>
        <w:autoSpaceDN w:val="0"/>
        <w:bidi w:val="0"/>
        <w:adjustRightInd/>
        <w:snapToGrid/>
        <w:spacing w:before="240" w:after="240" w:line="240" w:lineRule="auto"/>
        <w:ind w:left="425" w:leftChars="0" w:right="112" w:rightChars="0" w:hanging="425" w:firstLineChars="0"/>
        <w:jc w:val="both"/>
        <w:textAlignment w:val="auto"/>
        <w:rPr>
          <w:rFonts w:hint="default" w:ascii="Arial" w:hAnsi="Arial" w:cs="Arial"/>
          <w:sz w:val="24"/>
        </w:rPr>
      </w:pPr>
      <w:r>
        <w:rPr>
          <w:rFonts w:hint="default" w:ascii="Arial" w:hAnsi="Arial"/>
          <w:sz w:val="24"/>
        </w:rPr>
        <w:t xml:space="preserve">Após comprovado a entrega, pelo atesto do fiscal designado, receberá e atestará as respectivas Notas Fiscais, encaminhando-as em ato contínuo ao setor </w:t>
      </w:r>
      <w:r>
        <w:rPr>
          <w:rFonts w:hint="default" w:ascii="Arial" w:hAnsi="Arial"/>
          <w:sz w:val="24"/>
          <w:lang w:val="pt-BR"/>
        </w:rPr>
        <w:t>adminstrativo contábil</w:t>
      </w:r>
      <w:r>
        <w:rPr>
          <w:rFonts w:hint="default" w:ascii="Arial" w:hAnsi="Arial"/>
          <w:sz w:val="24"/>
        </w:rPr>
        <w:t xml:space="preserve"> </w:t>
      </w:r>
      <w:r>
        <w:rPr>
          <w:rFonts w:hint="default" w:ascii="Arial" w:hAnsi="Arial"/>
          <w:sz w:val="24"/>
          <w:lang w:val="pt-BR"/>
        </w:rPr>
        <w:t>do instituto,</w:t>
      </w:r>
      <w:r>
        <w:rPr>
          <w:rFonts w:hint="default" w:ascii="Arial" w:hAnsi="Arial"/>
          <w:sz w:val="24"/>
        </w:rPr>
        <w:t xml:space="preserve"> para pagamento.</w:t>
      </w:r>
    </w:p>
    <w:p w14:paraId="0878D4D8">
      <w:pPr>
        <w:pStyle w:val="12"/>
        <w:keepNext w:val="0"/>
        <w:keepLines w:val="0"/>
        <w:pageBreakBefore w:val="0"/>
        <w:widowControl w:val="0"/>
        <w:numPr>
          <w:ilvl w:val="0"/>
          <w:numId w:val="3"/>
        </w:numPr>
        <w:tabs>
          <w:tab w:val="left" w:pos="840"/>
          <w:tab w:val="clear" w:pos="425"/>
        </w:tabs>
        <w:kinsoku/>
        <w:wordWrap/>
        <w:overflowPunct/>
        <w:topLinePunct w:val="0"/>
        <w:autoSpaceDE w:val="0"/>
        <w:autoSpaceDN w:val="0"/>
        <w:bidi w:val="0"/>
        <w:adjustRightInd/>
        <w:snapToGrid/>
        <w:spacing w:before="240" w:after="240" w:line="240" w:lineRule="auto"/>
        <w:ind w:left="425" w:leftChars="0" w:right="112" w:rightChars="0" w:hanging="425" w:firstLineChars="0"/>
        <w:jc w:val="both"/>
        <w:textAlignment w:val="auto"/>
        <w:rPr>
          <w:rFonts w:hint="default" w:ascii="Arial" w:hAnsi="Arial" w:cs="Arial"/>
          <w:sz w:val="24"/>
        </w:rPr>
      </w:pPr>
      <w:r>
        <w:rPr>
          <w:rFonts w:hint="default" w:ascii="Arial" w:hAnsi="Arial"/>
          <w:sz w:val="24"/>
        </w:rPr>
        <w:t>Caso a Aquisição do Serviço de desenvolvimento, monitoramento, configuração</w:t>
      </w:r>
      <w:r>
        <w:rPr>
          <w:rFonts w:hint="default" w:ascii="Arial" w:hAnsi="Arial"/>
          <w:sz w:val="24"/>
          <w:lang w:val="pt-BR"/>
        </w:rPr>
        <w:t>, customização</w:t>
      </w:r>
      <w:r>
        <w:rPr>
          <w:rFonts w:hint="default" w:ascii="Arial" w:hAnsi="Arial"/>
          <w:sz w:val="24"/>
        </w:rPr>
        <w:t xml:space="preserve"> e suporte de WebSite Institucional, não satisfaçam às especificações exigidas, não serão aceitos, devendo ser retirados pela CONTRATADA, por sua conta e risco, imediato, contados da notificação encaminhada pelo CONTRATANTE.</w:t>
      </w:r>
    </w:p>
    <w:p w14:paraId="60C27357">
      <w:pPr>
        <w:pStyle w:val="12"/>
        <w:keepNext w:val="0"/>
        <w:keepLines w:val="0"/>
        <w:pageBreakBefore w:val="0"/>
        <w:widowControl w:val="0"/>
        <w:numPr>
          <w:ilvl w:val="0"/>
          <w:numId w:val="3"/>
        </w:numPr>
        <w:tabs>
          <w:tab w:val="left" w:pos="840"/>
          <w:tab w:val="clear" w:pos="425"/>
        </w:tabs>
        <w:kinsoku/>
        <w:wordWrap/>
        <w:overflowPunct/>
        <w:topLinePunct w:val="0"/>
        <w:autoSpaceDE w:val="0"/>
        <w:autoSpaceDN w:val="0"/>
        <w:bidi w:val="0"/>
        <w:adjustRightInd/>
        <w:snapToGrid/>
        <w:spacing w:before="240" w:after="240" w:line="240" w:lineRule="auto"/>
        <w:ind w:left="425" w:leftChars="0" w:right="112" w:rightChars="0" w:hanging="425" w:firstLineChars="0"/>
        <w:jc w:val="both"/>
        <w:textAlignment w:val="auto"/>
        <w:rPr>
          <w:rFonts w:hint="default" w:ascii="Arial" w:hAnsi="Arial" w:cs="Arial"/>
          <w:sz w:val="24"/>
        </w:rPr>
      </w:pPr>
      <w:r>
        <w:rPr>
          <w:rFonts w:hint="default" w:ascii="Arial" w:hAnsi="Arial"/>
          <w:sz w:val="24"/>
        </w:rPr>
        <w:t>As condições gerais Aquisição do Serviço de desenvolvimento, monitoramento, configuração</w:t>
      </w:r>
      <w:r>
        <w:rPr>
          <w:rFonts w:hint="default" w:ascii="Arial" w:hAnsi="Arial"/>
          <w:sz w:val="24"/>
          <w:lang w:val="pt-BR"/>
        </w:rPr>
        <w:t>, customização</w:t>
      </w:r>
      <w:r>
        <w:rPr>
          <w:rFonts w:hint="default" w:ascii="Arial" w:hAnsi="Arial"/>
          <w:sz w:val="24"/>
        </w:rPr>
        <w:t xml:space="preserve"> e suporte de WebSite Institucional, devem obedecer às normas legais e regulamentares aplicáveis à matéria.</w:t>
      </w:r>
    </w:p>
    <w:p w14:paraId="71912AC1">
      <w:pPr>
        <w:pStyle w:val="12"/>
        <w:keepNext w:val="0"/>
        <w:keepLines w:val="0"/>
        <w:pageBreakBefore w:val="0"/>
        <w:widowControl w:val="0"/>
        <w:numPr>
          <w:ilvl w:val="0"/>
          <w:numId w:val="3"/>
        </w:numPr>
        <w:tabs>
          <w:tab w:val="left" w:pos="840"/>
          <w:tab w:val="clear" w:pos="425"/>
        </w:tabs>
        <w:kinsoku/>
        <w:wordWrap/>
        <w:overflowPunct/>
        <w:topLinePunct w:val="0"/>
        <w:autoSpaceDE w:val="0"/>
        <w:autoSpaceDN w:val="0"/>
        <w:bidi w:val="0"/>
        <w:adjustRightInd/>
        <w:snapToGrid/>
        <w:spacing w:before="240" w:after="240" w:line="240" w:lineRule="auto"/>
        <w:ind w:left="425" w:leftChars="0" w:right="112" w:rightChars="0" w:hanging="425" w:firstLineChars="0"/>
        <w:jc w:val="both"/>
        <w:textAlignment w:val="auto"/>
        <w:rPr>
          <w:rFonts w:hint="default" w:ascii="Arial" w:hAnsi="Arial" w:cs="Arial"/>
          <w:sz w:val="24"/>
        </w:rPr>
      </w:pPr>
      <w:r>
        <w:rPr>
          <w:rFonts w:hint="default" w:ascii="Arial" w:hAnsi="Arial"/>
          <w:sz w:val="24"/>
        </w:rPr>
        <w:t>Não se caracterizam como descontinuidade dos serviços de fornecimento da Aquisição do Serviço de desenvolvimento, monitoramento, configuração</w:t>
      </w:r>
      <w:r>
        <w:rPr>
          <w:rFonts w:hint="default" w:ascii="Arial" w:hAnsi="Arial"/>
          <w:sz w:val="24"/>
          <w:lang w:val="pt-BR"/>
        </w:rPr>
        <w:t>, customização</w:t>
      </w:r>
      <w:r>
        <w:rPr>
          <w:rFonts w:hint="default" w:ascii="Arial" w:hAnsi="Arial"/>
          <w:sz w:val="24"/>
        </w:rPr>
        <w:t xml:space="preserve"> e suporte de WebSite Institucional, a sua interrupção em situação de emergência ou, após prévio aviso, quando motivada por razões de ordem técnica ou de segurança.</w:t>
      </w:r>
    </w:p>
    <w:p w14:paraId="2AD2F5D8">
      <w:pPr>
        <w:pStyle w:val="12"/>
        <w:keepNext w:val="0"/>
        <w:keepLines w:val="0"/>
        <w:pageBreakBefore w:val="0"/>
        <w:widowControl w:val="0"/>
        <w:numPr>
          <w:ilvl w:val="0"/>
          <w:numId w:val="3"/>
        </w:numPr>
        <w:tabs>
          <w:tab w:val="left" w:pos="840"/>
          <w:tab w:val="clear" w:pos="425"/>
        </w:tabs>
        <w:kinsoku/>
        <w:wordWrap/>
        <w:overflowPunct/>
        <w:topLinePunct w:val="0"/>
        <w:autoSpaceDE w:val="0"/>
        <w:autoSpaceDN w:val="0"/>
        <w:bidi w:val="0"/>
        <w:adjustRightInd/>
        <w:snapToGrid/>
        <w:spacing w:before="240" w:after="240" w:line="240" w:lineRule="auto"/>
        <w:ind w:left="425" w:leftChars="0" w:right="112" w:rightChars="0" w:hanging="425" w:firstLineChars="0"/>
        <w:jc w:val="both"/>
        <w:textAlignment w:val="auto"/>
        <w:rPr>
          <w:rFonts w:hint="default" w:ascii="Arial" w:hAnsi="Arial" w:cs="Arial"/>
          <w:sz w:val="24"/>
        </w:rPr>
      </w:pPr>
      <w:r>
        <w:rPr>
          <w:rFonts w:hint="default" w:ascii="Arial" w:hAnsi="Arial"/>
          <w:sz w:val="24"/>
        </w:rPr>
        <w:t>A empresa contratada emitirá nota fiscal da Aquisição do Serviço de desenvolvimento, monitoramento, configuração</w:t>
      </w:r>
      <w:r>
        <w:rPr>
          <w:rFonts w:hint="default" w:ascii="Arial" w:hAnsi="Arial"/>
          <w:sz w:val="24"/>
          <w:lang w:val="pt-BR"/>
        </w:rPr>
        <w:t>, customização</w:t>
      </w:r>
      <w:r>
        <w:rPr>
          <w:rFonts w:hint="default" w:ascii="Arial" w:hAnsi="Arial"/>
          <w:sz w:val="24"/>
        </w:rPr>
        <w:t xml:space="preserve"> e suporte de WebSite Institucional, objeto desta contratação, com base no valor da proposta apresentada ao setor responsável </w:t>
      </w:r>
      <w:r>
        <w:rPr>
          <w:rFonts w:hint="default" w:ascii="Arial" w:hAnsi="Arial"/>
          <w:sz w:val="24"/>
          <w:lang w:val="pt-BR"/>
        </w:rPr>
        <w:t>do IPG</w:t>
      </w:r>
      <w:r>
        <w:rPr>
          <w:rFonts w:hint="default" w:ascii="Arial" w:hAnsi="Arial"/>
          <w:sz w:val="24"/>
        </w:rPr>
        <w:t>.</w:t>
      </w:r>
    </w:p>
    <w:p w14:paraId="5B010F00">
      <w:pPr>
        <w:pStyle w:val="2"/>
        <w:numPr>
          <w:ilvl w:val="0"/>
          <w:numId w:val="2"/>
        </w:numPr>
        <w:tabs>
          <w:tab w:val="left" w:pos="480"/>
        </w:tabs>
        <w:spacing w:before="1" w:after="0" w:line="240" w:lineRule="auto"/>
        <w:ind w:left="480" w:leftChars="0" w:right="0" w:hanging="480" w:firstLineChars="0"/>
        <w:jc w:val="both"/>
        <w:rPr>
          <w:rFonts w:hint="default" w:ascii="Arial" w:hAnsi="Arial" w:cs="Arial"/>
        </w:rPr>
      </w:pPr>
      <w:r>
        <w:rPr>
          <w:rFonts w:hint="default" w:ascii="Arial" w:hAnsi="Arial"/>
        </w:rPr>
        <w:t>REQUISITOS DA CONTRATAÇÃO</w:t>
      </w:r>
    </w:p>
    <w:p w14:paraId="63F88A29">
      <w:pPr>
        <w:pStyle w:val="12"/>
        <w:keepNext w:val="0"/>
        <w:keepLines w:val="0"/>
        <w:pageBreakBefore w:val="0"/>
        <w:widowControl w:val="0"/>
        <w:numPr>
          <w:ilvl w:val="0"/>
          <w:numId w:val="0"/>
        </w:numPr>
        <w:tabs>
          <w:tab w:val="left" w:pos="840"/>
        </w:tabs>
        <w:kinsoku/>
        <w:wordWrap/>
        <w:overflowPunct/>
        <w:topLinePunct w:val="0"/>
        <w:autoSpaceDE w:val="0"/>
        <w:autoSpaceDN w:val="0"/>
        <w:bidi w:val="0"/>
        <w:adjustRightInd/>
        <w:snapToGrid/>
        <w:spacing w:before="240" w:after="240" w:line="240" w:lineRule="auto"/>
        <w:ind w:right="0" w:rightChars="0"/>
        <w:jc w:val="both"/>
        <w:textAlignment w:val="auto"/>
        <w:rPr>
          <w:rFonts w:hint="default" w:ascii="Arial" w:hAnsi="Arial" w:cs="Arial"/>
          <w:sz w:val="24"/>
          <w:szCs w:val="24"/>
        </w:rPr>
      </w:pPr>
      <w:r>
        <w:rPr>
          <w:rFonts w:hint="default" w:ascii="Arial" w:hAnsi="Arial"/>
          <w:sz w:val="24"/>
          <w:szCs w:val="24"/>
        </w:rPr>
        <w:t>Os critérios exigidos para o fornecimento da Aquisição do Serviço de desenvolvimento, monitoramento, configuração</w:t>
      </w:r>
      <w:r>
        <w:rPr>
          <w:rFonts w:hint="default" w:ascii="Arial" w:hAnsi="Arial"/>
          <w:sz w:val="24"/>
          <w:szCs w:val="24"/>
          <w:lang w:val="pt-BR"/>
        </w:rPr>
        <w:t>, customização</w:t>
      </w:r>
      <w:r>
        <w:rPr>
          <w:rFonts w:hint="default" w:ascii="Arial" w:hAnsi="Arial"/>
          <w:sz w:val="24"/>
          <w:szCs w:val="24"/>
        </w:rPr>
        <w:t xml:space="preserve"> e suporte de WebSite Institucional, objeto deste termo de referência devem ser atendidos de acordo com os requisitos que se baseiam no Guia Nacional de Contratações Sustentáveis e nas normas e regulamentos específicos para o fornecimento de Aquisição do Serviço de desenvolvimento, monitoramento, configuração</w:t>
      </w:r>
      <w:r>
        <w:rPr>
          <w:rFonts w:hint="default" w:ascii="Arial" w:hAnsi="Arial"/>
          <w:sz w:val="24"/>
          <w:szCs w:val="24"/>
          <w:lang w:val="pt-BR"/>
        </w:rPr>
        <w:t>, customização</w:t>
      </w:r>
      <w:r>
        <w:rPr>
          <w:rFonts w:hint="default" w:ascii="Arial" w:hAnsi="Arial"/>
          <w:sz w:val="24"/>
          <w:szCs w:val="24"/>
        </w:rPr>
        <w:t xml:space="preserve"> e suporte de WebSite Institucional pela empresa contratada.</w:t>
      </w:r>
    </w:p>
    <w:p w14:paraId="7E419E8F">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INDICAÇÃO DE MARCAS OU MODELOS:</w:t>
      </w:r>
    </w:p>
    <w:p w14:paraId="34B00F65">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A indicação de marcas ou modelos para o objeto desta contratação que, deverá ser oferecido pela Contratada produtos com marcas ou modelos de qualidade a contratante.</w:t>
      </w:r>
    </w:p>
    <w:p w14:paraId="6C1B3563">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cs="Arial"/>
          <w:lang w:val="pt-BR"/>
        </w:rPr>
        <w:t>SUBCONTRATAÇÃO:</w:t>
      </w:r>
    </w:p>
    <w:p w14:paraId="1183020E">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r>
        <w:rPr>
          <w:rFonts w:hint="default" w:ascii="Arial" w:hAnsi="Arial"/>
        </w:rPr>
        <w:t>Não se aplica a especificação para subcontratação para o objeto desta contratação.</w:t>
      </w:r>
    </w:p>
    <w:p w14:paraId="5D9CB07C">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GARANTIA DA CONTRATAÇÃO:</w:t>
      </w:r>
    </w:p>
    <w:p w14:paraId="78EB0A54">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O prazo supra-referido poderá ser prorrogado por igual período, a critério e no interesse da Administração, mediante requerimento justificado da CONTRATADA. Sem prejuízo da responsabilidade por perdas e danos, a garantia reverterá ao CONTRATANTE, no caso de rescisão contratual por culpa exclusiva da CONTRATADA. </w:t>
      </w:r>
    </w:p>
    <w:p w14:paraId="6ABBF68A">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A CONTRATADA é responsável por adequar valores e prorrogar o prazo da garantia ofertada na eventual ocorrência de aditamentos à contratação originária. </w:t>
      </w:r>
    </w:p>
    <w:p w14:paraId="10BF16AF">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Agarantia, qualquer que seja a modalidade escolhida, assegurará o pagamento de: </w:t>
      </w:r>
    </w:p>
    <w:p w14:paraId="57520A28">
      <w:pPr>
        <w:pStyle w:val="8"/>
        <w:keepNext w:val="0"/>
        <w:keepLines w:val="0"/>
        <w:pageBreakBefore w:val="0"/>
        <w:widowControl w:val="0"/>
        <w:numPr>
          <w:ilvl w:val="0"/>
          <w:numId w:val="4"/>
        </w:numPr>
        <w:kinsoku/>
        <w:wordWrap/>
        <w:overflowPunct/>
        <w:topLinePunct w:val="0"/>
        <w:autoSpaceDE w:val="0"/>
        <w:autoSpaceDN w:val="0"/>
        <w:bidi w:val="0"/>
        <w:adjustRightInd/>
        <w:snapToGrid/>
        <w:spacing w:before="240" w:after="240" w:line="240" w:lineRule="auto"/>
        <w:ind w:right="113" w:firstLine="708" w:firstLineChars="0"/>
        <w:jc w:val="both"/>
        <w:textAlignment w:val="auto"/>
        <w:rPr>
          <w:rFonts w:hint="default" w:ascii="Arial" w:hAnsi="Arial"/>
          <w:lang w:val="pt-BR"/>
        </w:rPr>
      </w:pPr>
      <w:r>
        <w:rPr>
          <w:rFonts w:hint="default" w:ascii="Arial" w:hAnsi="Arial"/>
        </w:rPr>
        <w:t xml:space="preserve">prejuízos advindos do não cumprimento do objeto do contrato e do </w:t>
      </w:r>
      <w:r>
        <w:rPr>
          <w:rFonts w:hint="default" w:ascii="Arial" w:hAnsi="Arial"/>
          <w:lang w:val="pt-BR"/>
        </w:rPr>
        <w:tab/>
      </w:r>
      <w:r>
        <w:rPr>
          <w:rFonts w:hint="default" w:ascii="Arial" w:hAnsi="Arial"/>
        </w:rPr>
        <w:t>não adimplemento das demais obrigações nele previstas;</w:t>
      </w:r>
      <w:r>
        <w:rPr>
          <w:rFonts w:hint="default" w:ascii="Arial" w:hAnsi="Arial"/>
          <w:lang w:val="pt-BR"/>
        </w:rPr>
        <w:t xml:space="preserve"> </w:t>
      </w:r>
    </w:p>
    <w:p w14:paraId="071C3EEE">
      <w:pPr>
        <w:pStyle w:val="8"/>
        <w:keepNext w:val="0"/>
        <w:keepLines w:val="0"/>
        <w:pageBreakBefore w:val="0"/>
        <w:widowControl w:val="0"/>
        <w:numPr>
          <w:ilvl w:val="0"/>
          <w:numId w:val="4"/>
        </w:numPr>
        <w:kinsoku/>
        <w:wordWrap/>
        <w:overflowPunct/>
        <w:topLinePunct w:val="0"/>
        <w:autoSpaceDE w:val="0"/>
        <w:autoSpaceDN w:val="0"/>
        <w:bidi w:val="0"/>
        <w:adjustRightInd/>
        <w:snapToGrid/>
        <w:spacing w:before="240" w:after="240" w:line="240" w:lineRule="auto"/>
        <w:ind w:left="0" w:leftChars="0" w:right="113" w:rightChars="0" w:firstLine="708" w:firstLineChars="0"/>
        <w:jc w:val="both"/>
        <w:textAlignment w:val="auto"/>
        <w:rPr>
          <w:rFonts w:hint="default" w:ascii="Arial" w:hAnsi="Arial"/>
          <w:lang w:val="pt-BR"/>
        </w:rPr>
      </w:pPr>
      <w:r>
        <w:rPr>
          <w:rFonts w:hint="default" w:ascii="Arial" w:hAnsi="Arial"/>
          <w:lang w:val="pt-BR"/>
        </w:rPr>
        <w:t xml:space="preserve">prejuízos causados à Administração ou a terceiro, decorrentes de </w:t>
      </w:r>
      <w:r>
        <w:rPr>
          <w:rFonts w:hint="default" w:ascii="Arial" w:hAnsi="Arial"/>
          <w:lang w:val="pt-BR"/>
        </w:rPr>
        <w:tab/>
      </w:r>
      <w:r>
        <w:rPr>
          <w:rFonts w:hint="default" w:ascii="Arial" w:hAnsi="Arial"/>
          <w:lang w:val="pt-BR"/>
        </w:rPr>
        <w:t xml:space="preserve">culpa ou dolo durante a execução do contrato; </w:t>
      </w:r>
    </w:p>
    <w:p w14:paraId="3B100A3E">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708" w:leftChars="0" w:right="113" w:rightChars="0"/>
        <w:jc w:val="both"/>
        <w:textAlignment w:val="auto"/>
        <w:rPr>
          <w:rFonts w:hint="default" w:ascii="Arial" w:hAnsi="Arial"/>
          <w:lang w:val="pt-BR"/>
        </w:rPr>
      </w:pPr>
      <w:r>
        <w:rPr>
          <w:rFonts w:hint="default" w:ascii="Arial" w:hAnsi="Arial"/>
          <w:lang w:val="pt-BR"/>
        </w:rPr>
        <w:t>c) multas moratórias e punitivas aplicadas pela Administração à CONTRATADA; d) obrigações trabalhistas, fiscais e previdenciárias de qualquer natureza, não adimplidas pela CONTRATADA.</w:t>
      </w:r>
    </w:p>
    <w:p w14:paraId="3B0937C8">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708" w:leftChars="0" w:right="113" w:rightChars="0"/>
        <w:jc w:val="both"/>
        <w:textAlignment w:val="auto"/>
        <w:rPr>
          <w:rFonts w:hint="default" w:ascii="Arial" w:hAnsi="Arial"/>
          <w:lang w:val="pt-BR"/>
        </w:rPr>
      </w:pPr>
    </w:p>
    <w:p w14:paraId="4DB3CD4A">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MODELO</w:t>
      </w:r>
      <w:r>
        <w:rPr>
          <w:rFonts w:hint="default" w:ascii="Arial" w:hAnsi="Arial"/>
          <w:lang w:val="pt-BR"/>
        </w:rPr>
        <w:t xml:space="preserve"> </w:t>
      </w:r>
      <w:r>
        <w:rPr>
          <w:rFonts w:hint="default" w:ascii="Arial" w:hAnsi="Arial"/>
        </w:rPr>
        <w:t>DE</w:t>
      </w:r>
      <w:r>
        <w:rPr>
          <w:rFonts w:hint="default" w:ascii="Arial" w:hAnsi="Arial"/>
          <w:lang w:val="pt-BR"/>
        </w:rPr>
        <w:t xml:space="preserve"> </w:t>
      </w:r>
      <w:r>
        <w:rPr>
          <w:rFonts w:hint="default" w:ascii="Arial" w:hAnsi="Arial"/>
        </w:rPr>
        <w:t>EXECUÇÃO</w:t>
      </w:r>
      <w:r>
        <w:rPr>
          <w:rFonts w:hint="default" w:ascii="Arial" w:hAnsi="Arial"/>
          <w:lang w:val="pt-BR"/>
        </w:rPr>
        <w:t xml:space="preserve"> </w:t>
      </w:r>
      <w:r>
        <w:rPr>
          <w:rFonts w:hint="default" w:ascii="Arial" w:hAnsi="Arial"/>
        </w:rPr>
        <w:t>DO</w:t>
      </w:r>
      <w:r>
        <w:rPr>
          <w:rFonts w:hint="default" w:ascii="Arial" w:hAnsi="Arial"/>
          <w:lang w:val="pt-BR"/>
        </w:rPr>
        <w:t xml:space="preserve"> </w:t>
      </w:r>
      <w:r>
        <w:rPr>
          <w:rFonts w:hint="default" w:ascii="Arial" w:hAnsi="Arial"/>
        </w:rPr>
        <w:t>OBJETO</w:t>
      </w:r>
    </w:p>
    <w:p w14:paraId="383423A2">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O modelo de execução dos serviços objeto desta contratação está descrito no item </w:t>
      </w:r>
      <w:r>
        <w:rPr>
          <w:rFonts w:hint="default" w:ascii="Arial" w:hAnsi="Arial"/>
          <w:lang w:val="pt-BR"/>
        </w:rPr>
        <w:t>8</w:t>
      </w:r>
      <w:r>
        <w:rPr>
          <w:rFonts w:hint="default" w:ascii="Arial" w:hAnsi="Arial"/>
        </w:rPr>
        <w:t xml:space="preserve"> deste termo de referência.</w:t>
      </w:r>
    </w:p>
    <w:p w14:paraId="0157DB33">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MODELO</w:t>
      </w:r>
      <w:r>
        <w:rPr>
          <w:rFonts w:hint="default" w:ascii="Arial" w:hAnsi="Arial"/>
          <w:lang w:val="pt-BR"/>
        </w:rPr>
        <w:t xml:space="preserve"> </w:t>
      </w:r>
      <w:r>
        <w:rPr>
          <w:rFonts w:hint="default" w:ascii="Arial" w:hAnsi="Arial"/>
        </w:rPr>
        <w:t>DE</w:t>
      </w:r>
      <w:r>
        <w:rPr>
          <w:rFonts w:hint="default" w:ascii="Arial" w:hAnsi="Arial"/>
          <w:lang w:val="pt-BR"/>
        </w:rPr>
        <w:t xml:space="preserve"> </w:t>
      </w:r>
      <w:r>
        <w:rPr>
          <w:rFonts w:hint="default" w:ascii="Arial" w:hAnsi="Arial"/>
        </w:rPr>
        <w:t>GESTÃO</w:t>
      </w:r>
      <w:r>
        <w:rPr>
          <w:rFonts w:hint="default" w:ascii="Arial" w:hAnsi="Arial"/>
          <w:lang w:val="pt-BR"/>
        </w:rPr>
        <w:t xml:space="preserve"> </w:t>
      </w:r>
      <w:r>
        <w:rPr>
          <w:rFonts w:hint="default" w:ascii="Arial" w:hAnsi="Arial"/>
        </w:rPr>
        <w:t>DO</w:t>
      </w:r>
      <w:r>
        <w:rPr>
          <w:rFonts w:hint="default" w:ascii="Arial" w:hAnsi="Arial"/>
          <w:lang w:val="pt-BR"/>
        </w:rPr>
        <w:t xml:space="preserve"> </w:t>
      </w:r>
      <w:r>
        <w:rPr>
          <w:rFonts w:hint="default" w:ascii="Arial" w:hAnsi="Arial"/>
        </w:rPr>
        <w:t>CONTRATO</w:t>
      </w:r>
    </w:p>
    <w:p w14:paraId="5CBA9995">
      <w:pPr>
        <w:pStyle w:val="8"/>
        <w:keepNext w:val="0"/>
        <w:keepLines w:val="0"/>
        <w:pageBreakBefore w:val="0"/>
        <w:widowControl w:val="0"/>
        <w:numPr>
          <w:ilvl w:val="0"/>
          <w:numId w:val="5"/>
        </w:numPr>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 xml:space="preserve">O contrato deverá ser executado fielmente pelas partes, de acordo com as cláusulas avençadas e as normas da Lei nº 14.133, de 2021, e cada parte responderão pelas consequências de sua inexecução total ou parcial. </w:t>
      </w:r>
    </w:p>
    <w:p w14:paraId="660641D8">
      <w:pPr>
        <w:pStyle w:val="8"/>
        <w:keepNext w:val="0"/>
        <w:keepLines w:val="0"/>
        <w:pageBreakBefore w:val="0"/>
        <w:widowControl w:val="0"/>
        <w:numPr>
          <w:ilvl w:val="0"/>
          <w:numId w:val="5"/>
        </w:numPr>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 xml:space="preserve">As comunicações entre o órgão </w:t>
      </w:r>
      <w:r>
        <w:rPr>
          <w:rFonts w:hint="default" w:ascii="Arial" w:hAnsi="Arial"/>
          <w:lang w:val="pt-BR"/>
        </w:rPr>
        <w:t>contratante (IPG)</w:t>
      </w:r>
      <w:r>
        <w:rPr>
          <w:rFonts w:hint="default" w:ascii="Arial" w:hAnsi="Arial"/>
        </w:rPr>
        <w:t xml:space="preserve"> e a contratada devem ser realizadas por escrito sempre que o ato exigir tal formalidade, admitindo-se o uso de mensagem eletrônica para esse fim.</w:t>
      </w:r>
    </w:p>
    <w:p w14:paraId="6EB390C3">
      <w:pPr>
        <w:pStyle w:val="8"/>
        <w:keepNext w:val="0"/>
        <w:keepLines w:val="0"/>
        <w:pageBreakBefore w:val="0"/>
        <w:widowControl w:val="0"/>
        <w:numPr>
          <w:ilvl w:val="0"/>
          <w:numId w:val="5"/>
        </w:numPr>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 xml:space="preserve">O órgão </w:t>
      </w:r>
      <w:r>
        <w:rPr>
          <w:rFonts w:hint="default" w:ascii="Arial" w:hAnsi="Arial"/>
          <w:lang w:val="pt-BR"/>
        </w:rPr>
        <w:t>(IPG)</w:t>
      </w:r>
      <w:r>
        <w:rPr>
          <w:rFonts w:hint="default" w:ascii="Arial" w:hAnsi="Arial"/>
        </w:rPr>
        <w:t xml:space="preserve"> poderá convocar representante da empresa para adoção de providências que devamsercumpridas de imediato. </w:t>
      </w:r>
    </w:p>
    <w:p w14:paraId="721C72A5">
      <w:pPr>
        <w:pStyle w:val="8"/>
        <w:keepNext w:val="0"/>
        <w:keepLines w:val="0"/>
        <w:pageBreakBefore w:val="0"/>
        <w:widowControl w:val="0"/>
        <w:numPr>
          <w:ilvl w:val="0"/>
          <w:numId w:val="5"/>
        </w:numPr>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Após a assinatura do contrato ou instrumento equivalente, o órgão (</w:t>
      </w:r>
      <w:r>
        <w:rPr>
          <w:rFonts w:hint="default" w:ascii="Arial" w:hAnsi="Arial"/>
          <w:lang w:val="pt-BR"/>
        </w:rPr>
        <w:t>IPG</w:t>
      </w:r>
      <w:r>
        <w:rPr>
          <w:rFonts w:hint="default" w:ascii="Arial" w:hAnsi="Arial"/>
        </w:rPr>
        <w:t>)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AAF8385">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DA GESTÃO E FISCALIZAÇÃO DO CONTRATO:</w:t>
      </w:r>
    </w:p>
    <w:p w14:paraId="367F19C4">
      <w:pPr>
        <w:pStyle w:val="8"/>
        <w:keepNext w:val="0"/>
        <w:keepLines w:val="0"/>
        <w:pageBreakBefore w:val="0"/>
        <w:widowControl w:val="0"/>
        <w:numPr>
          <w:ilvl w:val="0"/>
          <w:numId w:val="6"/>
        </w:numPr>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 xml:space="preserve">A Gestão e a Fiscalização da Contratação caberão aos representantes da Administração especialmente designados. Nos impedimentos e afastamentos legais destes, suas funções serão desempenhadas por seus respectivos substitutos, nos termos do art. 117 da Lei 14.133/2021. </w:t>
      </w:r>
    </w:p>
    <w:p w14:paraId="2B494F76">
      <w:pPr>
        <w:pStyle w:val="8"/>
        <w:keepNext w:val="0"/>
        <w:keepLines w:val="0"/>
        <w:pageBreakBefore w:val="0"/>
        <w:widowControl w:val="0"/>
        <w:numPr>
          <w:ilvl w:val="0"/>
          <w:numId w:val="6"/>
        </w:numPr>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Os Gestores e Fiscais designados exercerão, de forma segregada, as atribuições previstas nos termos da Lei 14.133/2021, no âmbito d</w:t>
      </w:r>
      <w:r>
        <w:rPr>
          <w:rFonts w:hint="default" w:ascii="Arial" w:hAnsi="Arial"/>
          <w:lang w:val="pt-BR"/>
        </w:rPr>
        <w:t>o Instituto de Previdência dos Servidores do Município de Guarapari</w:t>
      </w:r>
      <w:r>
        <w:rPr>
          <w:rFonts w:hint="default" w:ascii="Arial" w:hAnsi="Arial"/>
        </w:rPr>
        <w:t xml:space="preserve"> e tudo o mais que for necessário visando ao adequado acompanhamento e fiscalização da execução contratual, devendo ainda providenciar as medidas necessárias às soluções de quaisquer contratempos que porventura venham a ocorrer.</w:t>
      </w:r>
    </w:p>
    <w:p w14:paraId="042809C9">
      <w:pPr>
        <w:pStyle w:val="8"/>
        <w:keepNext w:val="0"/>
        <w:keepLines w:val="0"/>
        <w:pageBreakBefore w:val="0"/>
        <w:widowControl w:val="0"/>
        <w:numPr>
          <w:ilvl w:val="0"/>
          <w:numId w:val="6"/>
        </w:numPr>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As decisões e providências que ultrapassarem a competência dos gestores e fiscais deverão ser solicitadas, em tempo oportuno, à autoridade competente, para adoção das medidas que julgar convenientes.</w:t>
      </w:r>
    </w:p>
    <w:p w14:paraId="399614E0">
      <w:pPr>
        <w:pStyle w:val="8"/>
        <w:keepNext w:val="0"/>
        <w:keepLines w:val="0"/>
        <w:pageBreakBefore w:val="0"/>
        <w:widowControl w:val="0"/>
        <w:numPr>
          <w:ilvl w:val="0"/>
          <w:numId w:val="6"/>
        </w:numPr>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A gestão e a fiscalização de que trata este item não excluem nem reduzem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14.133/2021</w:t>
      </w:r>
      <w:r>
        <w:rPr>
          <w:rFonts w:hint="default" w:ascii="Arial" w:hAnsi="Arial"/>
          <w:lang w:val="pt-BR"/>
        </w:rPr>
        <w:t>0</w:t>
      </w:r>
      <w:r>
        <w:rPr>
          <w:rFonts w:hint="default" w:ascii="Arial" w:hAnsi="Arial"/>
        </w:rPr>
        <w:t>.</w:t>
      </w:r>
    </w:p>
    <w:p w14:paraId="6C5CD8F5">
      <w:pPr>
        <w:pStyle w:val="8"/>
        <w:keepNext w:val="0"/>
        <w:keepLines w:val="0"/>
        <w:pageBreakBefore w:val="0"/>
        <w:widowControl w:val="0"/>
        <w:numPr>
          <w:ilvl w:val="0"/>
          <w:numId w:val="6"/>
        </w:numPr>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Cabe à fiscalização do contrato acompanhar a apresentação dos documentos fiscais, bem como efetuar o recebimento da Nota fiscal/fatura e o registro do atesto de recebimento para fins de liquidação e pagamento.</w:t>
      </w:r>
    </w:p>
    <w:p w14:paraId="4A91B6E1">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CRITÉRIOS DE MEDIÇÃO E DEPAGAMENTO:</w:t>
      </w:r>
    </w:p>
    <w:p w14:paraId="381AF4A8">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b/>
          <w:bCs/>
        </w:rPr>
      </w:pPr>
      <w:r>
        <w:rPr>
          <w:rFonts w:hint="default" w:ascii="Arial" w:hAnsi="Arial"/>
          <w:b/>
          <w:bCs/>
        </w:rPr>
        <w:t>Recebimento do Objeto</w:t>
      </w:r>
    </w:p>
    <w:p w14:paraId="54247159">
      <w:pPr>
        <w:pStyle w:val="8"/>
        <w:keepNext w:val="0"/>
        <w:keepLines w:val="0"/>
        <w:pageBreakBefore w:val="0"/>
        <w:widowControl w:val="0"/>
        <w:numPr>
          <w:ilvl w:val="0"/>
          <w:numId w:val="7"/>
        </w:numPr>
        <w:kinsoku/>
        <w:wordWrap/>
        <w:overflowPunct/>
        <w:topLinePunct w:val="0"/>
        <w:autoSpaceDE w:val="0"/>
        <w:autoSpaceDN w:val="0"/>
        <w:bidi w:val="0"/>
        <w:adjustRightInd/>
        <w:snapToGrid/>
        <w:spacing w:before="240" w:after="240" w:line="240" w:lineRule="auto"/>
        <w:ind w:left="425" w:leftChars="0" w:right="113" w:hanging="425" w:firstLineChars="0"/>
        <w:jc w:val="both"/>
        <w:textAlignment w:val="auto"/>
        <w:rPr>
          <w:rFonts w:hint="default" w:ascii="Arial" w:hAnsi="Arial"/>
        </w:rPr>
      </w:pPr>
      <w:r>
        <w:rPr>
          <w:rFonts w:hint="default" w:ascii="Arial" w:hAnsi="Arial"/>
        </w:rPr>
        <w:t>Prazo para fornecimento da Aquisição do Serviço de desenvolvimento, monitoramento, configuração</w:t>
      </w:r>
      <w:r>
        <w:rPr>
          <w:rFonts w:hint="default" w:ascii="Arial" w:hAnsi="Arial"/>
          <w:lang w:val="pt-BR"/>
        </w:rPr>
        <w:t>, customização</w:t>
      </w:r>
      <w:r>
        <w:rPr>
          <w:rFonts w:hint="default" w:ascii="Arial" w:hAnsi="Arial"/>
        </w:rPr>
        <w:t xml:space="preserve"> e suporte de WebSite Institucional, será de até 10 dias após a aprovação da proposta.</w:t>
      </w:r>
    </w:p>
    <w:p w14:paraId="36F9C69A">
      <w:pPr>
        <w:pStyle w:val="8"/>
        <w:keepNext w:val="0"/>
        <w:keepLines w:val="0"/>
        <w:pageBreakBefore w:val="0"/>
        <w:widowControl w:val="0"/>
        <w:numPr>
          <w:ilvl w:val="0"/>
          <w:numId w:val="7"/>
        </w:numPr>
        <w:kinsoku/>
        <w:wordWrap/>
        <w:overflowPunct/>
        <w:topLinePunct w:val="0"/>
        <w:autoSpaceDE w:val="0"/>
        <w:autoSpaceDN w:val="0"/>
        <w:bidi w:val="0"/>
        <w:adjustRightInd/>
        <w:snapToGrid/>
        <w:spacing w:before="240" w:after="240" w:line="240" w:lineRule="auto"/>
        <w:ind w:left="425" w:leftChars="0" w:right="113" w:hanging="425" w:firstLineChars="0"/>
        <w:jc w:val="both"/>
        <w:textAlignment w:val="auto"/>
        <w:rPr>
          <w:rFonts w:hint="default" w:ascii="Arial" w:hAnsi="Arial"/>
        </w:rPr>
      </w:pPr>
      <w:r>
        <w:rPr>
          <w:rFonts w:hint="default" w:ascii="Arial" w:hAnsi="Arial"/>
        </w:rPr>
        <w:t>O recebimento provisório será mediante o registro de recebimento n</w:t>
      </w:r>
      <w:r>
        <w:rPr>
          <w:rFonts w:hint="default" w:ascii="Arial" w:hAnsi="Arial"/>
          <w:lang w:val="pt-BR"/>
        </w:rPr>
        <w:t>o</w:t>
      </w:r>
      <w:r>
        <w:rPr>
          <w:rFonts w:hint="default" w:ascii="Arial" w:hAnsi="Arial"/>
        </w:rPr>
        <w:t xml:space="preserve"> </w:t>
      </w:r>
      <w:r>
        <w:rPr>
          <w:rFonts w:hint="default" w:ascii="Arial" w:hAnsi="Arial"/>
          <w:lang w:val="pt-BR"/>
        </w:rPr>
        <w:t>Instituto de Previdência dos Servidores do Município de Guarapari</w:t>
      </w:r>
      <w:r>
        <w:rPr>
          <w:rFonts w:hint="default" w:ascii="Arial" w:hAnsi="Arial"/>
        </w:rPr>
        <w:t>, após o recebimento da nota fiscal ou instrumento de cobrança equivalente pela Fiscalização, para efeito de posterior verificação de sua conformidade.</w:t>
      </w:r>
    </w:p>
    <w:p w14:paraId="3CBE0C58">
      <w:pPr>
        <w:pStyle w:val="8"/>
        <w:keepNext w:val="0"/>
        <w:keepLines w:val="0"/>
        <w:pageBreakBefore w:val="0"/>
        <w:widowControl w:val="0"/>
        <w:numPr>
          <w:ilvl w:val="0"/>
          <w:numId w:val="7"/>
        </w:numPr>
        <w:kinsoku/>
        <w:wordWrap/>
        <w:overflowPunct/>
        <w:topLinePunct w:val="0"/>
        <w:autoSpaceDE w:val="0"/>
        <w:autoSpaceDN w:val="0"/>
        <w:bidi w:val="0"/>
        <w:adjustRightInd/>
        <w:snapToGrid/>
        <w:spacing w:before="240" w:after="240" w:line="240" w:lineRule="auto"/>
        <w:ind w:left="425" w:leftChars="0" w:right="113" w:hanging="425" w:firstLineChars="0"/>
        <w:jc w:val="both"/>
        <w:textAlignment w:val="auto"/>
        <w:rPr>
          <w:rFonts w:hint="default" w:ascii="Arial" w:hAnsi="Arial"/>
        </w:rPr>
      </w:pPr>
      <w:r>
        <w:rPr>
          <w:rFonts w:hint="default" w:ascii="Arial" w:hAnsi="Arial"/>
        </w:rPr>
        <w:t>O recebimento definitivo será mediante recibo, até a data de vencimento da fatura ou boleto, corridos após o recebimento provisório e a verificação da perfeita execução das obrigações contratuais, ocasião emque</w:t>
      </w:r>
      <w:r>
        <w:rPr>
          <w:rFonts w:hint="default" w:ascii="Arial" w:hAnsi="Arial"/>
          <w:lang w:val="pt-BR"/>
        </w:rPr>
        <w:t xml:space="preserve"> </w:t>
      </w:r>
      <w:r>
        <w:rPr>
          <w:rFonts w:hint="default" w:ascii="Arial" w:hAnsi="Arial"/>
        </w:rPr>
        <w:t>se</w:t>
      </w:r>
      <w:r>
        <w:rPr>
          <w:rFonts w:hint="default" w:ascii="Arial" w:hAnsi="Arial"/>
          <w:lang w:val="pt-BR"/>
        </w:rPr>
        <w:t xml:space="preserve"> </w:t>
      </w:r>
      <w:r>
        <w:rPr>
          <w:rFonts w:hint="default" w:ascii="Arial" w:hAnsi="Arial"/>
        </w:rPr>
        <w:t>fará</w:t>
      </w:r>
      <w:r>
        <w:rPr>
          <w:rFonts w:hint="default" w:ascii="Arial" w:hAnsi="Arial"/>
          <w:lang w:val="pt-BR"/>
        </w:rPr>
        <w:t xml:space="preserve"> </w:t>
      </w:r>
      <w:r>
        <w:rPr>
          <w:rFonts w:hint="default" w:ascii="Arial" w:hAnsi="Arial"/>
        </w:rPr>
        <w:t>constar o atesto da nota fiscal ou instrumento de cobrança equivalente.</w:t>
      </w:r>
    </w:p>
    <w:p w14:paraId="189BF8AA">
      <w:pPr>
        <w:pStyle w:val="8"/>
        <w:keepNext w:val="0"/>
        <w:keepLines w:val="0"/>
        <w:pageBreakBefore w:val="0"/>
        <w:widowControl w:val="0"/>
        <w:numPr>
          <w:ilvl w:val="0"/>
          <w:numId w:val="7"/>
        </w:numPr>
        <w:kinsoku/>
        <w:wordWrap/>
        <w:overflowPunct/>
        <w:topLinePunct w:val="0"/>
        <w:autoSpaceDE w:val="0"/>
        <w:autoSpaceDN w:val="0"/>
        <w:bidi w:val="0"/>
        <w:adjustRightInd/>
        <w:snapToGrid/>
        <w:spacing w:before="240" w:after="240" w:line="240" w:lineRule="auto"/>
        <w:ind w:left="425" w:leftChars="0" w:right="113" w:hanging="425" w:firstLineChars="0"/>
        <w:jc w:val="both"/>
        <w:textAlignment w:val="auto"/>
        <w:rPr>
          <w:rFonts w:hint="default" w:ascii="Arial" w:hAnsi="Arial"/>
        </w:rPr>
      </w:pPr>
      <w:r>
        <w:rPr>
          <w:rFonts w:hint="default" w:ascii="Arial" w:hAnsi="Arial"/>
        </w:rPr>
        <w:t>No caso de controvérsia sobre a execução do objeto, quanto à dimensão, qualidade e quantidade, deverá ser observado o teor do art. 143 da Lei nº 14.133, de 2021, comunicando-se à empresa para emissão de Nota Fiscal ou instrumento de cobrança equivalente no que pertine à parcela incontroversa da execução do objeto, para efeito de liquidação e pagamento.</w:t>
      </w:r>
    </w:p>
    <w:p w14:paraId="2535DDDE">
      <w:pPr>
        <w:pStyle w:val="8"/>
        <w:keepNext w:val="0"/>
        <w:keepLines w:val="0"/>
        <w:pageBreakBefore w:val="0"/>
        <w:widowControl w:val="0"/>
        <w:numPr>
          <w:ilvl w:val="0"/>
          <w:numId w:val="7"/>
        </w:numPr>
        <w:kinsoku/>
        <w:wordWrap/>
        <w:overflowPunct/>
        <w:topLinePunct w:val="0"/>
        <w:autoSpaceDE w:val="0"/>
        <w:autoSpaceDN w:val="0"/>
        <w:bidi w:val="0"/>
        <w:adjustRightInd/>
        <w:snapToGrid/>
        <w:spacing w:before="240" w:after="240" w:line="240" w:lineRule="auto"/>
        <w:ind w:left="425" w:leftChars="0" w:right="113" w:hanging="425" w:firstLineChars="0"/>
        <w:jc w:val="both"/>
        <w:textAlignment w:val="auto"/>
        <w:rPr>
          <w:rFonts w:hint="default" w:ascii="Arial" w:hAnsi="Arial"/>
        </w:rPr>
      </w:pPr>
      <w:r>
        <w:rPr>
          <w:rFonts w:hint="default" w:ascii="Arial" w:hAnsi="Arial"/>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0EDD50B">
      <w:pPr>
        <w:pStyle w:val="8"/>
        <w:keepNext w:val="0"/>
        <w:keepLines w:val="0"/>
        <w:pageBreakBefore w:val="0"/>
        <w:widowControl w:val="0"/>
        <w:numPr>
          <w:ilvl w:val="0"/>
          <w:numId w:val="7"/>
        </w:numPr>
        <w:kinsoku/>
        <w:wordWrap/>
        <w:overflowPunct/>
        <w:topLinePunct w:val="0"/>
        <w:autoSpaceDE w:val="0"/>
        <w:autoSpaceDN w:val="0"/>
        <w:bidi w:val="0"/>
        <w:adjustRightInd/>
        <w:snapToGrid/>
        <w:spacing w:before="240" w:after="240" w:line="240" w:lineRule="auto"/>
        <w:ind w:left="425" w:leftChars="0" w:right="113" w:hanging="425" w:firstLineChars="0"/>
        <w:jc w:val="both"/>
        <w:textAlignment w:val="auto"/>
        <w:rPr>
          <w:rFonts w:hint="default" w:ascii="Arial" w:hAnsi="Arial"/>
        </w:rPr>
      </w:pPr>
      <w:r>
        <w:rPr>
          <w:rFonts w:hint="default" w:ascii="Arial" w:hAnsi="Arial"/>
        </w:rPr>
        <w:t xml:space="preserve">O recebimento provisório ou definitivo não excluirá a responsabilidade civil pela solidez e pela segurança do fornecimento nem a responsabilidade ético-profissional pela perfeita execução do contrato. </w:t>
      </w:r>
    </w:p>
    <w:p w14:paraId="0595B1CA">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lang w:val="pt-BR"/>
        </w:rPr>
        <w:t>L</w:t>
      </w:r>
      <w:r>
        <w:rPr>
          <w:rFonts w:hint="default" w:ascii="Arial" w:hAnsi="Arial"/>
        </w:rPr>
        <w:t xml:space="preserve">iquidação </w:t>
      </w:r>
    </w:p>
    <w:p w14:paraId="66602C5C">
      <w:pPr>
        <w:pStyle w:val="8"/>
        <w:keepNext w:val="0"/>
        <w:keepLines w:val="0"/>
        <w:pageBreakBefore w:val="0"/>
        <w:widowControl w:val="0"/>
        <w:numPr>
          <w:ilvl w:val="0"/>
          <w:numId w:val="8"/>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 xml:space="preserve">Recebida a Nota Fiscal ou documento de cobrança equivalente, correrá o prazo para fins de liquidação, na forma desta seção, de acordo com as normas e regulamentos internos </w:t>
      </w:r>
      <w:r>
        <w:rPr>
          <w:rFonts w:hint="default" w:ascii="Arial" w:hAnsi="Arial"/>
          <w:lang w:val="pt-BR"/>
        </w:rPr>
        <w:t>do Instituto de Previdência dos Servidores do Municipio de Guarapari</w:t>
      </w:r>
      <w:r>
        <w:rPr>
          <w:rFonts w:hint="default" w:ascii="Arial" w:hAnsi="Arial"/>
        </w:rPr>
        <w:t>.</w:t>
      </w:r>
    </w:p>
    <w:p w14:paraId="57F5D619">
      <w:pPr>
        <w:pStyle w:val="8"/>
        <w:keepNext w:val="0"/>
        <w:keepLines w:val="0"/>
        <w:pageBreakBefore w:val="0"/>
        <w:widowControl w:val="0"/>
        <w:numPr>
          <w:ilvl w:val="0"/>
          <w:numId w:val="8"/>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 xml:space="preserve"> Para fins de liquidação, o setor competente deverá verificar se a nota fiscal ou instrumento de cobrança equivalente apresentado expressa os elementos necessários e essenciais do documento, tais como: </w:t>
      </w:r>
    </w:p>
    <w:p w14:paraId="0ADF2B0A">
      <w:pPr>
        <w:pStyle w:val="8"/>
        <w:keepNext w:val="0"/>
        <w:keepLines w:val="0"/>
        <w:pageBreakBefore w:val="0"/>
        <w:widowControl w:val="0"/>
        <w:numPr>
          <w:ilvl w:val="1"/>
          <w:numId w:val="8"/>
        </w:numPr>
        <w:tabs>
          <w:tab w:val="clear" w:pos="840"/>
        </w:tabs>
        <w:kinsoku/>
        <w:wordWrap/>
        <w:overflowPunct/>
        <w:topLinePunct w:val="0"/>
        <w:autoSpaceDE w:val="0"/>
        <w:autoSpaceDN w:val="0"/>
        <w:bidi w:val="0"/>
        <w:adjustRightInd/>
        <w:snapToGrid/>
        <w:spacing w:before="240" w:after="240" w:line="240" w:lineRule="auto"/>
        <w:ind w:left="845" w:leftChars="0" w:right="113" w:rightChars="0" w:hanging="425" w:firstLineChars="0"/>
        <w:jc w:val="both"/>
        <w:textAlignment w:val="auto"/>
        <w:rPr>
          <w:rFonts w:hint="default" w:ascii="Arial" w:hAnsi="Arial"/>
        </w:rPr>
      </w:pPr>
      <w:r>
        <w:rPr>
          <w:rFonts w:hint="default" w:ascii="Arial" w:hAnsi="Arial"/>
        </w:rPr>
        <w:t xml:space="preserve">o prazo de vencimento; </w:t>
      </w:r>
    </w:p>
    <w:p w14:paraId="3C568EE7">
      <w:pPr>
        <w:pStyle w:val="8"/>
        <w:keepNext w:val="0"/>
        <w:keepLines w:val="0"/>
        <w:pageBreakBefore w:val="0"/>
        <w:widowControl w:val="0"/>
        <w:numPr>
          <w:ilvl w:val="1"/>
          <w:numId w:val="8"/>
        </w:numPr>
        <w:tabs>
          <w:tab w:val="clear" w:pos="840"/>
        </w:tabs>
        <w:kinsoku/>
        <w:wordWrap/>
        <w:overflowPunct/>
        <w:topLinePunct w:val="0"/>
        <w:autoSpaceDE w:val="0"/>
        <w:autoSpaceDN w:val="0"/>
        <w:bidi w:val="0"/>
        <w:adjustRightInd/>
        <w:snapToGrid/>
        <w:spacing w:before="240" w:after="240" w:line="240" w:lineRule="auto"/>
        <w:ind w:left="845" w:leftChars="0" w:right="113" w:rightChars="0" w:hanging="425" w:firstLineChars="0"/>
        <w:jc w:val="both"/>
        <w:textAlignment w:val="auto"/>
        <w:rPr>
          <w:rFonts w:hint="default" w:ascii="Arial" w:hAnsi="Arial"/>
        </w:rPr>
      </w:pPr>
      <w:r>
        <w:rPr>
          <w:rFonts w:hint="default" w:ascii="Arial" w:hAnsi="Arial"/>
        </w:rPr>
        <w:t xml:space="preserve">a data da emissão; </w:t>
      </w:r>
    </w:p>
    <w:p w14:paraId="33F6E4FF">
      <w:pPr>
        <w:pStyle w:val="8"/>
        <w:keepNext w:val="0"/>
        <w:keepLines w:val="0"/>
        <w:pageBreakBefore w:val="0"/>
        <w:widowControl w:val="0"/>
        <w:numPr>
          <w:ilvl w:val="1"/>
          <w:numId w:val="8"/>
        </w:numPr>
        <w:tabs>
          <w:tab w:val="clear" w:pos="840"/>
        </w:tabs>
        <w:kinsoku/>
        <w:wordWrap/>
        <w:overflowPunct/>
        <w:topLinePunct w:val="0"/>
        <w:autoSpaceDE w:val="0"/>
        <w:autoSpaceDN w:val="0"/>
        <w:bidi w:val="0"/>
        <w:adjustRightInd/>
        <w:snapToGrid/>
        <w:spacing w:before="240" w:after="240" w:line="240" w:lineRule="auto"/>
        <w:ind w:left="845" w:leftChars="0" w:right="113" w:rightChars="0" w:hanging="425" w:firstLineChars="0"/>
        <w:jc w:val="both"/>
        <w:textAlignment w:val="auto"/>
        <w:rPr>
          <w:rFonts w:hint="default" w:ascii="Arial" w:hAnsi="Arial"/>
        </w:rPr>
      </w:pPr>
      <w:r>
        <w:rPr>
          <w:rFonts w:hint="default" w:ascii="Arial" w:hAnsi="Arial"/>
        </w:rPr>
        <w:t>os dados do contrato e do órgão contratante;</w:t>
      </w:r>
    </w:p>
    <w:p w14:paraId="59B23906">
      <w:pPr>
        <w:pStyle w:val="8"/>
        <w:keepNext w:val="0"/>
        <w:keepLines w:val="0"/>
        <w:pageBreakBefore w:val="0"/>
        <w:widowControl w:val="0"/>
        <w:numPr>
          <w:ilvl w:val="1"/>
          <w:numId w:val="8"/>
        </w:numPr>
        <w:tabs>
          <w:tab w:val="clear" w:pos="840"/>
        </w:tabs>
        <w:kinsoku/>
        <w:wordWrap/>
        <w:overflowPunct/>
        <w:topLinePunct w:val="0"/>
        <w:autoSpaceDE w:val="0"/>
        <w:autoSpaceDN w:val="0"/>
        <w:bidi w:val="0"/>
        <w:adjustRightInd/>
        <w:snapToGrid/>
        <w:spacing w:before="240" w:after="240" w:line="240" w:lineRule="auto"/>
        <w:ind w:left="845" w:leftChars="0" w:right="113" w:rightChars="0" w:hanging="425" w:firstLineChars="0"/>
        <w:jc w:val="both"/>
        <w:textAlignment w:val="auto"/>
        <w:rPr>
          <w:rFonts w:hint="default" w:ascii="Arial" w:hAnsi="Arial"/>
        </w:rPr>
      </w:pPr>
      <w:r>
        <w:rPr>
          <w:rFonts w:hint="default" w:ascii="Arial" w:hAnsi="Arial"/>
        </w:rPr>
        <w:t>o período respectivo de execução do contrato;</w:t>
      </w:r>
    </w:p>
    <w:p w14:paraId="1CF40733">
      <w:pPr>
        <w:pStyle w:val="8"/>
        <w:keepNext w:val="0"/>
        <w:keepLines w:val="0"/>
        <w:pageBreakBefore w:val="0"/>
        <w:widowControl w:val="0"/>
        <w:numPr>
          <w:ilvl w:val="1"/>
          <w:numId w:val="8"/>
        </w:numPr>
        <w:tabs>
          <w:tab w:val="clear" w:pos="840"/>
        </w:tabs>
        <w:kinsoku/>
        <w:wordWrap/>
        <w:overflowPunct/>
        <w:topLinePunct w:val="0"/>
        <w:autoSpaceDE w:val="0"/>
        <w:autoSpaceDN w:val="0"/>
        <w:bidi w:val="0"/>
        <w:adjustRightInd/>
        <w:snapToGrid/>
        <w:spacing w:before="240" w:after="240" w:line="240" w:lineRule="auto"/>
        <w:ind w:left="845" w:leftChars="0" w:right="113" w:rightChars="0" w:hanging="425" w:firstLineChars="0"/>
        <w:jc w:val="both"/>
        <w:textAlignment w:val="auto"/>
        <w:rPr>
          <w:rFonts w:hint="default" w:ascii="Arial" w:hAnsi="Arial"/>
        </w:rPr>
      </w:pPr>
      <w:r>
        <w:rPr>
          <w:rFonts w:hint="default" w:ascii="Arial" w:hAnsi="Arial"/>
        </w:rPr>
        <w:t xml:space="preserve">o valor a pagar; e </w:t>
      </w:r>
    </w:p>
    <w:p w14:paraId="201F5D5E">
      <w:pPr>
        <w:pStyle w:val="8"/>
        <w:keepNext w:val="0"/>
        <w:keepLines w:val="0"/>
        <w:pageBreakBefore w:val="0"/>
        <w:widowControl w:val="0"/>
        <w:numPr>
          <w:ilvl w:val="1"/>
          <w:numId w:val="8"/>
        </w:numPr>
        <w:tabs>
          <w:tab w:val="clear" w:pos="840"/>
        </w:tabs>
        <w:kinsoku/>
        <w:wordWrap/>
        <w:overflowPunct/>
        <w:topLinePunct w:val="0"/>
        <w:autoSpaceDE w:val="0"/>
        <w:autoSpaceDN w:val="0"/>
        <w:bidi w:val="0"/>
        <w:adjustRightInd/>
        <w:snapToGrid/>
        <w:spacing w:before="240" w:after="240" w:line="240" w:lineRule="auto"/>
        <w:ind w:left="845" w:leftChars="0" w:right="113" w:rightChars="0" w:hanging="425" w:firstLineChars="0"/>
        <w:jc w:val="both"/>
        <w:textAlignment w:val="auto"/>
        <w:rPr>
          <w:rFonts w:hint="default" w:ascii="Arial" w:hAnsi="Arial"/>
        </w:rPr>
      </w:pPr>
      <w:r>
        <w:rPr>
          <w:rFonts w:hint="default" w:ascii="Arial" w:hAnsi="Arial"/>
        </w:rPr>
        <w:t>eventual destaque do valor de retenções tributárias cabíveis.</w:t>
      </w:r>
    </w:p>
    <w:p w14:paraId="7A39AC40">
      <w:pPr>
        <w:pStyle w:val="8"/>
        <w:keepNext w:val="0"/>
        <w:keepLines w:val="0"/>
        <w:pageBreakBefore w:val="0"/>
        <w:widowControl w:val="0"/>
        <w:numPr>
          <w:ilvl w:val="0"/>
          <w:numId w:val="9"/>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4E46A32">
      <w:pPr>
        <w:pStyle w:val="8"/>
        <w:keepNext w:val="0"/>
        <w:keepLines w:val="0"/>
        <w:pageBreakBefore w:val="0"/>
        <w:widowControl w:val="0"/>
        <w:numPr>
          <w:ilvl w:val="0"/>
          <w:numId w:val="9"/>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A nota fiscal ou instrumento de cobrança equivalente deverá ser obrigatoriamente acompanhado da comprovação da regularidade fiscal, constatada por meio de consulta on-line ao SICAF, se for o caso, ou, na impossibilidade de acesso ao referido Sistema, mediante consulta aos sítios eletrônicos oficiais ou à documentação mencionada no art. 68 da Lei nº 14.133, de 2021. 7.3.</w:t>
      </w:r>
    </w:p>
    <w:p w14:paraId="23E20FE8">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Prazo de pagamento </w:t>
      </w:r>
    </w:p>
    <w:p w14:paraId="5ED6FFD6">
      <w:pPr>
        <w:pStyle w:val="8"/>
        <w:keepNext w:val="0"/>
        <w:keepLines w:val="0"/>
        <w:pageBreakBefore w:val="0"/>
        <w:widowControl w:val="0"/>
        <w:numPr>
          <w:ilvl w:val="0"/>
          <w:numId w:val="10"/>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 xml:space="preserve">O pagamento será efetuado no prazo de vencimento da nota fiscal ou instrumento de cobrança equivalente contados da finalização da liquidação da despesa, conforme seção anterior, de acordo com as normas e regulamentos internos da Diretoria </w:t>
      </w:r>
      <w:r>
        <w:rPr>
          <w:rFonts w:hint="default" w:ascii="Arial" w:hAnsi="Arial"/>
          <w:lang w:val="pt-BR"/>
        </w:rPr>
        <w:t xml:space="preserve">Administrativa e </w:t>
      </w:r>
      <w:r>
        <w:rPr>
          <w:rFonts w:hint="default" w:ascii="Arial" w:hAnsi="Arial"/>
        </w:rPr>
        <w:t>Financeira d</w:t>
      </w:r>
      <w:r>
        <w:rPr>
          <w:rFonts w:hint="default" w:ascii="Arial" w:hAnsi="Arial"/>
          <w:lang w:val="pt-BR"/>
        </w:rPr>
        <w:t>o Instituto de Previdência dos Servidores do Municipio de Guarapari</w:t>
      </w:r>
      <w:r>
        <w:rPr>
          <w:rFonts w:hint="default" w:ascii="Arial" w:hAnsi="Arial"/>
        </w:rPr>
        <w:t xml:space="preserve">. </w:t>
      </w:r>
    </w:p>
    <w:p w14:paraId="226DC9A1">
      <w:pPr>
        <w:pStyle w:val="8"/>
        <w:keepNext w:val="0"/>
        <w:keepLines w:val="0"/>
        <w:pageBreakBefore w:val="0"/>
        <w:widowControl w:val="0"/>
        <w:numPr>
          <w:ilvl w:val="0"/>
          <w:numId w:val="10"/>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rPr>
        <w:t xml:space="preserve">No caso de atraso pelo Contratante, os valores devidos ao contratado serão atualizados monetariamente entre o termo final do prazo de pagamento até a data de sua efetiva realização, mediante aplicação da taxa de 6% (seis por cento) ao ano, aplicando-se a seguinte fórmula: </w:t>
      </w:r>
    </w:p>
    <w:p w14:paraId="1C7D6CEB">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Chars="0" w:right="113" w:rightChars="0" w:firstLine="708" w:firstLineChars="0"/>
        <w:jc w:val="both"/>
        <w:textAlignment w:val="auto"/>
        <w:rPr>
          <w:rFonts w:hint="default" w:ascii="Arial" w:hAnsi="Arial"/>
        </w:rPr>
      </w:pPr>
      <w:r>
        <w:rPr>
          <w:rFonts w:hint="default" w:ascii="Arial" w:hAnsi="Arial"/>
        </w:rPr>
        <w:t>EM=IxNxVP,</w:t>
      </w:r>
      <w:r>
        <w:rPr>
          <w:rFonts w:hint="default" w:ascii="Arial" w:hAnsi="Arial"/>
          <w:lang w:val="pt-BR"/>
        </w:rPr>
        <w:t xml:space="preserve"> </w:t>
      </w:r>
      <w:r>
        <w:rPr>
          <w:rFonts w:hint="default" w:ascii="Arial" w:hAnsi="Arial"/>
        </w:rPr>
        <w:t xml:space="preserve">sendo: </w:t>
      </w:r>
    </w:p>
    <w:p w14:paraId="1EA031FC">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Chars="0" w:right="113" w:rightChars="0" w:firstLine="708" w:firstLineChars="0"/>
        <w:jc w:val="both"/>
        <w:textAlignment w:val="auto"/>
        <w:rPr>
          <w:rFonts w:hint="default" w:ascii="Arial" w:hAnsi="Arial"/>
        </w:rPr>
      </w:pPr>
      <w:r>
        <w:rPr>
          <w:rFonts w:hint="default" w:ascii="Arial" w:hAnsi="Arial"/>
        </w:rPr>
        <w:t>EM=Encargos moratórios;</w:t>
      </w:r>
    </w:p>
    <w:p w14:paraId="66FA1743">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Chars="0" w:right="113" w:rightChars="0" w:firstLine="708" w:firstLineChars="0"/>
        <w:jc w:val="both"/>
        <w:textAlignment w:val="auto"/>
        <w:rPr>
          <w:rFonts w:hint="default" w:ascii="Arial" w:hAnsi="Arial"/>
          <w:lang w:val="pt-BR"/>
        </w:rPr>
      </w:pPr>
      <w:r>
        <w:rPr>
          <w:rFonts w:hint="default" w:ascii="Arial" w:hAnsi="Arial"/>
          <w:lang w:val="pt-BR"/>
        </w:rPr>
        <w:t xml:space="preserve">N=Número de dias entre a data prevista para o pagamento e a do </w:t>
      </w:r>
      <w:r>
        <w:rPr>
          <w:rFonts w:hint="default" w:ascii="Arial" w:hAnsi="Arial"/>
          <w:lang w:val="pt-BR"/>
        </w:rPr>
        <w:tab/>
      </w:r>
      <w:r>
        <w:rPr>
          <w:rFonts w:hint="default" w:ascii="Arial" w:hAnsi="Arial"/>
          <w:lang w:val="pt-BR"/>
        </w:rPr>
        <w:tab/>
      </w:r>
      <w:r>
        <w:rPr>
          <w:rFonts w:hint="default" w:ascii="Arial" w:hAnsi="Arial"/>
          <w:lang w:val="pt-BR"/>
        </w:rPr>
        <w:t>efetivo pagamento;</w:t>
      </w:r>
    </w:p>
    <w:p w14:paraId="3FD5B3E2">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Chars="0" w:right="113" w:rightChars="0" w:firstLine="708" w:firstLineChars="0"/>
        <w:jc w:val="both"/>
        <w:textAlignment w:val="auto"/>
        <w:rPr>
          <w:rFonts w:hint="default" w:ascii="Arial" w:hAnsi="Arial"/>
          <w:lang w:val="pt-BR"/>
        </w:rPr>
      </w:pPr>
      <w:r>
        <w:rPr>
          <w:rFonts w:hint="default" w:ascii="Arial" w:hAnsi="Arial"/>
          <w:lang w:val="pt-BR"/>
        </w:rPr>
        <w:t>VP =Valor da parcela em atraso.</w:t>
      </w:r>
    </w:p>
    <w:p w14:paraId="21BC2EB8">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Chars="0" w:right="113" w:rightChars="0" w:firstLine="708" w:firstLineChars="0"/>
        <w:jc w:val="both"/>
        <w:textAlignment w:val="auto"/>
        <w:rPr>
          <w:rFonts w:hint="default" w:ascii="Arial" w:hAnsi="Arial"/>
          <w:lang w:val="pt-BR"/>
        </w:rPr>
      </w:pPr>
      <w:r>
        <w:rPr>
          <w:rFonts w:hint="default" w:ascii="Arial" w:hAnsi="Arial"/>
          <w:lang w:val="pt-BR"/>
        </w:rPr>
        <w:t xml:space="preserve">I = Índice de atualização financeira = 0,00016438, assim apurado: I = </w:t>
      </w:r>
      <w:r>
        <w:rPr>
          <w:rFonts w:hint="default" w:ascii="Arial" w:hAnsi="Arial"/>
          <w:lang w:val="pt-BR"/>
        </w:rPr>
        <w:tab/>
      </w:r>
      <w:r>
        <w:rPr>
          <w:rFonts w:hint="default" w:ascii="Arial" w:hAnsi="Arial"/>
          <w:lang w:val="pt-BR"/>
        </w:rPr>
        <w:t xml:space="preserve">(TX/100)/365. I = (6/100)/365 Em queTX = taxa percentual anual no </w:t>
      </w:r>
      <w:r>
        <w:rPr>
          <w:rFonts w:hint="default" w:ascii="Arial" w:hAnsi="Arial"/>
          <w:lang w:val="pt-BR"/>
        </w:rPr>
        <w:tab/>
      </w:r>
      <w:r>
        <w:rPr>
          <w:rFonts w:hint="default" w:ascii="Arial" w:hAnsi="Arial"/>
          <w:lang w:val="pt-BR"/>
        </w:rPr>
        <w:t>valor de 6%, capitalizada diariamente em regime de juros simples.</w:t>
      </w:r>
    </w:p>
    <w:p w14:paraId="62212AC1">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lang w:val="pt-BR"/>
        </w:rPr>
      </w:pPr>
      <w:r>
        <w:rPr>
          <w:rFonts w:hint="default" w:ascii="Arial" w:hAnsi="Arial"/>
          <w:lang w:val="pt-BR"/>
        </w:rPr>
        <w:t xml:space="preserve">Forma de pagamento </w:t>
      </w:r>
    </w:p>
    <w:p w14:paraId="02850EBE">
      <w:pPr>
        <w:pStyle w:val="8"/>
        <w:keepNext w:val="0"/>
        <w:keepLines w:val="0"/>
        <w:pageBreakBefore w:val="0"/>
        <w:widowControl w:val="0"/>
        <w:numPr>
          <w:ilvl w:val="0"/>
          <w:numId w:val="11"/>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A Nota Fiscal deverá ser entregue no ato da prestação de serviços com da data do vencimento, sendo que, o vencimento com no mínimo 5 (cinco) dias uteis.</w:t>
      </w:r>
    </w:p>
    <w:p w14:paraId="4D7CF22A">
      <w:pPr>
        <w:pStyle w:val="8"/>
        <w:keepNext w:val="0"/>
        <w:keepLines w:val="0"/>
        <w:pageBreakBefore w:val="0"/>
        <w:widowControl w:val="0"/>
        <w:numPr>
          <w:ilvl w:val="0"/>
          <w:numId w:val="11"/>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 xml:space="preserve">O pagamento será realizado por meio de ordem bancária, para crédito em banco, agência e conta corrente indicados pelo contratado até o vencimento da nota, condicionado à apresentação dos seguintes documentos, em vigor: </w:t>
      </w:r>
    </w:p>
    <w:p w14:paraId="31C7E684">
      <w:pPr>
        <w:pStyle w:val="8"/>
        <w:keepNext w:val="0"/>
        <w:keepLines w:val="0"/>
        <w:pageBreakBefore w:val="0"/>
        <w:widowControl w:val="0"/>
        <w:numPr>
          <w:ilvl w:val="0"/>
          <w:numId w:val="12"/>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nota fiscal do produto/serviço, devidamente atestada pela fiscalização competente do Instituto de Previdência, e anexada ao processo;</w:t>
      </w:r>
    </w:p>
    <w:p w14:paraId="0E9401AB">
      <w:pPr>
        <w:pStyle w:val="8"/>
        <w:keepNext w:val="0"/>
        <w:keepLines w:val="0"/>
        <w:pageBreakBefore w:val="0"/>
        <w:widowControl w:val="0"/>
        <w:numPr>
          <w:ilvl w:val="0"/>
          <w:numId w:val="12"/>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certidão de FGTS– CRF, emitida pela Caixa Econômica Federa;</w:t>
      </w:r>
    </w:p>
    <w:p w14:paraId="1EDAA9BF">
      <w:pPr>
        <w:pStyle w:val="8"/>
        <w:keepNext w:val="0"/>
        <w:keepLines w:val="0"/>
        <w:pageBreakBefore w:val="0"/>
        <w:widowControl w:val="0"/>
        <w:numPr>
          <w:ilvl w:val="0"/>
          <w:numId w:val="12"/>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certidão Conjunta de Quitação de Tributos Federais e Dívida Ativa da União e INSS, expedida pela Secretaria da Receita Federal;</w:t>
      </w:r>
    </w:p>
    <w:p w14:paraId="5B036323">
      <w:pPr>
        <w:pStyle w:val="8"/>
        <w:keepNext w:val="0"/>
        <w:keepLines w:val="0"/>
        <w:pageBreakBefore w:val="0"/>
        <w:widowControl w:val="0"/>
        <w:numPr>
          <w:ilvl w:val="0"/>
          <w:numId w:val="12"/>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CNDT–Certidão Negativa de Débitos Trabalhistas;</w:t>
      </w:r>
    </w:p>
    <w:p w14:paraId="12DFB8A5">
      <w:pPr>
        <w:pStyle w:val="8"/>
        <w:keepNext w:val="0"/>
        <w:keepLines w:val="0"/>
        <w:pageBreakBefore w:val="0"/>
        <w:widowControl w:val="0"/>
        <w:numPr>
          <w:ilvl w:val="0"/>
          <w:numId w:val="11"/>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 xml:space="preserve">A CONTRATADA obriga-se a realizar e manter atualizados as certidões nos órgãos oficiais competentes. </w:t>
      </w:r>
    </w:p>
    <w:p w14:paraId="601D61F6">
      <w:pPr>
        <w:pStyle w:val="8"/>
        <w:keepNext w:val="0"/>
        <w:keepLines w:val="0"/>
        <w:pageBreakBefore w:val="0"/>
        <w:widowControl w:val="0"/>
        <w:numPr>
          <w:ilvl w:val="0"/>
          <w:numId w:val="11"/>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 xml:space="preserve">Será considerada data do pagamento o dia em que constar como emitida a ordem bancária para pagamento. </w:t>
      </w:r>
    </w:p>
    <w:p w14:paraId="3A7B866F">
      <w:pPr>
        <w:pStyle w:val="8"/>
        <w:keepNext w:val="0"/>
        <w:keepLines w:val="0"/>
        <w:pageBreakBefore w:val="0"/>
        <w:widowControl w:val="0"/>
        <w:numPr>
          <w:ilvl w:val="0"/>
          <w:numId w:val="11"/>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Quando do pagamento, será efetuada a retenção tributária prevista na legislação aplicável.</w:t>
      </w:r>
    </w:p>
    <w:p w14:paraId="13DE8B0C">
      <w:pPr>
        <w:pStyle w:val="8"/>
        <w:keepNext w:val="0"/>
        <w:keepLines w:val="0"/>
        <w:pageBreakBefore w:val="0"/>
        <w:widowControl w:val="0"/>
        <w:numPr>
          <w:ilvl w:val="0"/>
          <w:numId w:val="11"/>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Independentemente do percentual de tributo inserido na planilha, quando houver, serão retidos na fonte, quando da realização do pagamento, os percentuais estabelecidos na legislação vigente.</w:t>
      </w:r>
    </w:p>
    <w:p w14:paraId="484619C1">
      <w:pPr>
        <w:pStyle w:val="8"/>
        <w:keepNext w:val="0"/>
        <w:keepLines w:val="0"/>
        <w:pageBreakBefore w:val="0"/>
        <w:widowControl w:val="0"/>
        <w:numPr>
          <w:ilvl w:val="0"/>
          <w:numId w:val="11"/>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 xml:space="preserve">O contratado regularmente optante pelo Simples Nacional, </w:t>
      </w:r>
      <w:r>
        <w:rPr>
          <w:rFonts w:hint="default" w:ascii="Arial" w:hAnsi="Arial"/>
          <w:color w:val="auto"/>
          <w:lang w:val="pt-BR"/>
        </w:rPr>
        <w:t>nos termos da Lei Complementar nº 123, de 2006</w:t>
      </w:r>
      <w:r>
        <w:rPr>
          <w:rFonts w:hint="default" w:ascii="Arial" w:hAnsi="Arial"/>
          <w:lang w:val="pt-BR"/>
        </w:rPr>
        <w:t>, não sofrerá a retenção tributária quanto aos impostos e contribuições abrangidos por aquele regime.</w:t>
      </w:r>
    </w:p>
    <w:p w14:paraId="1DFC2375">
      <w:pPr>
        <w:pStyle w:val="8"/>
        <w:keepNext w:val="0"/>
        <w:keepLines w:val="0"/>
        <w:pageBreakBefore w:val="0"/>
        <w:widowControl w:val="0"/>
        <w:numPr>
          <w:ilvl w:val="0"/>
          <w:numId w:val="11"/>
        </w:numPr>
        <w:tabs>
          <w:tab w:val="clear" w:pos="425"/>
        </w:tabs>
        <w:kinsoku/>
        <w:wordWrap/>
        <w:overflowPunct/>
        <w:topLinePunct w:val="0"/>
        <w:autoSpaceDE w:val="0"/>
        <w:autoSpaceDN w:val="0"/>
        <w:bidi w:val="0"/>
        <w:adjustRightInd/>
        <w:snapToGrid/>
        <w:spacing w:before="240" w:after="240" w:line="240" w:lineRule="auto"/>
        <w:ind w:left="425" w:leftChars="0" w:right="113" w:rightChars="0" w:hanging="425" w:firstLineChars="0"/>
        <w:jc w:val="both"/>
        <w:textAlignment w:val="auto"/>
        <w:rPr>
          <w:rFonts w:hint="default" w:ascii="Arial" w:hAnsi="Arial"/>
        </w:rPr>
      </w:pPr>
      <w:r>
        <w:rPr>
          <w:rFonts w:hint="default" w:ascii="Arial" w:hAnsi="Arial"/>
          <w:lang w:val="pt-BR"/>
        </w:rPr>
        <w:t>No entanto, o pagamento ficará condicionado à apresentação de comprovação, por meio de documento oficial, de que faz jus ao tratamento tributário favorecido previsto na referida Lei Complementar.</w:t>
      </w:r>
    </w:p>
    <w:p w14:paraId="1C912557">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lang w:val="pt-BR"/>
        </w:rPr>
      </w:pPr>
      <w:r>
        <w:rPr>
          <w:rFonts w:hint="default" w:ascii="Arial" w:hAnsi="Arial"/>
          <w:lang w:val="pt-BR"/>
        </w:rPr>
        <w:t xml:space="preserve">Antecipação de pagamento </w:t>
      </w:r>
    </w:p>
    <w:p w14:paraId="5A02864B">
      <w:pPr>
        <w:pStyle w:val="8"/>
        <w:keepNext w:val="0"/>
        <w:keepLines w:val="0"/>
        <w:pageBreakBefore w:val="0"/>
        <w:widowControl w:val="0"/>
        <w:numPr>
          <w:ilvl w:val="0"/>
          <w:numId w:val="13"/>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lang w:val="pt-BR"/>
        </w:rPr>
        <w:t xml:space="preserve"> Não se aplica a antecipação de pagamento para o objeto desta contratação. </w:t>
      </w:r>
    </w:p>
    <w:p w14:paraId="05BC2620">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lang w:val="pt-BR"/>
        </w:rPr>
      </w:pPr>
      <w:r>
        <w:rPr>
          <w:rFonts w:hint="default" w:ascii="Arial" w:hAnsi="Arial"/>
          <w:lang w:val="pt-BR"/>
        </w:rPr>
        <w:t>Cessão de crédito</w:t>
      </w:r>
    </w:p>
    <w:p w14:paraId="756DD48A">
      <w:pPr>
        <w:pStyle w:val="8"/>
        <w:keepNext w:val="0"/>
        <w:keepLines w:val="0"/>
        <w:pageBreakBefore w:val="0"/>
        <w:widowControl w:val="0"/>
        <w:numPr>
          <w:ilvl w:val="0"/>
          <w:numId w:val="14"/>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lang w:val="pt-BR"/>
        </w:rPr>
        <w:t xml:space="preserve"> Não se aplica a cessão de crédito para o objeto desta contratação.</w:t>
      </w:r>
    </w:p>
    <w:p w14:paraId="088F970A">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lang w:val="pt-BR"/>
        </w:rPr>
      </w:pPr>
      <w:r>
        <w:rPr>
          <w:rFonts w:hint="default" w:ascii="Arial" w:hAnsi="Arial"/>
          <w:lang w:val="pt-BR"/>
        </w:rPr>
        <w:t>Reajuste de valores</w:t>
      </w:r>
    </w:p>
    <w:p w14:paraId="0BC3C027">
      <w:pPr>
        <w:pStyle w:val="8"/>
        <w:keepNext w:val="0"/>
        <w:keepLines w:val="0"/>
        <w:pageBreakBefore w:val="0"/>
        <w:widowControl w:val="0"/>
        <w:numPr>
          <w:ilvl w:val="0"/>
          <w:numId w:val="15"/>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lang w:val="pt-BR"/>
        </w:rPr>
        <w:t xml:space="preserve"> Não se aplica reajuste de valores para o objeto desta contratação.</w:t>
      </w:r>
    </w:p>
    <w:p w14:paraId="5FD44426">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lang w:val="pt-BR"/>
        </w:rPr>
      </w:pPr>
      <w:r>
        <w:rPr>
          <w:rFonts w:hint="default" w:ascii="Arial" w:hAnsi="Arial"/>
          <w:lang w:val="pt-BR"/>
        </w:rPr>
        <w:t>Alteração subjetiva</w:t>
      </w:r>
    </w:p>
    <w:p w14:paraId="46EC1FB0">
      <w:pPr>
        <w:pStyle w:val="8"/>
        <w:keepNext w:val="0"/>
        <w:keepLines w:val="0"/>
        <w:pageBreakBefore w:val="0"/>
        <w:widowControl w:val="0"/>
        <w:numPr>
          <w:ilvl w:val="0"/>
          <w:numId w:val="16"/>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lang w:val="pt-BR"/>
        </w:rPr>
        <w:t xml:space="preserve"> Não se aplica alteração subjetiva para o objeto desta contratação.</w:t>
      </w:r>
    </w:p>
    <w:p w14:paraId="507A7F3F">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FORMA</w:t>
      </w:r>
      <w:r>
        <w:rPr>
          <w:rFonts w:hint="default" w:ascii="Arial" w:hAnsi="Arial"/>
          <w:lang w:val="pt-BR"/>
        </w:rPr>
        <w:t xml:space="preserve"> </w:t>
      </w:r>
      <w:r>
        <w:rPr>
          <w:rFonts w:hint="default" w:ascii="Arial" w:hAnsi="Arial"/>
        </w:rPr>
        <w:t>E</w:t>
      </w:r>
      <w:r>
        <w:rPr>
          <w:rFonts w:hint="default" w:ascii="Arial" w:hAnsi="Arial"/>
          <w:lang w:val="pt-BR"/>
        </w:rPr>
        <w:t xml:space="preserve"> </w:t>
      </w:r>
      <w:r>
        <w:rPr>
          <w:rFonts w:hint="default" w:ascii="Arial" w:hAnsi="Arial"/>
        </w:rPr>
        <w:t>CRITÉRIOS</w:t>
      </w:r>
      <w:r>
        <w:rPr>
          <w:rFonts w:hint="default" w:ascii="Arial" w:hAnsi="Arial"/>
          <w:lang w:val="pt-BR"/>
        </w:rPr>
        <w:t xml:space="preserve"> </w:t>
      </w:r>
      <w:r>
        <w:rPr>
          <w:rFonts w:hint="default" w:ascii="Arial" w:hAnsi="Arial"/>
        </w:rPr>
        <w:t>DE SELEÇÃO</w:t>
      </w:r>
      <w:r>
        <w:rPr>
          <w:rFonts w:hint="default" w:ascii="Arial" w:hAnsi="Arial"/>
          <w:lang w:val="pt-BR"/>
        </w:rPr>
        <w:t xml:space="preserve"> </w:t>
      </w:r>
      <w:r>
        <w:rPr>
          <w:rFonts w:hint="default" w:ascii="Arial" w:hAnsi="Arial"/>
        </w:rPr>
        <w:t>DO FORNECEDOR:</w:t>
      </w:r>
    </w:p>
    <w:p w14:paraId="69B8F308">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Para fins de habilitação na presente contratação, serão exigidos os seguintes documentos:</w:t>
      </w:r>
    </w:p>
    <w:p w14:paraId="0E48757B">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Habilitação jurídica</w:t>
      </w:r>
    </w:p>
    <w:p w14:paraId="3F0852C2">
      <w:pPr>
        <w:pStyle w:val="8"/>
        <w:keepNext w:val="0"/>
        <w:keepLines w:val="0"/>
        <w:pageBreakBefore w:val="0"/>
        <w:widowControl w:val="0"/>
        <w:numPr>
          <w:ilvl w:val="0"/>
          <w:numId w:val="17"/>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 xml:space="preserve">registro comercial, no caso de empresário individual; </w:t>
      </w:r>
    </w:p>
    <w:p w14:paraId="6DEC9E80">
      <w:pPr>
        <w:pStyle w:val="8"/>
        <w:keepNext w:val="0"/>
        <w:keepLines w:val="0"/>
        <w:pageBreakBefore w:val="0"/>
        <w:widowControl w:val="0"/>
        <w:numPr>
          <w:ilvl w:val="0"/>
          <w:numId w:val="17"/>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 xml:space="preserve">ato constitutivo, estatuto ou contrato social em vigor, devidamente registrado, em se tratando de sociedades empresárias e, no caso de sociedades por ações, acompanhado de documento de eleição de seus administradores; </w:t>
      </w:r>
    </w:p>
    <w:p w14:paraId="14A25629">
      <w:pPr>
        <w:pStyle w:val="8"/>
        <w:keepNext w:val="0"/>
        <w:keepLines w:val="0"/>
        <w:pageBreakBefore w:val="0"/>
        <w:widowControl w:val="0"/>
        <w:numPr>
          <w:ilvl w:val="0"/>
          <w:numId w:val="17"/>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 xml:space="preserve">ato constitutivo/contrato social, no caso de sociedades simples, acompanhado de prova de diretoria emexercício; </w:t>
      </w:r>
    </w:p>
    <w:p w14:paraId="03A8D2D6">
      <w:pPr>
        <w:pStyle w:val="8"/>
        <w:keepNext w:val="0"/>
        <w:keepLines w:val="0"/>
        <w:pageBreakBefore w:val="0"/>
        <w:widowControl w:val="0"/>
        <w:numPr>
          <w:ilvl w:val="0"/>
          <w:numId w:val="17"/>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decreto de autorização, em se tratando de empresa ou sociedade estrangeira em funcionamento no País, e ato de registro ou autorização para funcionamento expedido pelo órgão competente, quando a atividade assim o exigir.</w:t>
      </w:r>
    </w:p>
    <w:p w14:paraId="57EC83FC">
      <w:pPr>
        <w:pStyle w:val="8"/>
        <w:keepNext w:val="0"/>
        <w:keepLines w:val="0"/>
        <w:pageBreakBefore w:val="0"/>
        <w:widowControl w:val="0"/>
        <w:numPr>
          <w:ilvl w:val="0"/>
          <w:numId w:val="17"/>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lang w:val="pt-BR"/>
        </w:rPr>
        <w:t>O</w:t>
      </w:r>
      <w:r>
        <w:rPr>
          <w:rFonts w:hint="default" w:ascii="Arial" w:hAnsi="Arial"/>
        </w:rPr>
        <w:t>s documentos apresentados deverão estar acompanhados de todas as alterações ou da consolidação respectiva.</w:t>
      </w:r>
    </w:p>
    <w:p w14:paraId="5664D4F6">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 xml:space="preserve">Regularidade fiscal, social e trabalhista: </w:t>
      </w:r>
    </w:p>
    <w:p w14:paraId="28771538">
      <w:pPr>
        <w:pStyle w:val="8"/>
        <w:keepNext w:val="0"/>
        <w:keepLines w:val="0"/>
        <w:pageBreakBefore w:val="0"/>
        <w:widowControl w:val="0"/>
        <w:numPr>
          <w:ilvl w:val="0"/>
          <w:numId w:val="18"/>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provas de inscrição no Cadastro Nacional da Pessoa Jurídica (CNPJ);</w:t>
      </w:r>
    </w:p>
    <w:p w14:paraId="15554740">
      <w:pPr>
        <w:pStyle w:val="8"/>
        <w:keepNext w:val="0"/>
        <w:keepLines w:val="0"/>
        <w:pageBreakBefore w:val="0"/>
        <w:widowControl w:val="0"/>
        <w:numPr>
          <w:ilvl w:val="0"/>
          <w:numId w:val="18"/>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8D00948">
      <w:pPr>
        <w:pStyle w:val="8"/>
        <w:keepNext w:val="0"/>
        <w:keepLines w:val="0"/>
        <w:pageBreakBefore w:val="0"/>
        <w:widowControl w:val="0"/>
        <w:numPr>
          <w:ilvl w:val="0"/>
          <w:numId w:val="18"/>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prova de regularidade com as fazendas públicas estadual e municipal da sede do proponente;</w:t>
      </w:r>
    </w:p>
    <w:p w14:paraId="213C7862">
      <w:pPr>
        <w:pStyle w:val="8"/>
        <w:keepNext w:val="0"/>
        <w:keepLines w:val="0"/>
        <w:pageBreakBefore w:val="0"/>
        <w:widowControl w:val="0"/>
        <w:numPr>
          <w:ilvl w:val="0"/>
          <w:numId w:val="18"/>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prova de regularidade com o Fundo de Garantia do Tempode Serviço (FGTS); 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C6B6007">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 xml:space="preserve">Qualificação Econômico-Financeira </w:t>
      </w:r>
    </w:p>
    <w:p w14:paraId="7B824FAA">
      <w:pPr>
        <w:pStyle w:val="8"/>
        <w:keepNext w:val="0"/>
        <w:keepLines w:val="0"/>
        <w:pageBreakBefore w:val="0"/>
        <w:widowControl w:val="0"/>
        <w:numPr>
          <w:ilvl w:val="0"/>
          <w:numId w:val="19"/>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Certidão negativa de falência expedida pelo distribuidor da sede do fornecedor- Lei nº 14.133, de 2021, art. 69, caput, inciso II;</w:t>
      </w:r>
    </w:p>
    <w:p w14:paraId="7F436540">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 xml:space="preserve">Declarações </w:t>
      </w:r>
    </w:p>
    <w:p w14:paraId="16FB942F">
      <w:pPr>
        <w:pStyle w:val="8"/>
        <w:keepNext w:val="0"/>
        <w:keepLines w:val="0"/>
        <w:pageBreakBefore w:val="0"/>
        <w:widowControl w:val="0"/>
        <w:numPr>
          <w:ilvl w:val="0"/>
          <w:numId w:val="2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Declaração de que as propostas compreendem a integralidade dos custos para atendimento dos direitos trabalhistas conforme trata o art. 63, § 1º da Lei nº 14.133/2021 (Junto com a proposta Anexo II).</w:t>
      </w:r>
    </w:p>
    <w:p w14:paraId="164C3193">
      <w:pPr>
        <w:pStyle w:val="8"/>
        <w:keepNext w:val="0"/>
        <w:keepLines w:val="0"/>
        <w:pageBreakBefore w:val="0"/>
        <w:widowControl w:val="0"/>
        <w:numPr>
          <w:ilvl w:val="0"/>
          <w:numId w:val="2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Declaração de não enquadramento nas vedações do art. 178 da LOM e do art. 14 da Lei nº 14.133/2021 (Modelo Anexo V).</w:t>
      </w:r>
    </w:p>
    <w:p w14:paraId="22B36AF1">
      <w:pPr>
        <w:pStyle w:val="8"/>
        <w:keepNext w:val="0"/>
        <w:keepLines w:val="0"/>
        <w:pageBreakBefore w:val="0"/>
        <w:widowControl w:val="0"/>
        <w:numPr>
          <w:ilvl w:val="0"/>
          <w:numId w:val="2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Declaração de enquadramento como ME, EPP ou MEI (Modelo AnexoIV).</w:t>
      </w:r>
    </w:p>
    <w:p w14:paraId="54C6ED2E">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DAS OBRIGAÇÕES</w:t>
      </w:r>
      <w:r>
        <w:rPr>
          <w:rFonts w:hint="default" w:ascii="Arial" w:hAnsi="Arial"/>
          <w:lang w:val="pt-BR"/>
        </w:rPr>
        <w:t xml:space="preserve"> </w:t>
      </w:r>
      <w:r>
        <w:rPr>
          <w:rFonts w:hint="default" w:ascii="Arial" w:hAnsi="Arial"/>
        </w:rPr>
        <w:t>E RESPONSABILIDADES:</w:t>
      </w:r>
    </w:p>
    <w:p w14:paraId="7C39FE4D">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lang w:val="pt-BR"/>
        </w:rPr>
      </w:pPr>
      <w:r>
        <w:rPr>
          <w:rFonts w:hint="default" w:ascii="Arial" w:hAnsi="Arial"/>
        </w:rPr>
        <w:t>OBRIGAÇÕES D</w:t>
      </w:r>
      <w:r>
        <w:rPr>
          <w:rFonts w:hint="default" w:ascii="Arial" w:hAnsi="Arial"/>
          <w:lang w:val="pt-BR"/>
        </w:rPr>
        <w:t>O INSTITUTO DE PREVIDÊNCIA DOS SERVIDORES DO MUNICÍPIO DE GUARAPARI</w:t>
      </w:r>
    </w:p>
    <w:p w14:paraId="49CA634E">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lang w:val="pt-BR"/>
        </w:rPr>
        <w:t>O Instituto de Previdência</w:t>
      </w:r>
      <w:r>
        <w:rPr>
          <w:rFonts w:hint="default" w:ascii="Arial" w:hAnsi="Arial"/>
        </w:rPr>
        <w:t xml:space="preserve"> obriga-se a: </w:t>
      </w:r>
    </w:p>
    <w:p w14:paraId="1939F4CD">
      <w:pPr>
        <w:pStyle w:val="8"/>
        <w:keepNext w:val="0"/>
        <w:keepLines w:val="0"/>
        <w:pageBreakBefore w:val="0"/>
        <w:widowControl w:val="0"/>
        <w:numPr>
          <w:ilvl w:val="0"/>
          <w:numId w:val="21"/>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 xml:space="preserve">Solicitar o fornecimento do objeto em conformidade com suas necessidades durante o período da vigência do contrato ou instrumento equivalente através de autorização de fornecimento (A.F.) devidamente datado e assinada pelos seus responsáveis; </w:t>
      </w:r>
    </w:p>
    <w:p w14:paraId="0D9892DE">
      <w:pPr>
        <w:pStyle w:val="8"/>
        <w:keepNext w:val="0"/>
        <w:keepLines w:val="0"/>
        <w:pageBreakBefore w:val="0"/>
        <w:widowControl w:val="0"/>
        <w:numPr>
          <w:ilvl w:val="0"/>
          <w:numId w:val="21"/>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 xml:space="preserve">Receber provisoriamente e definitivamente o serviço de acordo com objeto e nos termos deste documento; </w:t>
      </w:r>
    </w:p>
    <w:p w14:paraId="4F505E9F">
      <w:pPr>
        <w:pStyle w:val="8"/>
        <w:keepNext w:val="0"/>
        <w:keepLines w:val="0"/>
        <w:pageBreakBefore w:val="0"/>
        <w:widowControl w:val="0"/>
        <w:numPr>
          <w:ilvl w:val="0"/>
          <w:numId w:val="21"/>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Verificar minuciosamente, no prazo fixado, a conformidade dos serviços prestados provisoriamente com as especificações constantes do termo de referência e da proposta, para fins de aceitação e recebimento definitivos;</w:t>
      </w:r>
    </w:p>
    <w:p w14:paraId="2FBF102E">
      <w:pPr>
        <w:pStyle w:val="8"/>
        <w:keepNext w:val="0"/>
        <w:keepLines w:val="0"/>
        <w:pageBreakBefore w:val="0"/>
        <w:widowControl w:val="0"/>
        <w:numPr>
          <w:ilvl w:val="0"/>
          <w:numId w:val="21"/>
        </w:numPr>
        <w:kinsoku/>
        <w:wordWrap/>
        <w:overflowPunct/>
        <w:topLinePunct w:val="0"/>
        <w:autoSpaceDE w:val="0"/>
        <w:autoSpaceDN w:val="0"/>
        <w:bidi w:val="0"/>
        <w:adjustRightInd/>
        <w:snapToGrid/>
        <w:spacing w:before="240" w:after="240" w:line="240" w:lineRule="auto"/>
        <w:ind w:left="0" w:leftChars="0" w:right="113" w:firstLine="0" w:firstLineChars="0"/>
        <w:jc w:val="both"/>
        <w:textAlignment w:val="auto"/>
        <w:rPr>
          <w:rFonts w:hint="default" w:ascii="Arial" w:hAnsi="Arial"/>
        </w:rPr>
      </w:pPr>
      <w:r>
        <w:rPr>
          <w:rFonts w:hint="default" w:ascii="Arial" w:hAnsi="Arial"/>
        </w:rPr>
        <w:t xml:space="preserve">Acompanhar e fiscalizar, por meio de um representante da Administração especialmente designado, o fornecimento do objeto deste processo de licitação, que deverá rejeitar, total ou parcialmente o recebimento, devendo apontar as irregularidades apuradas em documento próprio, formalizado, datado e assinado; </w:t>
      </w:r>
    </w:p>
    <w:p w14:paraId="72A85D88">
      <w:pPr>
        <w:pStyle w:val="8"/>
        <w:keepNext w:val="0"/>
        <w:keepLines w:val="0"/>
        <w:pageBreakBefore w:val="0"/>
        <w:widowControl w:val="0"/>
        <w:numPr>
          <w:ilvl w:val="0"/>
          <w:numId w:val="21"/>
        </w:numPr>
        <w:kinsoku/>
        <w:wordWrap/>
        <w:overflowPunct/>
        <w:topLinePunct w:val="0"/>
        <w:autoSpaceDE w:val="0"/>
        <w:autoSpaceDN w:val="0"/>
        <w:bidi w:val="0"/>
        <w:adjustRightInd/>
        <w:snapToGrid/>
        <w:spacing w:before="240" w:after="240" w:line="240" w:lineRule="auto"/>
        <w:ind w:left="0" w:leftChars="0" w:right="113" w:firstLine="0" w:firstLineChars="0"/>
        <w:jc w:val="both"/>
        <w:textAlignment w:val="auto"/>
        <w:rPr>
          <w:rFonts w:hint="default" w:ascii="Arial" w:hAnsi="Arial" w:cs="Arial"/>
        </w:rPr>
      </w:pPr>
      <w:r>
        <w:rPr>
          <w:rFonts w:hint="default" w:ascii="Arial" w:hAnsi="Arial"/>
        </w:rPr>
        <w:t xml:space="preserve">Repassar as informações necessárias a Fornecedora registrada/Contratada para o correto fornecimento ou prestação do objeto; </w:t>
      </w:r>
    </w:p>
    <w:p w14:paraId="79B612BE">
      <w:pPr>
        <w:pStyle w:val="8"/>
        <w:keepNext w:val="0"/>
        <w:keepLines w:val="0"/>
        <w:pageBreakBefore w:val="0"/>
        <w:widowControl w:val="0"/>
        <w:numPr>
          <w:ilvl w:val="0"/>
          <w:numId w:val="21"/>
        </w:numPr>
        <w:kinsoku/>
        <w:wordWrap/>
        <w:overflowPunct/>
        <w:topLinePunct w:val="0"/>
        <w:autoSpaceDE w:val="0"/>
        <w:autoSpaceDN w:val="0"/>
        <w:bidi w:val="0"/>
        <w:adjustRightInd/>
        <w:snapToGrid/>
        <w:spacing w:before="240" w:after="240" w:line="240" w:lineRule="auto"/>
        <w:ind w:left="0" w:leftChars="0" w:right="113" w:firstLine="0" w:firstLineChars="0"/>
        <w:jc w:val="both"/>
        <w:textAlignment w:val="auto"/>
        <w:rPr>
          <w:rFonts w:hint="default" w:ascii="Arial" w:hAnsi="Arial" w:cs="Arial"/>
        </w:rPr>
      </w:pPr>
      <w:r>
        <w:rPr>
          <w:rFonts w:hint="default" w:ascii="Arial" w:hAnsi="Arial"/>
        </w:rPr>
        <w:t xml:space="preserve">Notificar a Fornecedora registrada/Contratada fixando-lhe prazo para corrigir irregularidades no fornecimento ou prestação do objeto contratado; </w:t>
      </w:r>
    </w:p>
    <w:p w14:paraId="5D628A6D">
      <w:pPr>
        <w:pStyle w:val="8"/>
        <w:keepNext w:val="0"/>
        <w:keepLines w:val="0"/>
        <w:pageBreakBefore w:val="0"/>
        <w:widowControl w:val="0"/>
        <w:numPr>
          <w:ilvl w:val="0"/>
          <w:numId w:val="21"/>
        </w:numPr>
        <w:kinsoku/>
        <w:wordWrap/>
        <w:overflowPunct/>
        <w:topLinePunct w:val="0"/>
        <w:autoSpaceDE w:val="0"/>
        <w:autoSpaceDN w:val="0"/>
        <w:bidi w:val="0"/>
        <w:adjustRightInd/>
        <w:snapToGrid/>
        <w:spacing w:before="240" w:after="240" w:line="240" w:lineRule="auto"/>
        <w:ind w:left="0" w:leftChars="0" w:right="113" w:firstLine="0" w:firstLineChars="0"/>
        <w:jc w:val="both"/>
        <w:textAlignment w:val="auto"/>
        <w:rPr>
          <w:rFonts w:hint="default" w:ascii="Arial" w:hAnsi="Arial" w:cs="Arial"/>
        </w:rPr>
      </w:pPr>
      <w:r>
        <w:rPr>
          <w:rFonts w:hint="default" w:ascii="Arial" w:hAnsi="Arial"/>
        </w:rPr>
        <w:t>Efetuar os pagamentos na forma e prazo previstos no termo de referência;</w:t>
      </w:r>
    </w:p>
    <w:p w14:paraId="6884EBB3">
      <w:pPr>
        <w:pStyle w:val="8"/>
        <w:keepNext w:val="0"/>
        <w:keepLines w:val="0"/>
        <w:pageBreakBefore w:val="0"/>
        <w:widowControl w:val="0"/>
        <w:numPr>
          <w:ilvl w:val="0"/>
          <w:numId w:val="21"/>
        </w:numPr>
        <w:kinsoku/>
        <w:wordWrap/>
        <w:overflowPunct/>
        <w:topLinePunct w:val="0"/>
        <w:autoSpaceDE w:val="0"/>
        <w:autoSpaceDN w:val="0"/>
        <w:bidi w:val="0"/>
        <w:adjustRightInd/>
        <w:snapToGrid/>
        <w:spacing w:before="240" w:after="240" w:line="240" w:lineRule="auto"/>
        <w:ind w:left="0" w:leftChars="0" w:right="113" w:firstLine="0" w:firstLineChars="0"/>
        <w:jc w:val="both"/>
        <w:textAlignment w:val="auto"/>
        <w:rPr>
          <w:rFonts w:hint="default" w:ascii="Arial" w:hAnsi="Arial" w:cs="Arial"/>
        </w:rPr>
      </w:pPr>
      <w:r>
        <w:rPr>
          <w:rFonts w:hint="default" w:ascii="Arial" w:hAnsi="Arial"/>
        </w:rPr>
        <w:t>Paralisar ou suspender a qualquer tempo o fornecimento ou prestação do objeto contratado, de forma parcial ou total, mediante pagamento único e exclusivo pelos já fornecidos;</w:t>
      </w:r>
    </w:p>
    <w:p w14:paraId="57B5F4C0">
      <w:pPr>
        <w:pStyle w:val="8"/>
        <w:keepNext w:val="0"/>
        <w:keepLines w:val="0"/>
        <w:pageBreakBefore w:val="0"/>
        <w:widowControl w:val="0"/>
        <w:numPr>
          <w:ilvl w:val="0"/>
          <w:numId w:val="21"/>
        </w:numPr>
        <w:kinsoku/>
        <w:wordWrap/>
        <w:overflowPunct/>
        <w:topLinePunct w:val="0"/>
        <w:autoSpaceDE w:val="0"/>
        <w:autoSpaceDN w:val="0"/>
        <w:bidi w:val="0"/>
        <w:adjustRightInd/>
        <w:snapToGrid/>
        <w:spacing w:before="240" w:after="240" w:line="240" w:lineRule="auto"/>
        <w:ind w:left="0" w:leftChars="0" w:right="113" w:firstLine="0" w:firstLineChars="0"/>
        <w:jc w:val="both"/>
        <w:textAlignment w:val="auto"/>
        <w:rPr>
          <w:rFonts w:hint="default" w:ascii="Arial" w:hAnsi="Arial" w:cs="Arial"/>
        </w:rPr>
      </w:pPr>
      <w:r>
        <w:rPr>
          <w:rFonts w:hint="default" w:ascii="Arial" w:hAnsi="Arial"/>
          <w:lang w:val="pt-BR"/>
        </w:rPr>
        <w:t>Instituto de Previdência</w:t>
      </w:r>
      <w:r>
        <w:rPr>
          <w:rFonts w:hint="default" w:ascii="Arial" w:hAnsi="Arial"/>
        </w:rPr>
        <w:t xml:space="preserve"> não responderá por quaisquer compromissos assumidos pela com terceiros, ainda que vinculados à execução do contrato, bem como por qualquer dano causado a terceiros em decorrência de ato da adjudicatária, de seus empregados, prepostos ou subordinados.</w:t>
      </w:r>
    </w:p>
    <w:p w14:paraId="629CD3D8">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OBRIGAÇÕES DA FORNECEDORA</w:t>
      </w:r>
      <w:r>
        <w:rPr>
          <w:rFonts w:hint="default" w:ascii="Arial" w:hAnsi="Arial"/>
          <w:lang w:val="pt-BR"/>
        </w:rPr>
        <w:t xml:space="preserve"> </w:t>
      </w:r>
      <w:r>
        <w:rPr>
          <w:rFonts w:hint="default" w:ascii="Arial" w:hAnsi="Arial"/>
        </w:rPr>
        <w:t>REGISTRADA/CONTRATADA:</w:t>
      </w:r>
    </w:p>
    <w:p w14:paraId="06E9F1F2">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Do Prazo de Entrega: </w:t>
      </w:r>
    </w:p>
    <w:p w14:paraId="789ADF1B">
      <w:pPr>
        <w:pStyle w:val="8"/>
        <w:keepNext w:val="0"/>
        <w:keepLines w:val="0"/>
        <w:pageBreakBefore w:val="0"/>
        <w:widowControl w:val="0"/>
        <w:numPr>
          <w:ilvl w:val="0"/>
          <w:numId w:val="22"/>
        </w:numPr>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O prazo para entrega da </w:t>
      </w:r>
      <w:r>
        <w:rPr>
          <w:rFonts w:hint="default" w:ascii="Arial" w:hAnsi="Arial"/>
          <w:b w:val="0"/>
          <w:bCs/>
          <w:i w:val="0"/>
          <w:iCs/>
          <w:sz w:val="24"/>
          <w:szCs w:val="24"/>
        </w:rPr>
        <w:t>Aquisição do Serviço de desenvolvimento, monitoramento, configuração</w:t>
      </w:r>
      <w:r>
        <w:rPr>
          <w:rFonts w:hint="default" w:ascii="Arial" w:hAnsi="Arial"/>
          <w:b w:val="0"/>
          <w:bCs/>
          <w:i w:val="0"/>
          <w:iCs/>
          <w:sz w:val="24"/>
          <w:szCs w:val="24"/>
          <w:lang w:val="pt-BR"/>
        </w:rPr>
        <w:t>, customização</w:t>
      </w:r>
      <w:r>
        <w:rPr>
          <w:rFonts w:hint="default" w:ascii="Arial" w:hAnsi="Arial"/>
          <w:b w:val="0"/>
          <w:bCs/>
          <w:i w:val="0"/>
          <w:iCs/>
          <w:sz w:val="24"/>
          <w:szCs w:val="24"/>
        </w:rPr>
        <w:t xml:space="preserve"> e suporte de WebSite Institucional</w:t>
      </w:r>
      <w:r>
        <w:rPr>
          <w:rFonts w:hint="default" w:ascii="Arial" w:hAnsi="Arial"/>
        </w:rPr>
        <w:t xml:space="preserve">, deverá estar em acordo com o especificado no item 7. neste termo de referência, </w:t>
      </w:r>
    </w:p>
    <w:p w14:paraId="15B146AE">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r>
        <w:rPr>
          <w:rFonts w:hint="default" w:ascii="Arial" w:hAnsi="Arial"/>
        </w:rPr>
        <w:t xml:space="preserve">Das Demais Obrigações: </w:t>
      </w:r>
    </w:p>
    <w:p w14:paraId="1403EE0B">
      <w:pPr>
        <w:pStyle w:val="8"/>
        <w:keepNext w:val="0"/>
        <w:keepLines w:val="0"/>
        <w:pageBreakBefore w:val="0"/>
        <w:widowControl w:val="0"/>
        <w:numPr>
          <w:ilvl w:val="0"/>
          <w:numId w:val="23"/>
        </w:numPr>
        <w:tabs>
          <w:tab w:val="left" w:pos="0"/>
        </w:tabs>
        <w:kinsoku/>
        <w:wordWrap/>
        <w:overflowPunct/>
        <w:topLinePunct w:val="0"/>
        <w:autoSpaceDE w:val="0"/>
        <w:autoSpaceDN w:val="0"/>
        <w:bidi w:val="0"/>
        <w:adjustRightInd/>
        <w:snapToGrid/>
        <w:spacing w:before="240" w:after="240" w:line="240" w:lineRule="auto"/>
        <w:ind w:left="0" w:leftChars="0" w:right="113" w:rightChars="0" w:firstLine="0" w:firstLineChars="0"/>
        <w:jc w:val="both"/>
        <w:textAlignment w:val="auto"/>
        <w:rPr>
          <w:rFonts w:hint="default" w:ascii="Arial" w:hAnsi="Arial"/>
        </w:rPr>
      </w:pPr>
      <w:r>
        <w:rPr>
          <w:rFonts w:hint="default" w:ascii="Arial" w:hAnsi="Arial"/>
        </w:rPr>
        <w:t xml:space="preserve">A Fornecedora registrada/Contratada obriga-se a: </w:t>
      </w:r>
    </w:p>
    <w:p w14:paraId="4BE53E1B">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A Contratada deve cumprir todas as obrigações constantes no termo de referência, seus anexos e sua proposta, assumindo como exclusivamente seus os riscos e as despesas decorrentes da boa e perfeita execução do objeto. </w:t>
      </w:r>
    </w:p>
    <w:p w14:paraId="37E87F71">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Indicar preposto para representá-la durante a execução do contrato de fornecimento; </w:t>
      </w:r>
    </w:p>
    <w:p w14:paraId="48EFBCCC">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Responsabilizar-se pelos danos causados diretamente à Administração ou a terceiros, decorrentes de sua culpa ou dolo na execução do contrato, não excluindo ou reduzindo essa responsabilidade à fiscalização e o acompanhamento dos fiscais do contratante. </w:t>
      </w:r>
    </w:p>
    <w:p w14:paraId="41A88844">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Responsabilizar-se pelo fiel cumprimento dos serviços contratados. </w:t>
      </w:r>
    </w:p>
    <w:p w14:paraId="31438161">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Não permitir a utilização de qualquer trabalho do menor de dezesseis anos, exceto na condição de aprendiz para os maiores de quatorze anos; nem permitir a utilização do trabalho do menor de dezoito anos emtrabalho noturno, perigoso ou insalubre; </w:t>
      </w:r>
    </w:p>
    <w:p w14:paraId="2404174C">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Responsabilizar-se pelas despesas dos tributos, encargos trabalhistas, previdenciários, fiscais, comerciais, taxas, fretes, seguros, deslocamento de pessoal, prestação de garantia e quaisquer outras que incidam ou venham aincidir na conclusão do fornecimento do objeto adjudicado;</w:t>
      </w:r>
    </w:p>
    <w:p w14:paraId="7BAF66DD">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Manter, durante toda a execução do contrato, em compatibilidade com as obrigações assumidas, todas as condições de habilitação e qualificação exigidas na licitação ou na contratação. </w:t>
      </w:r>
    </w:p>
    <w:p w14:paraId="1F087060">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Atender as solicitações da administração inerentes ao objeto da presente contratação, </w:t>
      </w:r>
      <w:r>
        <w:rPr>
          <w:rFonts w:hint="default" w:ascii="Arial" w:hAnsi="Arial"/>
          <w:lang w:val="pt-BR"/>
        </w:rPr>
        <w:t>executando- as</w:t>
      </w:r>
      <w:r>
        <w:rPr>
          <w:rFonts w:hint="default" w:ascii="Arial" w:hAnsi="Arial"/>
        </w:rPr>
        <w:t>, quando for o caso, no prazo e tempo hábil.</w:t>
      </w:r>
    </w:p>
    <w:p w14:paraId="702505DB">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Aceitar os acréscimos ou supressões julgadas necessárias pelo Contratante, nos limites estabelecidos na Lei nº. 14.133/2021. </w:t>
      </w:r>
    </w:p>
    <w:p w14:paraId="0B1DC350">
      <w:pPr>
        <w:pStyle w:val="8"/>
        <w:keepNext w:val="0"/>
        <w:keepLines w:val="0"/>
        <w:pageBreakBefore w:val="0"/>
        <w:widowControl w:val="0"/>
        <w:numPr>
          <w:ilvl w:val="0"/>
          <w:numId w:val="24"/>
        </w:numPr>
        <w:tabs>
          <w:tab w:val="left" w:pos="0"/>
        </w:tabs>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Não transferir a terceiros, por qualquer forma, nem mesmo parcialmente, as obrigações assumidas, nem</w:t>
      </w:r>
      <w:r>
        <w:rPr>
          <w:rFonts w:hint="default" w:ascii="Arial" w:hAnsi="Arial"/>
          <w:lang w:val="pt-BR"/>
        </w:rPr>
        <w:t xml:space="preserve"> </w:t>
      </w:r>
      <w:r>
        <w:rPr>
          <w:rFonts w:hint="default" w:ascii="Arial" w:hAnsi="Arial"/>
        </w:rPr>
        <w:t>subcontratar qualquer das prestações a que está obrigada.</w:t>
      </w:r>
    </w:p>
    <w:p w14:paraId="655E0A0E">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rPr>
        <w:t>OBRIGAÇÕES DA FORNECEDORA</w:t>
      </w:r>
      <w:r>
        <w:rPr>
          <w:rFonts w:hint="default" w:ascii="Arial" w:hAnsi="Arial"/>
          <w:lang w:val="pt-BR"/>
        </w:rPr>
        <w:t xml:space="preserve"> </w:t>
      </w:r>
      <w:r>
        <w:rPr>
          <w:rFonts w:hint="default" w:ascii="Arial" w:hAnsi="Arial"/>
        </w:rPr>
        <w:t>REGISTRADA/CONTRATADA:</w:t>
      </w:r>
    </w:p>
    <w:p w14:paraId="5AF3C5B7">
      <w:pPr>
        <w:pStyle w:val="8"/>
        <w:keepNext w:val="0"/>
        <w:keepLines w:val="0"/>
        <w:pageBreakBefore w:val="0"/>
        <w:widowControl w:val="0"/>
        <w:numPr>
          <w:ilvl w:val="0"/>
          <w:numId w:val="25"/>
        </w:numPr>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As disposições contidas no presente termo de referência, na proposta da contratada e na Nota de Empenho, terão valor de contrato, constituindo direitos e obrigações tanto para a Contratada quanto para o Contratante.</w:t>
      </w:r>
    </w:p>
    <w:p w14:paraId="64AE33FD">
      <w:pPr>
        <w:pStyle w:val="8"/>
        <w:keepNext w:val="0"/>
        <w:keepLines w:val="0"/>
        <w:pageBreakBefore w:val="0"/>
        <w:widowControl w:val="0"/>
        <w:numPr>
          <w:ilvl w:val="0"/>
          <w:numId w:val="25"/>
        </w:numPr>
        <w:kinsoku/>
        <w:wordWrap/>
        <w:overflowPunct/>
        <w:topLinePunct w:val="0"/>
        <w:autoSpaceDE w:val="0"/>
        <w:autoSpaceDN w:val="0"/>
        <w:bidi w:val="0"/>
        <w:adjustRightInd/>
        <w:snapToGrid/>
        <w:spacing w:before="240" w:after="240" w:line="240" w:lineRule="auto"/>
        <w:ind w:left="0" w:leftChars="0" w:right="113" w:firstLine="0" w:firstLineChars="0"/>
        <w:jc w:val="both"/>
        <w:textAlignment w:val="auto"/>
        <w:rPr>
          <w:rFonts w:hint="default" w:ascii="Arial" w:hAnsi="Arial"/>
        </w:rPr>
      </w:pPr>
      <w:r>
        <w:rPr>
          <w:rFonts w:hint="default" w:ascii="Arial" w:hAnsi="Arial"/>
        </w:rPr>
        <w:t>Por ocasião da emissão da nota de empenho, será verificada a regularidade do cadastramento e da habilitação parcial da empresa, por meio de consulta “on line” ao sistema dos órgãos competentes. O resultado destes procedimentos será impresso e juntado ao processo de liquidação.</w:t>
      </w:r>
    </w:p>
    <w:p w14:paraId="7A1EEE31">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lang w:val="pt-BR"/>
        </w:rPr>
        <w:t>DA VIGÊNCIA</w:t>
      </w:r>
      <w:r>
        <w:rPr>
          <w:rFonts w:hint="default" w:ascii="Arial" w:hAnsi="Arial"/>
        </w:rPr>
        <w:t>:</w:t>
      </w:r>
    </w:p>
    <w:p w14:paraId="7CBF6CDA">
      <w:pPr>
        <w:pStyle w:val="8"/>
        <w:keepNext w:val="0"/>
        <w:keepLines w:val="0"/>
        <w:pageBreakBefore w:val="0"/>
        <w:widowControl w:val="0"/>
        <w:numPr>
          <w:ilvl w:val="0"/>
          <w:numId w:val="26"/>
        </w:numPr>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Por se tratar de contrato relativo a Aquisição do Serviço de desenvolvimento, monitoramento, configuração</w:t>
      </w:r>
      <w:r>
        <w:rPr>
          <w:rFonts w:hint="default" w:ascii="Arial" w:hAnsi="Arial"/>
          <w:lang w:val="pt-BR"/>
        </w:rPr>
        <w:t>, customização</w:t>
      </w:r>
      <w:r>
        <w:rPr>
          <w:rFonts w:hint="default" w:ascii="Arial" w:hAnsi="Arial"/>
        </w:rPr>
        <w:t xml:space="preserve"> e suporte de WebSite Institucional terá vigência de </w:t>
      </w:r>
      <w:r>
        <w:rPr>
          <w:rFonts w:hint="default" w:ascii="Arial" w:hAnsi="Arial"/>
          <w:lang w:val="pt-BR"/>
        </w:rPr>
        <w:t>12</w:t>
      </w:r>
      <w:r>
        <w:rPr>
          <w:rFonts w:hint="default" w:ascii="Arial" w:hAnsi="Arial"/>
        </w:rPr>
        <w:t xml:space="preserve"> meses, podendo ser </w:t>
      </w:r>
      <w:r>
        <w:rPr>
          <w:rFonts w:hint="default" w:ascii="Arial" w:hAnsi="Arial"/>
          <w:lang w:val="pt-BR"/>
        </w:rPr>
        <w:t xml:space="preserve">prorogado por período de igual valor ou ser </w:t>
      </w:r>
      <w:bookmarkStart w:id="0" w:name="_GoBack"/>
      <w:bookmarkEnd w:id="0"/>
      <w:r>
        <w:rPr>
          <w:rFonts w:hint="default" w:ascii="Arial" w:hAnsi="Arial"/>
        </w:rPr>
        <w:t>rescindido antecipadamente a interesse da Administração.</w:t>
      </w:r>
    </w:p>
    <w:p w14:paraId="1F336093">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lang w:val="pt-BR"/>
        </w:rPr>
        <w:t>DAS SANÇÕES ADMINISTRATIVAS</w:t>
      </w:r>
      <w:r>
        <w:rPr>
          <w:rFonts w:hint="default" w:ascii="Arial" w:hAnsi="Arial"/>
        </w:rPr>
        <w:t>:</w:t>
      </w:r>
    </w:p>
    <w:p w14:paraId="6BD2AEDE">
      <w:pPr>
        <w:pStyle w:val="8"/>
        <w:keepNext w:val="0"/>
        <w:keepLines w:val="0"/>
        <w:pageBreakBefore w:val="0"/>
        <w:widowControl w:val="0"/>
        <w:numPr>
          <w:ilvl w:val="0"/>
          <w:numId w:val="27"/>
        </w:numPr>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Ocorrendo alguma das hipóteses elencadas no art. 155 da Lei 14.333/2021</w:t>
      </w:r>
      <w:r>
        <w:rPr>
          <w:rFonts w:hint="default" w:ascii="Arial" w:hAnsi="Arial"/>
          <w:lang w:val="pt-BR"/>
        </w:rPr>
        <w:t xml:space="preserve"> </w:t>
      </w:r>
      <w:r>
        <w:rPr>
          <w:rFonts w:hint="default" w:ascii="Arial" w:hAnsi="Arial"/>
        </w:rPr>
        <w:t xml:space="preserve">fica o licitante infrator sujeito à aplicação das seguintes sanções: </w:t>
      </w:r>
    </w:p>
    <w:p w14:paraId="57111516">
      <w:pPr>
        <w:pStyle w:val="8"/>
        <w:keepNext w:val="0"/>
        <w:keepLines w:val="0"/>
        <w:pageBreakBefore w:val="0"/>
        <w:widowControl w:val="0"/>
        <w:numPr>
          <w:ilvl w:val="0"/>
          <w:numId w:val="28"/>
        </w:numPr>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advertência; </w:t>
      </w:r>
    </w:p>
    <w:p w14:paraId="2B855821">
      <w:pPr>
        <w:pStyle w:val="8"/>
        <w:keepNext w:val="0"/>
        <w:keepLines w:val="0"/>
        <w:pageBreakBefore w:val="0"/>
        <w:widowControl w:val="0"/>
        <w:numPr>
          <w:ilvl w:val="0"/>
          <w:numId w:val="28"/>
        </w:numPr>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multa; </w:t>
      </w:r>
    </w:p>
    <w:p w14:paraId="44A74A04">
      <w:pPr>
        <w:pStyle w:val="8"/>
        <w:keepNext w:val="0"/>
        <w:keepLines w:val="0"/>
        <w:pageBreakBefore w:val="0"/>
        <w:widowControl w:val="0"/>
        <w:numPr>
          <w:ilvl w:val="0"/>
          <w:numId w:val="28"/>
        </w:numPr>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impedimento de licitar e contratar; </w:t>
      </w:r>
    </w:p>
    <w:p w14:paraId="32EEB2CB">
      <w:pPr>
        <w:pStyle w:val="8"/>
        <w:keepNext w:val="0"/>
        <w:keepLines w:val="0"/>
        <w:pageBreakBefore w:val="0"/>
        <w:widowControl w:val="0"/>
        <w:numPr>
          <w:ilvl w:val="0"/>
          <w:numId w:val="28"/>
        </w:numPr>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 xml:space="preserve">declaração de </w:t>
      </w:r>
      <w:r>
        <w:rPr>
          <w:rFonts w:hint="default" w:ascii="Arial" w:hAnsi="Arial"/>
          <w:lang w:val="pt-BR"/>
        </w:rPr>
        <w:t>idoneidade</w:t>
      </w:r>
      <w:r>
        <w:rPr>
          <w:rFonts w:hint="default" w:ascii="Arial" w:hAnsi="Arial"/>
        </w:rPr>
        <w:t xml:space="preserve"> para licitar ou contratar. </w:t>
      </w:r>
    </w:p>
    <w:p w14:paraId="5EFF5375">
      <w:pPr>
        <w:pStyle w:val="8"/>
        <w:keepNext w:val="0"/>
        <w:keepLines w:val="0"/>
        <w:pageBreakBefore w:val="0"/>
        <w:widowControl w:val="0"/>
        <w:numPr>
          <w:ilvl w:val="0"/>
          <w:numId w:val="27"/>
        </w:numPr>
        <w:kinsoku/>
        <w:wordWrap/>
        <w:overflowPunct/>
        <w:topLinePunct w:val="0"/>
        <w:autoSpaceDE w:val="0"/>
        <w:autoSpaceDN w:val="0"/>
        <w:bidi w:val="0"/>
        <w:adjustRightInd/>
        <w:snapToGrid/>
        <w:spacing w:before="240" w:after="240" w:line="240" w:lineRule="auto"/>
        <w:ind w:left="0" w:leftChars="0" w:right="113" w:rightChars="0" w:firstLine="0" w:firstLineChars="0"/>
        <w:jc w:val="both"/>
        <w:textAlignment w:val="auto"/>
        <w:rPr>
          <w:rFonts w:hint="default" w:ascii="Arial" w:hAnsi="Arial"/>
        </w:rPr>
      </w:pPr>
      <w:r>
        <w:rPr>
          <w:rFonts w:hint="default" w:ascii="Arial" w:hAnsi="Arial"/>
        </w:rPr>
        <w:t xml:space="preserve">Para a aplicação das sanções, serão observadas as normas contidas nos artigos 156 a 163 da Lei 14.133/2021 e Resolução interna da Câmara Municipal de Três Corações/MG, assegurado ao licitante infrator o direito ao contraditório e à ampla defesa. </w:t>
      </w:r>
    </w:p>
    <w:p w14:paraId="5E36AD89">
      <w:pPr>
        <w:pStyle w:val="8"/>
        <w:keepNext w:val="0"/>
        <w:keepLines w:val="0"/>
        <w:pageBreakBefore w:val="0"/>
        <w:widowControl w:val="0"/>
        <w:numPr>
          <w:ilvl w:val="0"/>
          <w:numId w:val="27"/>
        </w:numPr>
        <w:kinsoku/>
        <w:wordWrap/>
        <w:overflowPunct/>
        <w:topLinePunct w:val="0"/>
        <w:autoSpaceDE w:val="0"/>
        <w:autoSpaceDN w:val="0"/>
        <w:bidi w:val="0"/>
        <w:adjustRightInd/>
        <w:snapToGrid/>
        <w:spacing w:before="240" w:after="240" w:line="240" w:lineRule="auto"/>
        <w:ind w:left="0" w:leftChars="0" w:right="113" w:rightChars="0" w:firstLine="0" w:firstLineChars="0"/>
        <w:jc w:val="both"/>
        <w:textAlignment w:val="auto"/>
        <w:rPr>
          <w:rFonts w:hint="default" w:ascii="Arial" w:hAnsi="Arial"/>
        </w:rPr>
      </w:pPr>
      <w:r>
        <w:rPr>
          <w:rFonts w:hint="default" w:ascii="Arial" w:hAnsi="Arial"/>
        </w:rPr>
        <w:t xml:space="preserve">Nas hipóteses de cometimento de qualquer infração administrativa poderão ser aplicadas ao fornecedor, sem prejuízo da responsabilidade civil e criminal, as seguintes sanções: </w:t>
      </w:r>
    </w:p>
    <w:p w14:paraId="5D6A2FF8">
      <w:pPr>
        <w:pStyle w:val="8"/>
        <w:keepNext w:val="0"/>
        <w:keepLines w:val="0"/>
        <w:pageBreakBefore w:val="0"/>
        <w:widowControl w:val="0"/>
        <w:numPr>
          <w:ilvl w:val="0"/>
          <w:numId w:val="29"/>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advertência, pelo cometimento da infração tipificada no art. 155, I da Lei 14.133/2021 (der causa à inexecução parcial do contrato), quando não se justificar a imposição de penalidade mais grave; </w:t>
      </w:r>
    </w:p>
    <w:p w14:paraId="7CC04BBF">
      <w:pPr>
        <w:pStyle w:val="8"/>
        <w:keepNext w:val="0"/>
        <w:keepLines w:val="0"/>
        <w:pageBreakBefore w:val="0"/>
        <w:widowControl w:val="0"/>
        <w:numPr>
          <w:ilvl w:val="0"/>
          <w:numId w:val="29"/>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multa de 1 % (um por cento) sobre o valor contratado do(s) item(s) prejudicado(s) pela conduta do fornecedor, em caso do cometimento das infrações tipificadas no incisos IV, VII, X, XI e XII, do art.155 da Lei 14.133/2021; </w:t>
      </w:r>
    </w:p>
    <w:p w14:paraId="3DE7057A">
      <w:pPr>
        <w:pStyle w:val="8"/>
        <w:keepNext w:val="0"/>
        <w:keepLines w:val="0"/>
        <w:pageBreakBefore w:val="0"/>
        <w:widowControl w:val="0"/>
        <w:numPr>
          <w:ilvl w:val="0"/>
          <w:numId w:val="29"/>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multa de mora de 5 % (cinco por cento) por dia, sobre o valor contratado do item prejudicado, pelo cometimento de infração tipificada no art. 155, IX da Lei 14.133/2022, limitado a 20 dias. Após o vigésimo dia e a critério da Administração, poderá ser considerada inexecução total ou parcial do objeto; </w:t>
      </w:r>
    </w:p>
    <w:p w14:paraId="3CE476A6">
      <w:pPr>
        <w:pStyle w:val="8"/>
        <w:keepNext w:val="0"/>
        <w:keepLines w:val="0"/>
        <w:pageBreakBefore w:val="0"/>
        <w:widowControl w:val="0"/>
        <w:numPr>
          <w:ilvl w:val="0"/>
          <w:numId w:val="29"/>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multa de 30 % (trinta por cento) sobre o valor contratado pelo cometimento de infração tipificada no art. 155, III da Lei 14.133/2021 (inexecução total do contrato); </w:t>
      </w:r>
    </w:p>
    <w:p w14:paraId="0A02FD1F">
      <w:pPr>
        <w:pStyle w:val="8"/>
        <w:keepNext w:val="0"/>
        <w:keepLines w:val="0"/>
        <w:pageBreakBefore w:val="0"/>
        <w:widowControl w:val="0"/>
        <w:numPr>
          <w:ilvl w:val="0"/>
          <w:numId w:val="29"/>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 xml:space="preserve">impedimento de licitar e contratar no âmbito da Administração Pública direta e indireta do ente federativo que tiver aplicado a sanção, pelo prazo máximo de 3 (três) anos, nos casos de infração tipificada nos incisos I, II, III, , IV, V e VI, da Lei 14.133/2021 , quando não se justificar a imposição de penalidade mais grave; </w:t>
      </w:r>
    </w:p>
    <w:p w14:paraId="070EE073">
      <w:pPr>
        <w:pStyle w:val="8"/>
        <w:keepNext w:val="0"/>
        <w:keepLines w:val="0"/>
        <w:pageBreakBefore w:val="0"/>
        <w:widowControl w:val="0"/>
        <w:numPr>
          <w:ilvl w:val="0"/>
          <w:numId w:val="29"/>
        </w:numPr>
        <w:kinsoku/>
        <w:wordWrap/>
        <w:overflowPunct/>
        <w:topLinePunct w:val="0"/>
        <w:autoSpaceDE w:val="0"/>
        <w:autoSpaceDN w:val="0"/>
        <w:bidi w:val="0"/>
        <w:adjustRightInd/>
        <w:snapToGrid/>
        <w:spacing w:before="240" w:after="240" w:line="240" w:lineRule="auto"/>
        <w:ind w:leftChars="0" w:right="113" w:rightChars="0"/>
        <w:jc w:val="both"/>
        <w:textAlignment w:val="auto"/>
        <w:rPr>
          <w:rFonts w:hint="default" w:ascii="Arial" w:hAnsi="Arial"/>
        </w:rPr>
      </w:pPr>
      <w:r>
        <w:rPr>
          <w:rFonts w:hint="default" w:ascii="Arial" w:hAnsi="Arial"/>
        </w:rPr>
        <w:t>declaração de inidoneidade para licitar ou contratar, que impedirá o responsável de licitar ou contratar no âmbito da Administração Pública direta e indireta de todos os entes federativos, pelo prazo mínimo de 3 (três) anos e máximo de 6 (seis) anos, nos casos de infração tipificada nos incisos VIII, IX, X, XI e XII da Lei 14.133/2021 bem como nos demais casos que justifiquem a imposição da penalidade mais grave;</w:t>
      </w:r>
    </w:p>
    <w:p w14:paraId="6F113B0E">
      <w:pPr>
        <w:pStyle w:val="8"/>
        <w:keepNext w:val="0"/>
        <w:keepLines w:val="0"/>
        <w:pageBreakBefore w:val="0"/>
        <w:widowControl w:val="0"/>
        <w:numPr>
          <w:ilvl w:val="0"/>
          <w:numId w:val="0"/>
        </w:numPr>
        <w:kinsoku/>
        <w:wordWrap/>
        <w:overflowPunct/>
        <w:topLinePunct w:val="0"/>
        <w:autoSpaceDE w:val="0"/>
        <w:autoSpaceDN w:val="0"/>
        <w:bidi w:val="0"/>
        <w:adjustRightInd/>
        <w:snapToGrid/>
        <w:spacing w:before="240" w:after="240" w:line="240" w:lineRule="auto"/>
        <w:ind w:right="113" w:rightChars="0"/>
        <w:jc w:val="both"/>
        <w:textAlignment w:val="auto"/>
        <w:rPr>
          <w:rFonts w:hint="default" w:ascii="Arial" w:hAnsi="Arial"/>
        </w:rPr>
      </w:pPr>
    </w:p>
    <w:p w14:paraId="44295E6D">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lang w:val="pt-BR"/>
        </w:rPr>
        <w:t>ESTIMATIVA DO VALOR DA CONTRATAÇÃO</w:t>
      </w:r>
      <w:r>
        <w:rPr>
          <w:rFonts w:hint="default" w:ascii="Arial" w:hAnsi="Arial"/>
        </w:rPr>
        <w:t>:</w:t>
      </w:r>
    </w:p>
    <w:p w14:paraId="54284748">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olor w:val="FF0000"/>
        </w:rPr>
      </w:pPr>
      <w:r>
        <w:rPr>
          <w:rFonts w:hint="default" w:ascii="Arial" w:hAnsi="Arial"/>
          <w:color w:val="auto"/>
        </w:rPr>
        <w:t>O valor máximo</w:t>
      </w:r>
      <w:r>
        <w:rPr>
          <w:rFonts w:hint="default" w:ascii="Arial" w:hAnsi="Arial"/>
          <w:color w:val="auto"/>
          <w:lang w:val="pt-BR"/>
        </w:rPr>
        <w:t xml:space="preserve"> </w:t>
      </w:r>
      <w:r>
        <w:rPr>
          <w:rFonts w:hint="default" w:ascii="Arial" w:hAnsi="Arial"/>
          <w:color w:val="auto"/>
        </w:rPr>
        <w:t>estimado no total da contratação para o serviço objeto deste termo de referência</w:t>
      </w:r>
      <w:r>
        <w:rPr>
          <w:rFonts w:hint="default" w:ascii="Arial" w:hAnsi="Arial"/>
          <w:color w:val="auto"/>
          <w:lang w:val="pt-BR"/>
        </w:rPr>
        <w:t xml:space="preserve"> foi baseado na média entre 3 (três) contratos encontrados do PNCP (Portal Nacional de Compras Públicas) através do link </w:t>
      </w:r>
      <w:r>
        <w:rPr>
          <w:rFonts w:hint="default" w:ascii="Arial" w:hAnsi="Arial"/>
          <w:color w:val="auto"/>
          <w:lang w:val="pt-BR"/>
        </w:rPr>
        <w:fldChar w:fldCharType="begin"/>
      </w:r>
      <w:r>
        <w:rPr>
          <w:rFonts w:hint="default" w:ascii="Arial" w:hAnsi="Arial"/>
          <w:color w:val="auto"/>
          <w:lang w:val="pt-BR"/>
        </w:rPr>
        <w:instrText xml:space="preserve"> HYPERLINK "https://pncp.gov.br/app/contratos" </w:instrText>
      </w:r>
      <w:r>
        <w:rPr>
          <w:rFonts w:hint="default" w:ascii="Arial" w:hAnsi="Arial"/>
          <w:color w:val="auto"/>
          <w:lang w:val="pt-BR"/>
        </w:rPr>
        <w:fldChar w:fldCharType="separate"/>
      </w:r>
      <w:r>
        <w:rPr>
          <w:rStyle w:val="7"/>
          <w:rFonts w:hint="default" w:ascii="Arial" w:hAnsi="Arial"/>
          <w:color w:val="auto"/>
          <w:lang w:val="pt-BR"/>
        </w:rPr>
        <w:t>https://pncp.gov.br/app/contratos</w:t>
      </w:r>
      <w:r>
        <w:rPr>
          <w:rFonts w:hint="default" w:ascii="Arial" w:hAnsi="Arial"/>
          <w:color w:val="auto"/>
          <w:lang w:val="pt-BR"/>
        </w:rPr>
        <w:fldChar w:fldCharType="end"/>
      </w:r>
      <w:r>
        <w:rPr>
          <w:rFonts w:hint="default" w:ascii="Arial" w:hAnsi="Arial"/>
          <w:color w:val="auto"/>
          <w:lang w:val="pt-BR"/>
        </w:rPr>
        <w:t xml:space="preserve"> acessado em 17/10/2024 às 11:35 e na média dos 3 (três) orçamentos recebidos por empresas especializadas neste serviço. Os contratos e o mapa comparativo encontram-se em anexo neste processo nas páginas 05 à 30, quanto os orçamentos encontram-se em anexo nas páginas 55 à 64.</w:t>
      </w:r>
      <w:r>
        <w:rPr>
          <w:rFonts w:hint="default" w:ascii="Arial" w:hAnsi="Arial"/>
          <w:color w:val="FF0000"/>
        </w:rPr>
        <w:t xml:space="preserve"> </w:t>
      </w:r>
    </w:p>
    <w:p w14:paraId="1AF0F093">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olor w:val="FF0000"/>
        </w:rPr>
      </w:pPr>
      <w:r>
        <w:rPr>
          <w:rFonts w:hint="default" w:ascii="Arial" w:hAnsi="Arial"/>
          <w:color w:val="auto"/>
          <w:lang w:val="pt-BR"/>
        </w:rPr>
        <w:t xml:space="preserve">O valor estimado </w:t>
      </w:r>
      <w:r>
        <w:rPr>
          <w:rFonts w:hint="default" w:ascii="Arial" w:hAnsi="Arial"/>
          <w:color w:val="auto"/>
        </w:rPr>
        <w:t xml:space="preserve">é de R$ </w:t>
      </w:r>
      <w:r>
        <w:rPr>
          <w:rFonts w:hint="default" w:ascii="Arial" w:hAnsi="Arial"/>
          <w:color w:val="auto"/>
          <w:lang w:val="pt-BR"/>
        </w:rPr>
        <w:t>30.000</w:t>
      </w:r>
      <w:r>
        <w:rPr>
          <w:rFonts w:hint="default" w:ascii="Arial" w:hAnsi="Arial"/>
          <w:color w:val="auto"/>
        </w:rPr>
        <w:t xml:space="preserve"> (</w:t>
      </w:r>
      <w:r>
        <w:rPr>
          <w:rFonts w:hint="default" w:ascii="Arial" w:hAnsi="Arial"/>
          <w:color w:val="auto"/>
          <w:lang w:val="pt-BR"/>
        </w:rPr>
        <w:t xml:space="preserve">trinta </w:t>
      </w:r>
      <w:r>
        <w:rPr>
          <w:rFonts w:hint="default" w:ascii="Arial" w:hAnsi="Arial"/>
          <w:color w:val="auto"/>
        </w:rPr>
        <w:t>mil</w:t>
      </w:r>
      <w:r>
        <w:rPr>
          <w:rFonts w:hint="default" w:ascii="Arial" w:hAnsi="Arial"/>
          <w:color w:val="auto"/>
          <w:lang w:val="pt-BR"/>
        </w:rPr>
        <w:t xml:space="preserve"> reais</w:t>
      </w:r>
      <w:r>
        <w:rPr>
          <w:rFonts w:hint="default" w:ascii="Arial" w:hAnsi="Arial"/>
          <w:color w:val="auto"/>
        </w:rPr>
        <w:t>), já previsto com uma margem de segurança para o</w:t>
      </w:r>
      <w:r>
        <w:rPr>
          <w:rFonts w:hint="default" w:ascii="Arial" w:hAnsi="Arial"/>
          <w:color w:val="auto"/>
          <w:lang w:val="pt-BR"/>
        </w:rPr>
        <w:t xml:space="preserve"> período de 12 (doze) </w:t>
      </w:r>
      <w:r>
        <w:rPr>
          <w:rFonts w:hint="default" w:ascii="Arial" w:hAnsi="Arial"/>
          <w:color w:val="auto"/>
        </w:rPr>
        <w:t xml:space="preserve"> meses</w:t>
      </w:r>
      <w:r>
        <w:rPr>
          <w:rFonts w:hint="default" w:ascii="Arial" w:hAnsi="Arial"/>
          <w:color w:val="auto"/>
          <w:lang w:val="pt-BR"/>
        </w:rPr>
        <w:t>.</w:t>
      </w:r>
      <w:r>
        <w:rPr>
          <w:rFonts w:hint="default" w:ascii="Arial" w:hAnsi="Arial"/>
          <w:color w:val="auto"/>
        </w:rPr>
        <w:t xml:space="preserve"> </w:t>
      </w:r>
      <w:r>
        <w:rPr>
          <w:rFonts w:hint="default" w:ascii="Arial" w:hAnsi="Arial"/>
          <w:color w:val="auto"/>
          <w:lang w:val="pt-BR"/>
        </w:rPr>
        <w:t>E</w:t>
      </w:r>
      <w:r>
        <w:rPr>
          <w:rFonts w:hint="default" w:ascii="Arial" w:hAnsi="Arial"/>
          <w:color w:val="auto"/>
        </w:rPr>
        <w:t>m</w:t>
      </w:r>
      <w:r>
        <w:rPr>
          <w:rFonts w:hint="default" w:ascii="Arial" w:hAnsi="Arial"/>
          <w:color w:val="auto"/>
          <w:lang w:val="pt-BR"/>
        </w:rPr>
        <w:t xml:space="preserve"> </w:t>
      </w:r>
      <w:r>
        <w:rPr>
          <w:rFonts w:hint="default" w:ascii="Arial" w:hAnsi="Arial"/>
          <w:color w:val="auto"/>
        </w:rPr>
        <w:t>caso de valores apresentados superiores ao estimado, deverá se adequar dentro desse valor apresentado.</w:t>
      </w:r>
    </w:p>
    <w:p w14:paraId="35437531">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lang w:val="pt-BR"/>
        </w:rPr>
        <w:t>FORMA DE SELEÇÃO DE FORNECEDORES</w:t>
      </w:r>
      <w:r>
        <w:rPr>
          <w:rFonts w:hint="default" w:ascii="Arial" w:hAnsi="Arial"/>
        </w:rPr>
        <w:t>:</w:t>
      </w:r>
    </w:p>
    <w:p w14:paraId="0907E91B">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rPr>
      </w:pPr>
      <w:r>
        <w:rPr>
          <w:rFonts w:hint="default" w:ascii="Arial" w:hAnsi="Arial"/>
        </w:rPr>
        <w:t>A contratação se dará pelo critério de julgamento de menor preço global, observados os valores unitários constante do item 1 deste Termo de Referência devendo ser precedida de procedimento administrativo devidamente formalizado sob a forma de dispensa de licitação do art. 75, II e precedida de aviso de contratação direta publicado com no mínimo 3 (três) dias úteis com vias a obtenção de propostas complementares.</w:t>
      </w:r>
    </w:p>
    <w:p w14:paraId="01A724C4">
      <w:pPr>
        <w:pStyle w:val="2"/>
        <w:numPr>
          <w:ilvl w:val="0"/>
          <w:numId w:val="2"/>
        </w:numPr>
        <w:tabs>
          <w:tab w:val="left" w:pos="480"/>
        </w:tabs>
        <w:spacing w:before="1" w:after="0" w:line="240" w:lineRule="auto"/>
        <w:ind w:left="480" w:leftChars="0" w:right="0" w:hanging="480" w:firstLineChars="0"/>
        <w:jc w:val="left"/>
        <w:rPr>
          <w:rFonts w:hint="default" w:ascii="Arial" w:hAnsi="Arial" w:cs="Arial"/>
        </w:rPr>
      </w:pPr>
      <w:r>
        <w:rPr>
          <w:rFonts w:hint="default" w:ascii="Arial" w:hAnsi="Arial"/>
          <w:lang w:val="pt-BR"/>
        </w:rPr>
        <w:t>LICITAÇÃO EXCLUSIVA</w:t>
      </w:r>
      <w:r>
        <w:rPr>
          <w:rFonts w:hint="default" w:ascii="Arial" w:hAnsi="Arial"/>
        </w:rPr>
        <w:t>:</w:t>
      </w:r>
    </w:p>
    <w:p w14:paraId="2DFCB753">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olor w:val="auto"/>
        </w:rPr>
      </w:pPr>
      <w:r>
        <w:rPr>
          <w:rFonts w:hint="default" w:ascii="Arial" w:hAnsi="Arial"/>
        </w:rPr>
        <w:t xml:space="preserve">A presente dispensa de licitação destina-se exclusivamente para </w:t>
      </w:r>
      <w:r>
        <w:rPr>
          <w:rFonts w:hint="default" w:ascii="Arial" w:hAnsi="Arial"/>
          <w:lang w:val="pt-BR"/>
        </w:rPr>
        <w:t>micro empresas</w:t>
      </w:r>
      <w:r>
        <w:rPr>
          <w:rFonts w:hint="default" w:ascii="Arial" w:hAnsi="Arial"/>
        </w:rPr>
        <w:t xml:space="preserve"> e empresas de pequeno porte, conforme determina a </w:t>
      </w:r>
      <w:r>
        <w:rPr>
          <w:rFonts w:hint="default" w:ascii="Arial" w:hAnsi="Arial"/>
          <w:color w:val="auto"/>
        </w:rPr>
        <w:t>Lei Complementar 123/200</w:t>
      </w:r>
      <w:r>
        <w:rPr>
          <w:rFonts w:hint="default" w:ascii="Arial" w:hAnsi="Arial"/>
          <w:color w:val="auto"/>
          <w:lang w:val="pt-BR"/>
        </w:rPr>
        <w:t>6</w:t>
      </w:r>
      <w:r>
        <w:rPr>
          <w:rFonts w:hint="default" w:ascii="Arial" w:hAnsi="Arial"/>
          <w:color w:val="auto"/>
        </w:rPr>
        <w:t>.</w:t>
      </w:r>
    </w:p>
    <w:p w14:paraId="21221A4F">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50AE1768">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7F9D4E5A">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38526968">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06DF9F60">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30FB3C4C">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6252D03B">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3EE9EEFA">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7A6B47AD">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6D69F1D4">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41C416BF">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028D1FAA">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1F53439F">
      <w:pPr>
        <w:pStyle w:val="8"/>
        <w:keepNext w:val="0"/>
        <w:keepLines w:val="0"/>
        <w:pageBreakBefore w:val="0"/>
        <w:widowControl w:val="0"/>
        <w:kinsoku/>
        <w:wordWrap/>
        <w:overflowPunct/>
        <w:topLinePunct w:val="0"/>
        <w:autoSpaceDE w:val="0"/>
        <w:autoSpaceDN w:val="0"/>
        <w:bidi w:val="0"/>
        <w:adjustRightInd/>
        <w:snapToGrid/>
        <w:spacing w:before="240" w:after="240" w:line="240" w:lineRule="auto"/>
        <w:ind w:right="113"/>
        <w:jc w:val="both"/>
        <w:textAlignment w:val="auto"/>
        <w:rPr>
          <w:rFonts w:hint="default" w:ascii="Arial" w:hAnsi="Arial" w:cs="Arial"/>
        </w:rPr>
      </w:pPr>
    </w:p>
    <w:p w14:paraId="5B444322">
      <w:pPr>
        <w:rPr>
          <w:rFonts w:ascii="Arial" w:hAnsi="Arial" w:cs="Arial"/>
          <w:b/>
          <w:color w:val="auto"/>
          <w:sz w:val="24"/>
        </w:rPr>
      </w:pPr>
    </w:p>
    <w:p w14:paraId="530D1A51">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rFonts w:hint="default" w:ascii="Arial" w:hAnsi="Arial"/>
          <w:b/>
          <w:color w:val="auto"/>
          <w:sz w:val="24"/>
          <w:lang w:val="pt-BR"/>
        </w:rPr>
      </w:pPr>
      <w:r>
        <w:rPr>
          <w:rFonts w:hint="default" w:ascii="Arial" w:hAnsi="Arial"/>
          <w:b/>
          <w:color w:val="auto"/>
          <w:sz w:val="24"/>
          <w:lang w:val="pt-BR"/>
        </w:rPr>
        <w:t>FABRICIO LUCENA DE JESUS</w:t>
      </w:r>
    </w:p>
    <w:p w14:paraId="7DCD725A">
      <w:pPr>
        <w:keepNext w:val="0"/>
        <w:keepLines w:val="0"/>
        <w:pageBreakBefore w:val="0"/>
        <w:widowControl/>
        <w:kinsoku/>
        <w:wordWrap/>
        <w:overflowPunct/>
        <w:topLinePunct w:val="0"/>
        <w:autoSpaceDE/>
        <w:autoSpaceDN/>
        <w:bidi w:val="0"/>
        <w:adjustRightInd/>
        <w:snapToGrid/>
        <w:spacing w:after="0" w:line="240" w:lineRule="auto"/>
        <w:textAlignment w:val="auto"/>
        <w:outlineLvl w:val="9"/>
        <w:rPr>
          <w:b/>
          <w:color w:val="auto"/>
        </w:rPr>
      </w:pPr>
      <w:r>
        <w:rPr>
          <w:rFonts w:hint="default" w:ascii="Arial" w:hAnsi="Arial"/>
          <w:b/>
          <w:color w:val="auto"/>
          <w:sz w:val="24"/>
          <w:lang w:val="pt-BR"/>
        </w:rPr>
        <w:t>Gerente administrativo e de Suprimentos</w:t>
      </w:r>
    </w:p>
    <w:p w14:paraId="242B0575">
      <w:pPr>
        <w:rPr>
          <w:rFonts w:hint="default"/>
          <w:color w:val="auto"/>
        </w:rPr>
      </w:pPr>
    </w:p>
    <w:p w14:paraId="322559A4">
      <w:pPr>
        <w:rPr>
          <w:rFonts w:hint="default"/>
          <w:color w:val="auto"/>
        </w:rPr>
      </w:pPr>
    </w:p>
    <w:p w14:paraId="0F36369F">
      <w:pPr>
        <w:rPr>
          <w:rFonts w:hint="default"/>
          <w:color w:val="auto"/>
        </w:rPr>
      </w:pPr>
    </w:p>
    <w:p w14:paraId="6B01E7CD">
      <w:pPr>
        <w:rPr>
          <w:rFonts w:hint="default"/>
          <w:color w:val="auto"/>
        </w:rPr>
      </w:pPr>
    </w:p>
    <w:p w14:paraId="7B9003E5">
      <w:pPr>
        <w:rPr>
          <w:rFonts w:hint="default"/>
          <w:color w:val="auto"/>
        </w:rPr>
      </w:pPr>
    </w:p>
    <w:p w14:paraId="1DBFD64D">
      <w:pPr>
        <w:rPr>
          <w:rFonts w:hint="default"/>
          <w:color w:val="auto"/>
        </w:rPr>
      </w:pPr>
    </w:p>
    <w:p w14:paraId="44EDDB8A">
      <w:pPr>
        <w:keepNext w:val="0"/>
        <w:keepLines w:val="0"/>
        <w:pageBreakBefore w:val="0"/>
        <w:widowControl/>
        <w:kinsoku/>
        <w:wordWrap/>
        <w:overflowPunct/>
        <w:topLinePunct w:val="0"/>
        <w:autoSpaceDE/>
        <w:autoSpaceDN/>
        <w:bidi w:val="0"/>
        <w:adjustRightInd/>
        <w:snapToGrid/>
        <w:spacing w:before="0" w:after="0" w:line="240" w:lineRule="auto"/>
        <w:ind w:left="0" w:firstLine="0"/>
        <w:jc w:val="left"/>
        <w:outlineLvl w:val="9"/>
        <w:rPr>
          <w:rFonts w:hint="default" w:ascii="Arial" w:hAnsi="Arial" w:cs="Arial"/>
          <w:sz w:val="24"/>
          <w:szCs w:val="24"/>
          <w:lang w:val="pt-BR"/>
        </w:rPr>
      </w:pPr>
      <w:r>
        <w:rPr>
          <w:rFonts w:hint="default" w:ascii="Arial" w:hAnsi="Arial" w:cs="Arial"/>
          <w:b/>
          <w:bCs/>
          <w:sz w:val="24"/>
          <w:szCs w:val="24"/>
        </w:rPr>
        <w:t>Aprovado</w:t>
      </w:r>
      <w:r>
        <w:rPr>
          <w:rFonts w:hint="default" w:ascii="Arial" w:hAnsi="Arial" w:cs="Arial"/>
          <w:b/>
          <w:bCs/>
          <w:sz w:val="24"/>
          <w:szCs w:val="24"/>
          <w:lang w:val="pt-BR"/>
        </w:rPr>
        <w:t xml:space="preserve"> em:_____/______/______</w:t>
      </w:r>
    </w:p>
    <w:p w14:paraId="2993D7E9">
      <w:pPr>
        <w:rPr>
          <w:rFonts w:hint="default"/>
          <w:color w:val="auto"/>
        </w:rPr>
      </w:pPr>
    </w:p>
    <w:p w14:paraId="201DC63E">
      <w:pPr>
        <w:pStyle w:val="3"/>
        <w:keepNext/>
        <w:keepLines w:val="0"/>
        <w:pageBreakBefore w:val="0"/>
        <w:widowControl/>
        <w:numPr>
          <w:ilvl w:val="2"/>
          <w:numId w:val="0"/>
        </w:numPr>
        <w:kinsoku/>
        <w:wordWrap/>
        <w:overflowPunct/>
        <w:topLinePunct w:val="0"/>
        <w:autoSpaceDE/>
        <w:autoSpaceDN/>
        <w:bidi w:val="0"/>
        <w:adjustRightInd/>
        <w:snapToGrid/>
        <w:spacing w:after="0" w:line="240" w:lineRule="auto"/>
        <w:jc w:val="both"/>
        <w:textAlignment w:val="auto"/>
        <w:outlineLvl w:val="2"/>
        <w:rPr>
          <w:i w:val="0"/>
          <w:iCs/>
          <w:szCs w:val="24"/>
        </w:rPr>
      </w:pPr>
    </w:p>
    <w:p w14:paraId="04FBBF5B"/>
    <w:p w14:paraId="40B331B0"/>
    <w:p w14:paraId="43788678"/>
    <w:p w14:paraId="2BADC5DE"/>
    <w:p w14:paraId="5B81BB9C"/>
    <w:p w14:paraId="7EA900F9"/>
    <w:p w14:paraId="2C124A75">
      <w:pPr>
        <w:pStyle w:val="3"/>
        <w:keepNext/>
        <w:keepLines w:val="0"/>
        <w:pageBreakBefore w:val="0"/>
        <w:widowControl/>
        <w:numPr>
          <w:ilvl w:val="0"/>
          <w:numId w:val="30"/>
        </w:numPr>
        <w:kinsoku/>
        <w:wordWrap/>
        <w:overflowPunct/>
        <w:topLinePunct w:val="0"/>
        <w:autoSpaceDE/>
        <w:autoSpaceDN/>
        <w:bidi w:val="0"/>
        <w:adjustRightInd/>
        <w:snapToGrid/>
        <w:spacing w:after="0" w:line="240" w:lineRule="auto"/>
        <w:ind w:left="0" w:firstLine="0"/>
        <w:textAlignment w:val="auto"/>
        <w:rPr>
          <w:i w:val="0"/>
          <w:iCs/>
          <w:szCs w:val="24"/>
        </w:rPr>
      </w:pPr>
      <w:r>
        <w:rPr>
          <w:rFonts w:hint="default"/>
          <w:i w:val="0"/>
          <w:iCs/>
          <w:szCs w:val="24"/>
          <w:lang w:val="pt-BR"/>
        </w:rPr>
        <w:t>M</w:t>
      </w:r>
      <w:r>
        <w:rPr>
          <w:i w:val="0"/>
          <w:iCs/>
          <w:szCs w:val="24"/>
        </w:rPr>
        <w:t>ARLENO MEDEIROS OLIVEIRA</w:t>
      </w:r>
    </w:p>
    <w:p w14:paraId="1686AC6B">
      <w:pPr>
        <w:pStyle w:val="4"/>
        <w:keepNext/>
        <w:keepLines w:val="0"/>
        <w:pageBreakBefore w:val="0"/>
        <w:widowControl/>
        <w:numPr>
          <w:ilvl w:val="0"/>
          <w:numId w:val="30"/>
        </w:numPr>
        <w:kinsoku/>
        <w:wordWrap/>
        <w:overflowPunct/>
        <w:topLinePunct w:val="0"/>
        <w:autoSpaceDE/>
        <w:autoSpaceDN/>
        <w:bidi w:val="0"/>
        <w:adjustRightInd/>
        <w:snapToGrid/>
        <w:spacing w:after="0" w:line="240" w:lineRule="auto"/>
        <w:ind w:left="0" w:firstLine="0"/>
        <w:textAlignment w:val="auto"/>
        <w:rPr>
          <w:i w:val="0"/>
          <w:iCs/>
        </w:rPr>
      </w:pPr>
      <w:r>
        <w:rPr>
          <w:i w:val="0"/>
          <w:iCs/>
          <w:szCs w:val="24"/>
        </w:rPr>
        <w:t>Diretor</w:t>
      </w:r>
      <w:r>
        <w:rPr>
          <w:rFonts w:hint="default"/>
          <w:i w:val="0"/>
          <w:iCs/>
          <w:szCs w:val="24"/>
          <w:lang w:val="pt-BR"/>
        </w:rPr>
        <w:t>-</w:t>
      </w:r>
      <w:r>
        <w:rPr>
          <w:i w:val="0"/>
          <w:iCs/>
          <w:color w:val="000000"/>
          <w:szCs w:val="24"/>
        </w:rPr>
        <w:t xml:space="preserve">Presidente Instituto de Previdência dos </w:t>
      </w:r>
    </w:p>
    <w:p w14:paraId="5D4A32C9">
      <w:pPr>
        <w:rPr>
          <w:rFonts w:hint="default" w:ascii="Arial" w:hAnsi="Arial" w:cs="Arial"/>
          <w:b/>
          <w:bCs/>
          <w:i w:val="0"/>
          <w:iCs/>
          <w:color w:val="000000"/>
          <w:sz w:val="24"/>
          <w:szCs w:val="24"/>
        </w:rPr>
      </w:pPr>
      <w:r>
        <w:rPr>
          <w:rFonts w:hint="default" w:ascii="Arial" w:hAnsi="Arial" w:cs="Arial"/>
          <w:b/>
          <w:bCs/>
          <w:i w:val="0"/>
          <w:iCs/>
          <w:color w:val="000000"/>
          <w:sz w:val="24"/>
          <w:szCs w:val="24"/>
        </w:rPr>
        <w:t>Servidores do Município de Guarapari / ES – IPG</w:t>
      </w:r>
    </w:p>
    <w:p w14:paraId="16350234">
      <w:pPr>
        <w:rPr>
          <w:i w:val="0"/>
          <w:iCs/>
          <w:color w:val="000000"/>
          <w:szCs w:val="24"/>
        </w:rPr>
      </w:pPr>
    </w:p>
    <w:p w14:paraId="079FC290">
      <w:pPr>
        <w:jc w:val="center"/>
        <w:rPr>
          <w:rFonts w:hint="default" w:ascii="Arial" w:hAnsi="Arial" w:cs="Arial"/>
        </w:rPr>
      </w:pPr>
    </w:p>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B9134">
    <w:pPr>
      <w:pStyle w:val="9"/>
      <w:jc w:val="center"/>
      <w:rPr>
        <w:rFonts w:ascii="Arial" w:hAnsi="Arial" w:cs="Arial"/>
        <w:b/>
        <w:i/>
        <w:sz w:val="24"/>
        <w:szCs w:val="24"/>
      </w:rPr>
    </w:pPr>
    <w:r>
      <w:drawing>
        <wp:inline distT="0" distB="0" distL="114300" distR="114300">
          <wp:extent cx="927735" cy="855980"/>
          <wp:effectExtent l="0" t="0" r="5715"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927735" cy="855980"/>
                  </a:xfrm>
                  <a:prstGeom prst="rect">
                    <a:avLst/>
                  </a:prstGeom>
                  <a:solidFill>
                    <a:srgbClr val="FFFFFF">
                      <a:alpha val="0"/>
                    </a:srgbClr>
                  </a:solidFill>
                  <a:ln>
                    <a:noFill/>
                  </a:ln>
                </pic:spPr>
              </pic:pic>
            </a:graphicData>
          </a:graphic>
        </wp:inline>
      </w:drawing>
    </w:r>
  </w:p>
  <w:p w14:paraId="42E17025">
    <w:pPr>
      <w:jc w:val="center"/>
      <w:rPr>
        <w:rFonts w:ascii="Arial" w:hAnsi="Arial" w:cs="Arial"/>
        <w:b/>
        <w:i/>
        <w:sz w:val="24"/>
        <w:szCs w:val="24"/>
      </w:rPr>
    </w:pPr>
    <w:r>
      <w:rPr>
        <w:rFonts w:ascii="Arial" w:hAnsi="Arial" w:cs="Arial"/>
        <w:b/>
        <w:i/>
        <w:sz w:val="24"/>
        <w:szCs w:val="24"/>
      </w:rPr>
      <w:t>INSTITUTO DE PREVIDÊNCIA DOS SERVIDORES</w:t>
    </w:r>
  </w:p>
  <w:p w14:paraId="7DC0F924">
    <w:pPr>
      <w:jc w:val="center"/>
      <w:rPr>
        <w:rFonts w:ascii="Arial" w:hAnsi="Arial" w:cs="Arial"/>
        <w:b/>
        <w:i/>
        <w:sz w:val="24"/>
        <w:szCs w:val="24"/>
      </w:rPr>
    </w:pPr>
    <w:r>
      <w:rPr>
        <w:rFonts w:ascii="Arial" w:hAnsi="Arial" w:cs="Arial"/>
        <w:b/>
        <w:i/>
        <w:sz w:val="24"/>
        <w:szCs w:val="24"/>
      </w:rPr>
      <w:t>DO MUNICÍPIO DE GUARAPARI / ES – IPG</w:t>
    </w:r>
  </w:p>
  <w:p w14:paraId="0BB3C473">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F19C41"/>
    <w:multiLevelType w:val="singleLevel"/>
    <w:tmpl w:val="8AF19C41"/>
    <w:lvl w:ilvl="0" w:tentative="0">
      <w:start w:val="1"/>
      <w:numFmt w:val="upperRoman"/>
      <w:lvlText w:val="%1."/>
      <w:lvlJc w:val="left"/>
      <w:pPr>
        <w:tabs>
          <w:tab w:val="left" w:pos="425"/>
        </w:tabs>
        <w:ind w:left="425" w:leftChars="0" w:hanging="425" w:firstLineChars="0"/>
      </w:pPr>
      <w:rPr>
        <w:rFonts w:hint="default"/>
      </w:rPr>
    </w:lvl>
  </w:abstractNum>
  <w:abstractNum w:abstractNumId="1">
    <w:nsid w:val="8CA8AE7A"/>
    <w:multiLevelType w:val="singleLevel"/>
    <w:tmpl w:val="8CA8AE7A"/>
    <w:lvl w:ilvl="0" w:tentative="0">
      <w:start w:val="1"/>
      <w:numFmt w:val="lowerLetter"/>
      <w:suff w:val="space"/>
      <w:lvlText w:val="%1)"/>
      <w:lvlJc w:val="left"/>
    </w:lvl>
  </w:abstractNum>
  <w:abstractNum w:abstractNumId="2">
    <w:nsid w:val="914AE75E"/>
    <w:multiLevelType w:val="singleLevel"/>
    <w:tmpl w:val="914AE75E"/>
    <w:lvl w:ilvl="0" w:tentative="0">
      <w:start w:val="1"/>
      <w:numFmt w:val="lowerLetter"/>
      <w:suff w:val="space"/>
      <w:lvlText w:val="%1)"/>
      <w:lvlJc w:val="left"/>
    </w:lvl>
  </w:abstractNum>
  <w:abstractNum w:abstractNumId="3">
    <w:nsid w:val="972F088C"/>
    <w:multiLevelType w:val="multilevel"/>
    <w:tmpl w:val="972F088C"/>
    <w:lvl w:ilvl="0" w:tentative="0">
      <w:start w:val="1"/>
      <w:numFmt w:val="lowerLetter"/>
      <w:suff w:val="space"/>
      <w:lvlText w:val="%1)"/>
      <w:lvlJc w:val="left"/>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4">
    <w:nsid w:val="B57D33CD"/>
    <w:multiLevelType w:val="singleLevel"/>
    <w:tmpl w:val="B57D33CD"/>
    <w:lvl w:ilvl="0" w:tentative="0">
      <w:start w:val="1"/>
      <w:numFmt w:val="upperRoman"/>
      <w:lvlText w:val="%1."/>
      <w:lvlJc w:val="left"/>
      <w:pPr>
        <w:tabs>
          <w:tab w:val="left" w:pos="425"/>
        </w:tabs>
        <w:ind w:left="425" w:leftChars="0" w:hanging="425" w:firstLineChars="0"/>
      </w:pPr>
      <w:rPr>
        <w:rFonts w:hint="default"/>
      </w:rPr>
    </w:lvl>
  </w:abstractNum>
  <w:abstractNum w:abstractNumId="5">
    <w:nsid w:val="BADEEE1B"/>
    <w:multiLevelType w:val="singleLevel"/>
    <w:tmpl w:val="BADEEE1B"/>
    <w:lvl w:ilvl="0" w:tentative="0">
      <w:start w:val="1"/>
      <w:numFmt w:val="upperRoman"/>
      <w:suff w:val="space"/>
      <w:lvlText w:val="%1)"/>
      <w:lvlJc w:val="left"/>
    </w:lvl>
  </w:abstractNum>
  <w:abstractNum w:abstractNumId="6">
    <w:nsid w:val="C043F354"/>
    <w:multiLevelType w:val="singleLevel"/>
    <w:tmpl w:val="C043F354"/>
    <w:lvl w:ilvl="0" w:tentative="0">
      <w:start w:val="1"/>
      <w:numFmt w:val="lowerLetter"/>
      <w:suff w:val="space"/>
      <w:lvlText w:val="%1)"/>
      <w:lvlJc w:val="left"/>
    </w:lvl>
  </w:abstractNum>
  <w:abstractNum w:abstractNumId="7">
    <w:nsid w:val="C5877476"/>
    <w:multiLevelType w:val="singleLevel"/>
    <w:tmpl w:val="C5877476"/>
    <w:lvl w:ilvl="0" w:tentative="0">
      <w:start w:val="1"/>
      <w:numFmt w:val="upperRoman"/>
      <w:suff w:val="space"/>
      <w:lvlText w:val="%1)"/>
      <w:lvlJc w:val="left"/>
    </w:lvl>
  </w:abstractNum>
  <w:abstractNum w:abstractNumId="8">
    <w:nsid w:val="CA54530C"/>
    <w:multiLevelType w:val="singleLevel"/>
    <w:tmpl w:val="CA54530C"/>
    <w:lvl w:ilvl="0" w:tentative="0">
      <w:start w:val="1"/>
      <w:numFmt w:val="lowerLetter"/>
      <w:suff w:val="space"/>
      <w:lvlText w:val="%1)"/>
      <w:lvlJc w:val="left"/>
    </w:lvl>
  </w:abstractNum>
  <w:abstractNum w:abstractNumId="9">
    <w:nsid w:val="CDC02CFA"/>
    <w:multiLevelType w:val="singleLevel"/>
    <w:tmpl w:val="CDC02CFA"/>
    <w:lvl w:ilvl="0" w:tentative="0">
      <w:start w:val="1"/>
      <w:numFmt w:val="upperRoman"/>
      <w:lvlText w:val="%1."/>
      <w:lvlJc w:val="left"/>
      <w:pPr>
        <w:tabs>
          <w:tab w:val="left" w:pos="425"/>
        </w:tabs>
        <w:ind w:left="425" w:leftChars="0" w:hanging="425" w:firstLineChars="0"/>
      </w:pPr>
      <w:rPr>
        <w:rFonts w:hint="default"/>
      </w:rPr>
    </w:lvl>
  </w:abstractNum>
  <w:abstractNum w:abstractNumId="10">
    <w:nsid w:val="D6568CB1"/>
    <w:multiLevelType w:val="singleLevel"/>
    <w:tmpl w:val="D6568CB1"/>
    <w:lvl w:ilvl="0" w:tentative="0">
      <w:start w:val="1"/>
      <w:numFmt w:val="upperRoman"/>
      <w:suff w:val="space"/>
      <w:lvlText w:val="%1)"/>
      <w:lvlJc w:val="left"/>
    </w:lvl>
  </w:abstractNum>
  <w:abstractNum w:abstractNumId="11">
    <w:nsid w:val="E0FEB045"/>
    <w:multiLevelType w:val="singleLevel"/>
    <w:tmpl w:val="E0FEB045"/>
    <w:lvl w:ilvl="0" w:tentative="0">
      <w:start w:val="1"/>
      <w:numFmt w:val="lowerLetter"/>
      <w:suff w:val="space"/>
      <w:lvlText w:val="%1)"/>
      <w:lvlJc w:val="left"/>
    </w:lvl>
  </w:abstractNum>
  <w:abstractNum w:abstractNumId="12">
    <w:nsid w:val="E1BF8BC3"/>
    <w:multiLevelType w:val="singleLevel"/>
    <w:tmpl w:val="E1BF8BC3"/>
    <w:lvl w:ilvl="0" w:tentative="0">
      <w:start w:val="1"/>
      <w:numFmt w:val="lowerLetter"/>
      <w:lvlText w:val="%1."/>
      <w:lvlJc w:val="left"/>
      <w:pPr>
        <w:tabs>
          <w:tab w:val="left" w:pos="425"/>
        </w:tabs>
        <w:ind w:left="425" w:leftChars="0" w:hanging="425" w:firstLineChars="0"/>
      </w:pPr>
      <w:rPr>
        <w:rFonts w:hint="default"/>
      </w:rPr>
    </w:lvl>
  </w:abstractNum>
  <w:abstractNum w:abstractNumId="13">
    <w:nsid w:val="F267F03F"/>
    <w:multiLevelType w:val="singleLevel"/>
    <w:tmpl w:val="F267F03F"/>
    <w:lvl w:ilvl="0" w:tentative="0">
      <w:start w:val="1"/>
      <w:numFmt w:val="upperRoman"/>
      <w:suff w:val="space"/>
      <w:lvlText w:val="%1."/>
      <w:lvlJc w:val="left"/>
    </w:lvl>
  </w:abstractNum>
  <w:abstractNum w:abstractNumId="14">
    <w:nsid w:val="F4DE8290"/>
    <w:multiLevelType w:val="singleLevel"/>
    <w:tmpl w:val="F4DE8290"/>
    <w:lvl w:ilvl="0" w:tentative="0">
      <w:start w:val="1"/>
      <w:numFmt w:val="lowerLetter"/>
      <w:lvlText w:val="%1."/>
      <w:lvlJc w:val="left"/>
      <w:pPr>
        <w:tabs>
          <w:tab w:val="left" w:pos="425"/>
        </w:tabs>
        <w:ind w:left="425" w:leftChars="0" w:hanging="425" w:firstLineChars="0"/>
      </w:pPr>
      <w:rPr>
        <w:rFonts w:hint="default"/>
      </w:rPr>
    </w:lvl>
  </w:abstractNum>
  <w:abstractNum w:abstractNumId="15">
    <w:nsid w:val="00000002"/>
    <w:multiLevelType w:val="multilevel"/>
    <w:tmpl w:val="00000002"/>
    <w:lvl w:ilvl="0" w:tentative="0">
      <w:start w:val="1"/>
      <w:numFmt w:val="none"/>
      <w:suff w:val="nothing"/>
      <w:lvlText w:val=""/>
      <w:lvlJc w:val="left"/>
      <w:pPr>
        <w:tabs>
          <w:tab w:val="left" w:pos="0"/>
        </w:tabs>
        <w:ind w:left="432" w:hanging="432"/>
      </w:pPr>
      <w:rPr>
        <w:rFonts w:ascii="Arial" w:hAnsi="Arial" w:cs="Arial"/>
        <w:b/>
        <w:szCs w:val="24"/>
      </w:rPr>
    </w:lvl>
    <w:lvl w:ilvl="1" w:tentative="0">
      <w:start w:val="1"/>
      <w:numFmt w:val="none"/>
      <w:suff w:val="nothing"/>
      <w:lvlText w:val=""/>
      <w:lvlJc w:val="left"/>
      <w:pPr>
        <w:tabs>
          <w:tab w:val="left" w:pos="0"/>
        </w:tabs>
        <w:ind w:left="576" w:hanging="576"/>
      </w:pPr>
    </w:lvl>
    <w:lvl w:ilvl="2" w:tentative="0">
      <w:start w:val="1"/>
      <w:numFmt w:val="none"/>
      <w:pStyle w:val="3"/>
      <w:suff w:val="nothing"/>
      <w:lvlText w:val=""/>
      <w:lvlJc w:val="left"/>
      <w:pPr>
        <w:tabs>
          <w:tab w:val="left" w:pos="0"/>
        </w:tabs>
        <w:ind w:left="720" w:hanging="720"/>
      </w:pPr>
    </w:lvl>
    <w:lvl w:ilvl="3" w:tentative="0">
      <w:start w:val="1"/>
      <w:numFmt w:val="none"/>
      <w:pStyle w:val="4"/>
      <w:suff w:val="nothing"/>
      <w:lvlText w:val=""/>
      <w:lvlJc w:val="left"/>
      <w:pPr>
        <w:tabs>
          <w:tab w:val="left" w:pos="0"/>
        </w:tabs>
        <w:ind w:left="864" w:hanging="864"/>
      </w:pPr>
    </w:lvl>
    <w:lvl w:ilvl="4" w:tentative="0">
      <w:start w:val="1"/>
      <w:numFmt w:val="none"/>
      <w:suff w:val="nothing"/>
      <w:lvlText w:val=""/>
      <w:lvlJc w:val="left"/>
      <w:pPr>
        <w:tabs>
          <w:tab w:val="left" w:pos="0"/>
        </w:tabs>
        <w:ind w:left="1008" w:hanging="1008"/>
      </w:pPr>
    </w:lvl>
    <w:lvl w:ilvl="5" w:tentative="0">
      <w:start w:val="1"/>
      <w:numFmt w:val="none"/>
      <w:suff w:val="nothing"/>
      <w:lvlText w:val=""/>
      <w:lvlJc w:val="left"/>
      <w:pPr>
        <w:tabs>
          <w:tab w:val="left" w:pos="0"/>
        </w:tabs>
        <w:ind w:left="1152" w:hanging="1152"/>
      </w:pPr>
    </w:lvl>
    <w:lvl w:ilvl="6" w:tentative="0">
      <w:start w:val="1"/>
      <w:numFmt w:val="none"/>
      <w:suff w:val="nothing"/>
      <w:lvlText w:val=""/>
      <w:lvlJc w:val="left"/>
      <w:pPr>
        <w:tabs>
          <w:tab w:val="left" w:pos="0"/>
        </w:tabs>
        <w:ind w:left="1296" w:hanging="1296"/>
      </w:pPr>
    </w:lvl>
    <w:lvl w:ilvl="7" w:tentative="0">
      <w:start w:val="1"/>
      <w:numFmt w:val="none"/>
      <w:suff w:val="nothing"/>
      <w:lvlText w:val=""/>
      <w:lvlJc w:val="left"/>
      <w:pPr>
        <w:tabs>
          <w:tab w:val="left" w:pos="0"/>
        </w:tabs>
        <w:ind w:left="1440" w:hanging="1440"/>
      </w:pPr>
    </w:lvl>
    <w:lvl w:ilvl="8" w:tentative="0">
      <w:start w:val="1"/>
      <w:numFmt w:val="none"/>
      <w:suff w:val="nothing"/>
      <w:lvlText w:val=""/>
      <w:lvlJc w:val="left"/>
      <w:pPr>
        <w:tabs>
          <w:tab w:val="left" w:pos="0"/>
        </w:tabs>
        <w:ind w:left="1584" w:hanging="1584"/>
      </w:pPr>
    </w:lvl>
  </w:abstractNum>
  <w:abstractNum w:abstractNumId="16">
    <w:nsid w:val="0053208E"/>
    <w:multiLevelType w:val="multilevel"/>
    <w:tmpl w:val="0053208E"/>
    <w:lvl w:ilvl="0" w:tentative="0">
      <w:start w:val="1"/>
      <w:numFmt w:val="decimal"/>
      <w:lvlText w:val="%1."/>
      <w:lvlJc w:val="left"/>
      <w:pPr>
        <w:ind w:left="720" w:hanging="360"/>
      </w:pPr>
      <w:rPr>
        <w:rFonts w:hint="default"/>
        <w:b/>
        <w:bCs/>
      </w:rPr>
    </w:lvl>
    <w:lvl w:ilvl="1" w:tentative="0">
      <w:start w:val="1"/>
      <w:numFmt w:val="decimal"/>
      <w:lvlText w:val="%1.%2."/>
      <w:lvlJc w:val="left"/>
      <w:pPr>
        <w:ind w:left="1080" w:hanging="720"/>
      </w:pPr>
      <w:rPr>
        <w:b/>
        <w:bCs/>
        <w:sz w:val="24"/>
      </w:rPr>
    </w:lvl>
    <w:lvl w:ilvl="2" w:tentative="0">
      <w:start w:val="1"/>
      <w:numFmt w:val="decimal"/>
      <w:lvlText w:val="%1.%2.%3."/>
      <w:lvlJc w:val="left"/>
      <w:pPr>
        <w:ind w:left="1080" w:hanging="720"/>
      </w:pPr>
    </w:lvl>
    <w:lvl w:ilvl="3" w:tentative="0">
      <w:start w:val="1"/>
      <w:numFmt w:val="decimal"/>
      <w:lvlText w:val="%1.%2.%3.%4."/>
      <w:lvlJc w:val="left"/>
      <w:pPr>
        <w:ind w:left="1440" w:hanging="1080"/>
      </w:pPr>
    </w:lvl>
    <w:lvl w:ilvl="4" w:tentative="0">
      <w:start w:val="1"/>
      <w:numFmt w:val="decimal"/>
      <w:lvlText w:val="%1.%2.%3.%4.%5."/>
      <w:lvlJc w:val="left"/>
      <w:pPr>
        <w:ind w:left="1440" w:hanging="1080"/>
      </w:pPr>
    </w:lvl>
    <w:lvl w:ilvl="5" w:tentative="0">
      <w:start w:val="1"/>
      <w:numFmt w:val="decimal"/>
      <w:lvlText w:val="%1.%2.%3.%4.%5.%6."/>
      <w:lvlJc w:val="left"/>
      <w:pPr>
        <w:ind w:left="1800" w:hanging="1440"/>
      </w:pPr>
    </w:lvl>
    <w:lvl w:ilvl="6" w:tentative="0">
      <w:start w:val="1"/>
      <w:numFmt w:val="decimal"/>
      <w:lvlText w:val="%1.%2.%3.%4.%5.%6.%7."/>
      <w:lvlJc w:val="left"/>
      <w:pPr>
        <w:ind w:left="1800" w:hanging="1440"/>
      </w:pPr>
    </w:lvl>
    <w:lvl w:ilvl="7" w:tentative="0">
      <w:start w:val="1"/>
      <w:numFmt w:val="decimal"/>
      <w:lvlText w:val="%1.%2.%3.%4.%5.%6.%7.%8."/>
      <w:lvlJc w:val="left"/>
      <w:pPr>
        <w:ind w:left="2160" w:hanging="1800"/>
      </w:pPr>
    </w:lvl>
    <w:lvl w:ilvl="8" w:tentative="0">
      <w:start w:val="1"/>
      <w:numFmt w:val="decimal"/>
      <w:lvlText w:val="%1.%2.%3.%4.%5.%6.%7.%8.%9."/>
      <w:lvlJc w:val="left"/>
      <w:pPr>
        <w:ind w:left="2160" w:hanging="1800"/>
      </w:pPr>
    </w:lvl>
  </w:abstractNum>
  <w:abstractNum w:abstractNumId="17">
    <w:nsid w:val="0BF5CA3F"/>
    <w:multiLevelType w:val="singleLevel"/>
    <w:tmpl w:val="0BF5CA3F"/>
    <w:lvl w:ilvl="0" w:tentative="0">
      <w:start w:val="1"/>
      <w:numFmt w:val="upperRoman"/>
      <w:suff w:val="space"/>
      <w:lvlText w:val="%1."/>
      <w:lvlJc w:val="left"/>
    </w:lvl>
  </w:abstractNum>
  <w:abstractNum w:abstractNumId="18">
    <w:nsid w:val="13F30A39"/>
    <w:multiLevelType w:val="singleLevel"/>
    <w:tmpl w:val="13F30A39"/>
    <w:lvl w:ilvl="0" w:tentative="0">
      <w:start w:val="1"/>
      <w:numFmt w:val="upperRoman"/>
      <w:lvlText w:val="%1."/>
      <w:lvlJc w:val="left"/>
      <w:pPr>
        <w:tabs>
          <w:tab w:val="left" w:pos="425"/>
        </w:tabs>
        <w:ind w:left="425" w:leftChars="0" w:hanging="425" w:firstLineChars="0"/>
      </w:pPr>
      <w:rPr>
        <w:rFonts w:hint="default"/>
      </w:rPr>
    </w:lvl>
  </w:abstractNum>
  <w:abstractNum w:abstractNumId="19">
    <w:nsid w:val="1D1F89B3"/>
    <w:multiLevelType w:val="singleLevel"/>
    <w:tmpl w:val="1D1F89B3"/>
    <w:lvl w:ilvl="0" w:tentative="0">
      <w:start w:val="1"/>
      <w:numFmt w:val="upperRoman"/>
      <w:suff w:val="space"/>
      <w:lvlText w:val="%1)"/>
      <w:lvlJc w:val="left"/>
    </w:lvl>
  </w:abstractNum>
  <w:abstractNum w:abstractNumId="20">
    <w:nsid w:val="3E2033AB"/>
    <w:multiLevelType w:val="singleLevel"/>
    <w:tmpl w:val="3E2033AB"/>
    <w:lvl w:ilvl="0" w:tentative="0">
      <w:start w:val="1"/>
      <w:numFmt w:val="lowerLetter"/>
      <w:suff w:val="space"/>
      <w:lvlText w:val="%1)"/>
      <w:lvlJc w:val="left"/>
    </w:lvl>
  </w:abstractNum>
  <w:abstractNum w:abstractNumId="21">
    <w:nsid w:val="4A515A35"/>
    <w:multiLevelType w:val="singleLevel"/>
    <w:tmpl w:val="4A515A35"/>
    <w:lvl w:ilvl="0" w:tentative="0">
      <w:start w:val="1"/>
      <w:numFmt w:val="upperRoman"/>
      <w:suff w:val="space"/>
      <w:lvlText w:val="%1."/>
      <w:lvlJc w:val="left"/>
    </w:lvl>
  </w:abstractNum>
  <w:abstractNum w:abstractNumId="22">
    <w:nsid w:val="528783EB"/>
    <w:multiLevelType w:val="singleLevel"/>
    <w:tmpl w:val="528783EB"/>
    <w:lvl w:ilvl="0" w:tentative="0">
      <w:start w:val="1"/>
      <w:numFmt w:val="upperRoman"/>
      <w:lvlText w:val="%1."/>
      <w:lvlJc w:val="left"/>
      <w:pPr>
        <w:tabs>
          <w:tab w:val="left" w:pos="425"/>
        </w:tabs>
        <w:ind w:left="425" w:leftChars="0" w:hanging="425" w:firstLineChars="0"/>
      </w:pPr>
      <w:rPr>
        <w:rFonts w:hint="default"/>
      </w:rPr>
    </w:lvl>
  </w:abstractNum>
  <w:abstractNum w:abstractNumId="23">
    <w:nsid w:val="57BD2EFA"/>
    <w:multiLevelType w:val="singleLevel"/>
    <w:tmpl w:val="57BD2EFA"/>
    <w:lvl w:ilvl="0" w:tentative="0">
      <w:start w:val="1"/>
      <w:numFmt w:val="lowerLetter"/>
      <w:suff w:val="space"/>
      <w:lvlText w:val="%1)"/>
      <w:lvlJc w:val="left"/>
    </w:lvl>
  </w:abstractNum>
  <w:abstractNum w:abstractNumId="24">
    <w:nsid w:val="59730718"/>
    <w:multiLevelType w:val="singleLevel"/>
    <w:tmpl w:val="59730718"/>
    <w:lvl w:ilvl="0" w:tentative="0">
      <w:start w:val="1"/>
      <w:numFmt w:val="upperRoman"/>
      <w:lvlText w:val="%1."/>
      <w:lvlJc w:val="left"/>
      <w:pPr>
        <w:tabs>
          <w:tab w:val="left" w:pos="425"/>
        </w:tabs>
        <w:ind w:left="425" w:leftChars="0" w:hanging="425" w:firstLineChars="0"/>
      </w:pPr>
      <w:rPr>
        <w:rFonts w:hint="default"/>
      </w:rPr>
    </w:lvl>
  </w:abstractNum>
  <w:abstractNum w:abstractNumId="25">
    <w:nsid w:val="5EA349F3"/>
    <w:multiLevelType w:val="multilevel"/>
    <w:tmpl w:val="5EA349F3"/>
    <w:lvl w:ilvl="0" w:tentative="0">
      <w:start w:val="1"/>
      <w:numFmt w:val="upperRoman"/>
      <w:lvlText w:val="%1."/>
      <w:lvlJc w:val="left"/>
      <w:pPr>
        <w:tabs>
          <w:tab w:val="left" w:pos="425"/>
        </w:tabs>
        <w:ind w:left="425" w:leftChars="0" w:hanging="425" w:firstLineChars="0"/>
      </w:pPr>
      <w:rPr>
        <w:rFonts w:hint="default"/>
      </w:rPr>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26">
    <w:nsid w:val="697C6CA5"/>
    <w:multiLevelType w:val="singleLevel"/>
    <w:tmpl w:val="697C6CA5"/>
    <w:lvl w:ilvl="0" w:tentative="0">
      <w:start w:val="1"/>
      <w:numFmt w:val="upperRoman"/>
      <w:suff w:val="space"/>
      <w:lvlText w:val="%1."/>
      <w:lvlJc w:val="left"/>
    </w:lvl>
  </w:abstractNum>
  <w:abstractNum w:abstractNumId="27">
    <w:nsid w:val="7200C778"/>
    <w:multiLevelType w:val="singleLevel"/>
    <w:tmpl w:val="7200C778"/>
    <w:lvl w:ilvl="0" w:tentative="0">
      <w:start w:val="1"/>
      <w:numFmt w:val="upperRoman"/>
      <w:suff w:val="space"/>
      <w:lvlText w:val="%1)"/>
      <w:lvlJc w:val="left"/>
    </w:lvl>
  </w:abstractNum>
  <w:abstractNum w:abstractNumId="28">
    <w:nsid w:val="72F7C1C7"/>
    <w:multiLevelType w:val="singleLevel"/>
    <w:tmpl w:val="72F7C1C7"/>
    <w:lvl w:ilvl="0" w:tentative="0">
      <w:start w:val="1"/>
      <w:numFmt w:val="lowerLetter"/>
      <w:suff w:val="space"/>
      <w:lvlText w:val="%1)"/>
      <w:lvlJc w:val="left"/>
    </w:lvl>
  </w:abstractNum>
  <w:abstractNum w:abstractNumId="29">
    <w:nsid w:val="7C7031F5"/>
    <w:multiLevelType w:val="multilevel"/>
    <w:tmpl w:val="7C7031F5"/>
    <w:lvl w:ilvl="0" w:tentative="0">
      <w:start w:val="1"/>
      <w:numFmt w:val="none"/>
      <w:suff w:val="nothing"/>
      <w:lvlText w:val=""/>
      <w:lvlJc w:val="left"/>
      <w:pPr>
        <w:ind w:left="432" w:hanging="432"/>
      </w:pPr>
      <w:rPr>
        <w:rFonts w:cs="Arial"/>
        <w:b/>
        <w:szCs w:val="24"/>
      </w:rPr>
    </w:lvl>
    <w:lvl w:ilvl="1" w:tentative="0">
      <w:start w:val="1"/>
      <w:numFmt w:val="none"/>
      <w:suff w:val="nothing"/>
      <w:lvlText w:val=""/>
      <w:lvlJc w:val="left"/>
      <w:pPr>
        <w:ind w:left="0" w:firstLine="0"/>
      </w:pPr>
    </w:lvl>
    <w:lvl w:ilvl="2" w:tentative="0">
      <w:start w:val="1"/>
      <w:numFmt w:val="none"/>
      <w:suff w:val="nothing"/>
      <w:lvlText w:val=""/>
      <w:lvlJc w:val="left"/>
      <w:pPr>
        <w:ind w:left="720" w:hanging="720"/>
      </w:pPr>
    </w:lvl>
    <w:lvl w:ilvl="3" w:tentative="0">
      <w:start w:val="1"/>
      <w:numFmt w:val="none"/>
      <w:suff w:val="nothing"/>
      <w:lvlText w:val=""/>
      <w:lvlJc w:val="left"/>
      <w:pPr>
        <w:ind w:left="864" w:hanging="864"/>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15"/>
  </w:num>
  <w:num w:numId="2">
    <w:abstractNumId w:val="16"/>
  </w:num>
  <w:num w:numId="3">
    <w:abstractNumId w:val="9"/>
  </w:num>
  <w:num w:numId="4">
    <w:abstractNumId w:val="3"/>
  </w:num>
  <w:num w:numId="5">
    <w:abstractNumId w:val="0"/>
  </w:num>
  <w:num w:numId="6">
    <w:abstractNumId w:val="22"/>
  </w:num>
  <w:num w:numId="7">
    <w:abstractNumId w:val="24"/>
  </w:num>
  <w:num w:numId="8">
    <w:abstractNumId w:val="25"/>
  </w:num>
  <w:num w:numId="9">
    <w:abstractNumId w:val="4"/>
  </w:num>
  <w:num w:numId="10">
    <w:abstractNumId w:val="14"/>
  </w:num>
  <w:num w:numId="11">
    <w:abstractNumId w:val="18"/>
  </w:num>
  <w:num w:numId="12">
    <w:abstractNumId w:val="12"/>
  </w:num>
  <w:num w:numId="13">
    <w:abstractNumId w:val="13"/>
  </w:num>
  <w:num w:numId="14">
    <w:abstractNumId w:val="17"/>
  </w:num>
  <w:num w:numId="15">
    <w:abstractNumId w:val="21"/>
  </w:num>
  <w:num w:numId="16">
    <w:abstractNumId w:val="26"/>
  </w:num>
  <w:num w:numId="17">
    <w:abstractNumId w:val="20"/>
  </w:num>
  <w:num w:numId="18">
    <w:abstractNumId w:val="1"/>
  </w:num>
  <w:num w:numId="19">
    <w:abstractNumId w:val="11"/>
  </w:num>
  <w:num w:numId="20">
    <w:abstractNumId w:val="28"/>
  </w:num>
  <w:num w:numId="21">
    <w:abstractNumId w:val="7"/>
  </w:num>
  <w:num w:numId="22">
    <w:abstractNumId w:val="8"/>
  </w:num>
  <w:num w:numId="23">
    <w:abstractNumId w:val="2"/>
  </w:num>
  <w:num w:numId="24">
    <w:abstractNumId w:val="10"/>
  </w:num>
  <w:num w:numId="25">
    <w:abstractNumId w:val="27"/>
  </w:num>
  <w:num w:numId="26">
    <w:abstractNumId w:val="5"/>
  </w:num>
  <w:num w:numId="27">
    <w:abstractNumId w:val="19"/>
  </w:num>
  <w:num w:numId="28">
    <w:abstractNumId w:val="6"/>
  </w:num>
  <w:num w:numId="29">
    <w:abstractNumId w:val="23"/>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54A60"/>
    <w:rsid w:val="03534BAA"/>
    <w:rsid w:val="05D9557C"/>
    <w:rsid w:val="05E30484"/>
    <w:rsid w:val="06354744"/>
    <w:rsid w:val="069A11EF"/>
    <w:rsid w:val="0AC94315"/>
    <w:rsid w:val="0B4A7480"/>
    <w:rsid w:val="0BF82C31"/>
    <w:rsid w:val="0C34370F"/>
    <w:rsid w:val="0EAB6F06"/>
    <w:rsid w:val="1109172B"/>
    <w:rsid w:val="122F579B"/>
    <w:rsid w:val="13B24742"/>
    <w:rsid w:val="14C83B58"/>
    <w:rsid w:val="15B04827"/>
    <w:rsid w:val="196A2245"/>
    <w:rsid w:val="1AC04507"/>
    <w:rsid w:val="1B477AD1"/>
    <w:rsid w:val="1B7B4DFF"/>
    <w:rsid w:val="1D675F21"/>
    <w:rsid w:val="1E3B1FCF"/>
    <w:rsid w:val="20055691"/>
    <w:rsid w:val="21A727D4"/>
    <w:rsid w:val="21CE024A"/>
    <w:rsid w:val="23B504BE"/>
    <w:rsid w:val="25686A31"/>
    <w:rsid w:val="26A149EF"/>
    <w:rsid w:val="27E019C4"/>
    <w:rsid w:val="28BB59BB"/>
    <w:rsid w:val="2D4732AD"/>
    <w:rsid w:val="2EBA5289"/>
    <w:rsid w:val="2F9F708B"/>
    <w:rsid w:val="308C7134"/>
    <w:rsid w:val="36FC4CA4"/>
    <w:rsid w:val="379D0358"/>
    <w:rsid w:val="3C747014"/>
    <w:rsid w:val="3E2C0DF6"/>
    <w:rsid w:val="3F9B5A43"/>
    <w:rsid w:val="42DB6BFA"/>
    <w:rsid w:val="431A795E"/>
    <w:rsid w:val="444C119A"/>
    <w:rsid w:val="46441D9E"/>
    <w:rsid w:val="496D315D"/>
    <w:rsid w:val="4A981B3B"/>
    <w:rsid w:val="4BF4712C"/>
    <w:rsid w:val="4D82595F"/>
    <w:rsid w:val="51F167CE"/>
    <w:rsid w:val="524943F2"/>
    <w:rsid w:val="528563AE"/>
    <w:rsid w:val="56E51AC8"/>
    <w:rsid w:val="596E1623"/>
    <w:rsid w:val="59AD307A"/>
    <w:rsid w:val="5A812F96"/>
    <w:rsid w:val="5D68667F"/>
    <w:rsid w:val="61E6713E"/>
    <w:rsid w:val="62475280"/>
    <w:rsid w:val="6BED2067"/>
    <w:rsid w:val="6CD16F99"/>
    <w:rsid w:val="6CE40083"/>
    <w:rsid w:val="6DF20A55"/>
    <w:rsid w:val="6E511637"/>
    <w:rsid w:val="6F6D42C6"/>
    <w:rsid w:val="7671081D"/>
    <w:rsid w:val="76941371"/>
    <w:rsid w:val="78F55738"/>
    <w:rsid w:val="7B242713"/>
    <w:rsid w:val="7B8539A3"/>
    <w:rsid w:val="7B9836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0"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1"/>
    <w:pPr>
      <w:ind w:left="480" w:hanging="360"/>
      <w:outlineLvl w:val="1"/>
    </w:pPr>
    <w:rPr>
      <w:rFonts w:ascii="Times New Roman" w:hAnsi="Times New Roman" w:eastAsia="Times New Roman" w:cs="Times New Roman"/>
      <w:b/>
      <w:bCs/>
      <w:sz w:val="24"/>
      <w:szCs w:val="24"/>
      <w:lang w:val="pt-PT" w:eastAsia="en-US" w:bidi="ar-SA"/>
    </w:rPr>
  </w:style>
  <w:style w:type="paragraph" w:styleId="3">
    <w:name w:val="heading 3"/>
    <w:basedOn w:val="1"/>
    <w:next w:val="1"/>
    <w:qFormat/>
    <w:uiPriority w:val="0"/>
    <w:pPr>
      <w:keepNext/>
      <w:numPr>
        <w:ilvl w:val="2"/>
        <w:numId w:val="1"/>
      </w:numPr>
      <w:jc w:val="both"/>
      <w:outlineLvl w:val="2"/>
    </w:pPr>
    <w:rPr>
      <w:rFonts w:ascii="Arial" w:hAnsi="Arial" w:eastAsia="Times New Roman" w:cs="Arial"/>
      <w:b/>
      <w:i/>
      <w:sz w:val="24"/>
      <w:szCs w:val="20"/>
    </w:rPr>
  </w:style>
  <w:style w:type="paragraph" w:styleId="4">
    <w:name w:val="heading 4"/>
    <w:basedOn w:val="1"/>
    <w:next w:val="1"/>
    <w:qFormat/>
    <w:uiPriority w:val="0"/>
    <w:pPr>
      <w:keepNext/>
      <w:numPr>
        <w:ilvl w:val="3"/>
        <w:numId w:val="1"/>
      </w:numPr>
      <w:jc w:val="both"/>
      <w:outlineLvl w:val="3"/>
    </w:pPr>
    <w:rPr>
      <w:rFonts w:ascii="Arial" w:hAnsi="Arial" w:eastAsia="Times New Roman" w:cs="Arial"/>
      <w:b/>
      <w:sz w:val="24"/>
      <w:szCs w:val="20"/>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Hyperlink"/>
    <w:basedOn w:val="5"/>
    <w:qFormat/>
    <w:uiPriority w:val="0"/>
    <w:rPr>
      <w:color w:val="0000FF"/>
      <w:u w:val="single"/>
    </w:rPr>
  </w:style>
  <w:style w:type="paragraph" w:styleId="8">
    <w:name w:val="Body Text"/>
    <w:basedOn w:val="1"/>
    <w:qFormat/>
    <w:uiPriority w:val="1"/>
    <w:rPr>
      <w:rFonts w:ascii="Times New Roman" w:hAnsi="Times New Roman" w:eastAsia="Times New Roman" w:cs="Times New Roman"/>
      <w:sz w:val="24"/>
      <w:szCs w:val="24"/>
      <w:lang w:val="pt-PT" w:eastAsia="en-US" w:bidi="ar-SA"/>
    </w:rPr>
  </w:style>
  <w:style w:type="paragraph" w:styleId="9">
    <w:name w:val="header"/>
    <w:basedOn w:val="1"/>
    <w:qFormat/>
    <w:uiPriority w:val="0"/>
    <w:pPr>
      <w:tabs>
        <w:tab w:val="center" w:pos="4252"/>
        <w:tab w:val="right" w:pos="8504"/>
      </w:tabs>
    </w:pPr>
  </w:style>
  <w:style w:type="paragraph" w:styleId="10">
    <w:name w:val="footer"/>
    <w:basedOn w:val="1"/>
    <w:qFormat/>
    <w:uiPriority w:val="0"/>
    <w:pPr>
      <w:tabs>
        <w:tab w:val="center" w:pos="4252"/>
        <w:tab w:val="right" w:pos="8504"/>
      </w:tabs>
    </w:pPr>
  </w:style>
  <w:style w:type="table" w:styleId="11">
    <w:name w:val="Table Grid"/>
    <w:basedOn w:val="6"/>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2">
    <w:name w:val="List Paragraph"/>
    <w:basedOn w:val="1"/>
    <w:qFormat/>
    <w:uiPriority w:val="0"/>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17</TotalTime>
  <ScaleCrop>false</ScaleCrop>
  <LinksUpToDate>false</LinksUpToDate>
  <CharactersWithSpaces>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2024-02-14T16:29:00Z</dcterms:created>
  <dc:creator>juliana.ribeiro</dc:creator>
  <cp:lastModifiedBy>fabricio.jesus</cp:lastModifiedBy>
  <cp:lastPrinted>2024-08-20T19:04:00Z</cp:lastPrinted>
  <dcterms:modified xsi:type="dcterms:W3CDTF">2025-02-11T18:30:17Z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3906488A73B0490B96773F2F9AC14DD5_13</vt:lpwstr>
  </property>
</Properties>
</file>