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EA0536">
      <w:pPr>
        <w:jc w:val="both"/>
        <w:rPr>
          <w:rFonts w:hint="default" w:ascii="Arial" w:hAnsi="Arial" w:eastAsia="SimSun" w:cs="Arial"/>
          <w:sz w:val="22"/>
          <w:szCs w:val="22"/>
        </w:rPr>
      </w:pPr>
    </w:p>
    <w:p w14:paraId="495D1FCC">
      <w:pPr>
        <w:jc w:val="both"/>
        <w:rPr>
          <w:rFonts w:hint="default" w:ascii="Arial" w:hAnsi="Arial" w:eastAsia="SimSun" w:cs="Arial"/>
          <w:sz w:val="22"/>
          <w:szCs w:val="22"/>
        </w:rPr>
      </w:pPr>
    </w:p>
    <w:p w14:paraId="2AD6A60F">
      <w:pPr>
        <w:jc w:val="center"/>
        <w:rPr>
          <w:rFonts w:hint="default" w:ascii="Arial" w:hAnsi="Arial" w:cs="Arial"/>
          <w:b/>
          <w:bCs/>
          <w:sz w:val="28"/>
          <w:szCs w:val="28"/>
          <w:lang w:val="pt-BR"/>
        </w:rPr>
      </w:pPr>
      <w:r>
        <w:rPr>
          <w:rFonts w:hint="default" w:ascii="Arial" w:hAnsi="Arial" w:cs="Arial"/>
          <w:b/>
          <w:bCs/>
          <w:sz w:val="28"/>
          <w:szCs w:val="28"/>
        </w:rPr>
        <w:t>TERMO DE REFERÊNCIA</w:t>
      </w:r>
      <w:r>
        <w:rPr>
          <w:rFonts w:hint="default" w:ascii="Arial" w:hAnsi="Arial" w:cs="Arial"/>
          <w:b/>
          <w:bCs/>
          <w:sz w:val="28"/>
          <w:szCs w:val="28"/>
          <w:lang w:val="pt-BR"/>
        </w:rPr>
        <w:t xml:space="preserve"> N.º 027/2025</w:t>
      </w:r>
    </w:p>
    <w:p w14:paraId="1EF496EC">
      <w:pPr>
        <w:jc w:val="center"/>
        <w:rPr>
          <w:rFonts w:hint="default" w:ascii="Arial" w:hAnsi="Arial" w:cs="Arial"/>
          <w:b/>
          <w:bCs/>
          <w:sz w:val="22"/>
          <w:szCs w:val="22"/>
          <w:lang w:val="pt-BR"/>
        </w:rPr>
      </w:pPr>
    </w:p>
    <w:p w14:paraId="52480481">
      <w:pPr>
        <w:jc w:val="center"/>
        <w:rPr>
          <w:rFonts w:hint="default" w:ascii="Arial" w:hAnsi="Arial" w:cs="Arial"/>
          <w:b/>
          <w:bCs/>
          <w:sz w:val="22"/>
          <w:szCs w:val="22"/>
          <w:lang w:val="pt-BR"/>
        </w:rPr>
      </w:pPr>
    </w:p>
    <w:p w14:paraId="0604DE6C">
      <w:pPr>
        <w:jc w:val="center"/>
        <w:rPr>
          <w:rFonts w:hint="default" w:ascii="Arial" w:hAnsi="Arial" w:cs="Arial"/>
          <w:b/>
          <w:bCs/>
          <w:sz w:val="22"/>
          <w:szCs w:val="22"/>
          <w:lang w:val="pt-BR"/>
        </w:rPr>
      </w:pPr>
    </w:p>
    <w:p w14:paraId="19CE7903">
      <w:pPr>
        <w:jc w:val="center"/>
        <w:rPr>
          <w:rFonts w:hint="default" w:ascii="Arial" w:hAnsi="Arial" w:cs="Arial"/>
          <w:b/>
          <w:bCs/>
          <w:sz w:val="22"/>
          <w:szCs w:val="22"/>
          <w:lang w:val="pt-BR"/>
        </w:rPr>
      </w:pPr>
    </w:p>
    <w:p w14:paraId="68B14CDC">
      <w:pPr>
        <w:pStyle w:val="16"/>
        <w:numPr>
          <w:ilvl w:val="0"/>
          <w:numId w:val="2"/>
        </w:numPr>
        <w:spacing w:before="240" w:after="240"/>
        <w:ind w:left="0" w:firstLine="0"/>
        <w:contextualSpacing w:val="0"/>
        <w:jc w:val="both"/>
        <w:rPr>
          <w:rFonts w:hint="default" w:ascii="Arial" w:hAnsi="Arial" w:cs="Arial"/>
          <w:b/>
          <w:bCs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>IDENTIFICAÇÃO DO ÓRGÃO DEMANDANTE</w:t>
      </w:r>
    </w:p>
    <w:p w14:paraId="74DE8330">
      <w:pPr>
        <w:pStyle w:val="12"/>
        <w:spacing w:before="240" w:beforeAutospacing="0" w:after="240" w:afterAutospacing="0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Style w:val="8"/>
          <w:rFonts w:hint="default" w:ascii="Arial" w:hAnsi="Arial" w:cs="Arial"/>
          <w:sz w:val="22"/>
          <w:szCs w:val="22"/>
          <w:lang w:val="pt-BR"/>
        </w:rPr>
        <w:t>Unidade Requisitante:</w:t>
      </w:r>
      <w:r>
        <w:rPr>
          <w:rFonts w:hint="default" w:ascii="Arial" w:hAnsi="Arial" w:cs="Arial"/>
          <w:sz w:val="22"/>
          <w:szCs w:val="22"/>
          <w:lang w:val="pt-BR"/>
        </w:rPr>
        <w:t xml:space="preserve"> Instituto de Previdência dos Servidores do Município de Guarapari/ES – IPG</w:t>
      </w:r>
      <w:r>
        <w:rPr>
          <w:rFonts w:hint="default" w:ascii="Arial" w:hAnsi="Arial" w:cs="Arial"/>
          <w:sz w:val="22"/>
          <w:szCs w:val="22"/>
          <w:lang w:val="pt-BR"/>
        </w:rPr>
        <w:br w:type="textWrapping"/>
      </w:r>
      <w:r>
        <w:rPr>
          <w:rStyle w:val="8"/>
          <w:rFonts w:hint="default" w:ascii="Arial" w:hAnsi="Arial" w:cs="Arial"/>
          <w:sz w:val="22"/>
          <w:szCs w:val="22"/>
          <w:lang w:val="pt-BR"/>
        </w:rPr>
        <w:t>Setor Solicitante:</w:t>
      </w:r>
      <w:r>
        <w:rPr>
          <w:rFonts w:hint="default" w:ascii="Arial" w:hAnsi="Arial" w:cs="Arial"/>
          <w:sz w:val="22"/>
          <w:szCs w:val="22"/>
          <w:lang w:val="pt-BR"/>
        </w:rPr>
        <w:t xml:space="preserve"> Departamento Administrativo e Financeiro</w:t>
      </w:r>
    </w:p>
    <w:p w14:paraId="4758525F">
      <w:pPr>
        <w:pStyle w:val="16"/>
        <w:numPr>
          <w:ilvl w:val="0"/>
          <w:numId w:val="2"/>
        </w:numPr>
        <w:spacing w:before="240" w:after="240"/>
        <w:ind w:left="0" w:firstLine="0"/>
        <w:contextualSpacing w:val="0"/>
        <w:jc w:val="both"/>
        <w:rPr>
          <w:rFonts w:hint="default" w:ascii="Arial" w:hAnsi="Arial" w:cs="Arial"/>
          <w:b/>
          <w:bCs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>OBJETO</w:t>
      </w:r>
    </w:p>
    <w:p w14:paraId="338DAA5A">
      <w:pPr>
        <w:spacing w:before="240" w:after="24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O presente Termo de Referência visa à </w:t>
      </w:r>
      <w:r>
        <w:rPr>
          <w:rFonts w:hint="default" w:ascii="Arial" w:hAnsi="Arial" w:cs="Arial"/>
          <w:b/>
          <w:bCs/>
          <w:sz w:val="22"/>
          <w:szCs w:val="22"/>
        </w:rPr>
        <w:t>contratação direta, com fundamento na hipótese de inexigibilidade de licitação prevista no art. 74, inciso III, alínea “f”, da Lei Federal nº 14.133/2021</w:t>
      </w:r>
      <w:r>
        <w:rPr>
          <w:rFonts w:hint="default" w:ascii="Arial" w:hAnsi="Arial" w:cs="Arial"/>
          <w:sz w:val="22"/>
          <w:szCs w:val="22"/>
        </w:rPr>
        <w:t xml:space="preserve">, para aquisição de 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05</w:t>
      </w:r>
      <w:r>
        <w:rPr>
          <w:rFonts w:hint="default" w:ascii="Arial" w:hAnsi="Arial" w:cs="Arial"/>
          <w:b/>
          <w:bCs/>
          <w:sz w:val="22"/>
          <w:szCs w:val="22"/>
        </w:rPr>
        <w:t xml:space="preserve"> (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cinco</w:t>
      </w:r>
      <w:r>
        <w:rPr>
          <w:rFonts w:hint="default" w:ascii="Arial" w:hAnsi="Arial" w:cs="Arial"/>
          <w:b/>
          <w:bCs/>
          <w:sz w:val="22"/>
          <w:szCs w:val="22"/>
        </w:rPr>
        <w:t xml:space="preserve">) inscrições no 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23º Congresso Previdenciário APEPREV</w:t>
      </w:r>
      <w:r>
        <w:rPr>
          <w:rFonts w:hint="default" w:ascii="Arial" w:hAnsi="Arial" w:cs="Arial"/>
          <w:b/>
          <w:bCs/>
          <w:sz w:val="22"/>
          <w:szCs w:val="22"/>
        </w:rPr>
        <w:t>,</w:t>
      </w:r>
      <w:r>
        <w:rPr>
          <w:rFonts w:hint="default" w:ascii="Arial" w:hAnsi="Arial" w:cs="Arial"/>
          <w:sz w:val="22"/>
          <w:szCs w:val="22"/>
        </w:rPr>
        <w:t xml:space="preserve"> a ser realizado presencialmente nos dias 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 xml:space="preserve">10 a 12 de setembro </w:t>
      </w:r>
      <w:r>
        <w:rPr>
          <w:rFonts w:hint="default" w:ascii="Arial" w:hAnsi="Arial" w:cs="Arial"/>
          <w:b/>
          <w:bCs/>
          <w:sz w:val="22"/>
          <w:szCs w:val="22"/>
        </w:rPr>
        <w:t>de 2025,</w:t>
      </w:r>
      <w:r>
        <w:rPr>
          <w:rFonts w:hint="default" w:ascii="Arial" w:hAnsi="Arial" w:cs="Arial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em Foz do Iguaçu/PA</w:t>
      </w:r>
      <w:r>
        <w:rPr>
          <w:rFonts w:hint="default" w:ascii="Arial" w:hAnsi="Arial" w:cs="Arial"/>
          <w:sz w:val="22"/>
          <w:szCs w:val="22"/>
        </w:rPr>
        <w:t>.</w:t>
      </w:r>
      <w:r>
        <w:rPr>
          <w:rFonts w:hint="default" w:ascii="Arial" w:hAnsi="Arial" w:cs="Arial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</w:rPr>
        <w:t xml:space="preserve">Segue a relação dos servidores: </w:t>
      </w:r>
    </w:p>
    <w:p w14:paraId="7FC8873E">
      <w:pPr>
        <w:pStyle w:val="11"/>
        <w:numPr>
          <w:ilvl w:val="0"/>
          <w:numId w:val="3"/>
        </w:numPr>
        <w:ind w:left="357" w:right="74" w:hanging="357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  <w:lang w:val="pt-BR"/>
        </w:rPr>
        <w:t>Riane Lima Dantas</w:t>
      </w:r>
    </w:p>
    <w:p w14:paraId="27057613">
      <w:pPr>
        <w:pStyle w:val="11"/>
        <w:numPr>
          <w:ilvl w:val="0"/>
          <w:numId w:val="3"/>
        </w:numPr>
        <w:ind w:left="357" w:right="74" w:hanging="357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  <w:lang w:val="pt-BR"/>
        </w:rPr>
        <w:t>Marleno Medeiros de Oliveira</w:t>
      </w:r>
      <w:r>
        <w:rPr>
          <w:rFonts w:hint="default" w:ascii="Arial" w:hAnsi="Arial" w:cs="Arial"/>
          <w:sz w:val="22"/>
          <w:szCs w:val="22"/>
        </w:rPr>
        <w:t>;</w:t>
      </w:r>
    </w:p>
    <w:p w14:paraId="559EC3FD">
      <w:pPr>
        <w:pStyle w:val="11"/>
        <w:numPr>
          <w:ilvl w:val="0"/>
          <w:numId w:val="3"/>
        </w:numPr>
        <w:ind w:left="357" w:right="74" w:hanging="357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José Augusto Ferreira de Carvalho</w:t>
      </w:r>
      <w:r>
        <w:rPr>
          <w:rFonts w:hint="default" w:ascii="Arial" w:hAnsi="Arial" w:cs="Arial"/>
          <w:sz w:val="22"/>
          <w:szCs w:val="22"/>
        </w:rPr>
        <w:t>;</w:t>
      </w:r>
    </w:p>
    <w:p w14:paraId="6358538F">
      <w:pPr>
        <w:pStyle w:val="11"/>
        <w:numPr>
          <w:ilvl w:val="0"/>
          <w:numId w:val="3"/>
        </w:numPr>
        <w:ind w:left="357" w:right="74" w:hanging="357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Ludmilla de Paula Coutinho</w:t>
      </w:r>
      <w:r>
        <w:rPr>
          <w:rFonts w:hint="default" w:ascii="Arial" w:hAnsi="Arial" w:cs="Arial"/>
          <w:sz w:val="22"/>
          <w:szCs w:val="22"/>
        </w:rPr>
        <w:t>;</w:t>
      </w:r>
    </w:p>
    <w:p w14:paraId="3DBB6C06">
      <w:pPr>
        <w:pStyle w:val="11"/>
        <w:numPr>
          <w:ilvl w:val="0"/>
          <w:numId w:val="3"/>
        </w:numPr>
        <w:ind w:left="357" w:right="74" w:hanging="357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Luana Peçanha Simões Muniz.</w:t>
      </w:r>
    </w:p>
    <w:p w14:paraId="61A61314">
      <w:pPr>
        <w:pStyle w:val="2"/>
        <w:numPr>
          <w:ilvl w:val="0"/>
          <w:numId w:val="2"/>
        </w:numPr>
        <w:spacing w:before="240" w:after="240"/>
        <w:ind w:left="0" w:firstLine="0"/>
        <w:jc w:val="both"/>
        <w:rPr>
          <w:rFonts w:hint="default" w:ascii="Arial" w:hAnsi="Arial" w:eastAsia="SimSun"/>
          <w:sz w:val="24"/>
          <w:szCs w:val="24"/>
        </w:rPr>
      </w:pPr>
      <w:r>
        <w:rPr>
          <w:rFonts w:hint="default" w:ascii="Arial" w:hAnsi="Arial" w:cs="Arial"/>
          <w:sz w:val="22"/>
          <w:szCs w:val="22"/>
          <w:lang w:val="pt-BR"/>
        </w:rPr>
        <w:t>JUSTIFICATIVA DA CONTRATAÇÃO</w:t>
      </w:r>
    </w:p>
    <w:p w14:paraId="1110C4A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240" w:lineRule="auto"/>
        <w:ind w:leftChars="0"/>
        <w:jc w:val="both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  <w:lang w:val="pt-BR"/>
        </w:rPr>
        <w:t>A</w:t>
      </w:r>
      <w:r>
        <w:rPr>
          <w:rFonts w:hint="default" w:ascii="Arial" w:hAnsi="Arial" w:cs="Arial"/>
          <w:sz w:val="22"/>
          <w:szCs w:val="22"/>
        </w:rPr>
        <w:t xml:space="preserve"> contratação justifica-se pela necessidade de aperfeiçoamento constante dos </w:t>
      </w:r>
      <w:r>
        <w:rPr>
          <w:rFonts w:hint="default" w:ascii="Arial" w:hAnsi="Arial" w:cs="Arial"/>
          <w:sz w:val="22"/>
          <w:szCs w:val="22"/>
          <w:lang w:val="pt-BR"/>
        </w:rPr>
        <w:t>servidores e conselheiros</w:t>
      </w:r>
      <w:r>
        <w:rPr>
          <w:rFonts w:hint="default" w:ascii="Arial" w:hAnsi="Arial" w:cs="Arial"/>
          <w:sz w:val="22"/>
          <w:szCs w:val="22"/>
        </w:rPr>
        <w:t xml:space="preserve"> </w:t>
      </w:r>
      <w:r>
        <w:rPr>
          <w:rFonts w:hint="default" w:ascii="Arial" w:hAnsi="Arial" w:cs="Arial"/>
          <w:spacing w:val="-7"/>
          <w:sz w:val="22"/>
          <w:szCs w:val="22"/>
        </w:rPr>
        <w:t xml:space="preserve">em </w:t>
      </w:r>
      <w:r>
        <w:rPr>
          <w:rFonts w:hint="default" w:ascii="Arial" w:hAnsi="Arial" w:cs="Arial"/>
          <w:sz w:val="22"/>
          <w:szCs w:val="22"/>
        </w:rPr>
        <w:t xml:space="preserve">suas áreas de atuação. Além disso, </w:t>
      </w:r>
      <w:r>
        <w:rPr>
          <w:rFonts w:hint="default" w:ascii="Arial" w:hAnsi="Arial" w:cs="Arial"/>
          <w:sz w:val="22"/>
          <w:szCs w:val="22"/>
          <w:lang w:val="pt-BR"/>
        </w:rPr>
        <w:t xml:space="preserve">são discutidos </w:t>
      </w:r>
      <w:r>
        <w:rPr>
          <w:rFonts w:hint="default" w:ascii="Arial" w:hAnsi="Arial" w:cs="Arial"/>
          <w:sz w:val="22"/>
          <w:szCs w:val="22"/>
        </w:rPr>
        <w:t>importantes temas relacionados à atuação destes Agentes Públicos dentro</w:t>
      </w:r>
      <w:r>
        <w:rPr>
          <w:rFonts w:hint="default" w:ascii="Arial" w:hAnsi="Arial" w:cs="Arial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</w:rPr>
        <w:t>d</w:t>
      </w:r>
      <w:r>
        <w:rPr>
          <w:rFonts w:hint="default" w:ascii="Arial" w:hAnsi="Arial" w:cs="Arial"/>
          <w:sz w:val="22"/>
          <w:szCs w:val="22"/>
          <w:lang w:val="pt-BR"/>
        </w:rPr>
        <w:t>o RPPS</w:t>
      </w:r>
      <w:r>
        <w:rPr>
          <w:rFonts w:hint="default" w:ascii="Arial" w:hAnsi="Arial" w:cs="Arial"/>
          <w:sz w:val="22"/>
          <w:szCs w:val="22"/>
        </w:rPr>
        <w:t>.</w:t>
      </w:r>
    </w:p>
    <w:p w14:paraId="5039844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240" w:lineRule="auto"/>
        <w:ind w:leftChars="0"/>
        <w:jc w:val="both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  <w:lang w:val="pt-BR"/>
        </w:rPr>
        <w:t xml:space="preserve">Os servidores e os membros do conselho do 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IPG</w:t>
      </w:r>
      <w:r>
        <w:rPr>
          <w:rFonts w:hint="default" w:ascii="Arial" w:hAnsi="Arial" w:cs="Arial"/>
          <w:b/>
          <w:bCs/>
          <w:sz w:val="22"/>
          <w:szCs w:val="22"/>
        </w:rPr>
        <w:t>,</w:t>
      </w:r>
      <w:r>
        <w:rPr>
          <w:rFonts w:hint="default" w:ascii="Arial" w:hAnsi="Arial" w:cs="Arial"/>
          <w:sz w:val="22"/>
          <w:szCs w:val="22"/>
        </w:rPr>
        <w:t xml:space="preserve"> na realização de suas atividades, precisam visar, precipuamente, a satisfação dos anseios sociais, sendo que seus atos carregam uma forte responsabilidade, por refletirem diretamente no dia a dia do cidadão </w:t>
      </w:r>
      <w:r>
        <w:rPr>
          <w:rFonts w:hint="default" w:ascii="Arial" w:hAnsi="Arial" w:cs="Arial"/>
          <w:sz w:val="22"/>
          <w:szCs w:val="22"/>
          <w:lang w:val="pt-BR"/>
        </w:rPr>
        <w:t>guarapariense</w:t>
      </w:r>
      <w:r>
        <w:rPr>
          <w:rFonts w:hint="default" w:ascii="Arial" w:hAnsi="Arial" w:cs="Arial"/>
          <w:sz w:val="22"/>
          <w:szCs w:val="22"/>
        </w:rPr>
        <w:t xml:space="preserve">. </w:t>
      </w:r>
    </w:p>
    <w:p w14:paraId="4A29E5E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240" w:lineRule="auto"/>
        <w:ind w:leftChars="0"/>
        <w:jc w:val="both"/>
        <w:textAlignment w:val="auto"/>
        <w:rPr>
          <w:rFonts w:hint="default" w:ascii="Arial" w:hAnsi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</w:rPr>
        <w:t xml:space="preserve">Por este motivo, o 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23</w:t>
      </w:r>
      <w:r>
        <w:rPr>
          <w:rFonts w:hint="default" w:ascii="Arial" w:hAnsi="Arial" w:eastAsia="SimSun" w:cs="Arial"/>
          <w:b/>
          <w:bCs/>
          <w:i w:val="0"/>
          <w:caps w:val="0"/>
          <w:color w:val="000000"/>
          <w:spacing w:val="0"/>
          <w:sz w:val="22"/>
          <w:szCs w:val="22"/>
        </w:rPr>
        <w:t xml:space="preserve">º </w:t>
      </w:r>
      <w:r>
        <w:rPr>
          <w:rFonts w:hint="default" w:ascii="Arial" w:hAnsi="Arial" w:eastAsia="SimSun"/>
          <w:b/>
          <w:bCs/>
          <w:i w:val="0"/>
          <w:caps w:val="0"/>
          <w:color w:val="000000"/>
          <w:spacing w:val="0"/>
          <w:sz w:val="22"/>
          <w:szCs w:val="22"/>
          <w:lang w:val="pt-BR"/>
        </w:rPr>
        <w:t>Congresso Previdenciário realizado pela APEPREV</w:t>
      </w:r>
      <w:r>
        <w:rPr>
          <w:rFonts w:ascii="Arial" w:hAnsi="Arial" w:eastAsia="SimSun" w:cs="Arial"/>
          <w:b/>
          <w:bCs/>
          <w:i w:val="0"/>
          <w:caps w:val="0"/>
          <w:color w:val="000000"/>
          <w:spacing w:val="0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é</w:t>
      </w:r>
      <w:r>
        <w:rPr>
          <w:rFonts w:hint="default" w:ascii="Arial" w:hAnsi="Arial" w:cs="Arial"/>
          <w:sz w:val="22"/>
          <w:szCs w:val="22"/>
        </w:rPr>
        <w:t xml:space="preserve"> preparado para </w:t>
      </w:r>
      <w:r>
        <w:rPr>
          <w:rFonts w:hint="default" w:ascii="Arial" w:hAnsi="Arial" w:cs="Arial"/>
          <w:sz w:val="22"/>
          <w:szCs w:val="22"/>
          <w:lang w:val="pt-BR"/>
        </w:rPr>
        <w:t>o</w:t>
      </w:r>
      <w:r>
        <w:rPr>
          <w:rFonts w:hint="default" w:ascii="Arial" w:hAnsi="Arial"/>
          <w:sz w:val="22"/>
          <w:szCs w:val="22"/>
          <w:lang w:val="pt-BR"/>
        </w:rPr>
        <w:t>portunizar atividades de capacitação técnico-profissional, por meio de debates, palestras e rodas de conversas sobre temas atuais da agenda previdenciária nacional, bem como possibilitar integração e troca de experiências entre os diversos servidores e representantes de RPPS.</w:t>
      </w:r>
    </w:p>
    <w:p w14:paraId="147B1FB6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240" w:lineRule="auto"/>
        <w:ind w:leftChars="0"/>
        <w:jc w:val="both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Ademais, não se pode questionar que a capacitação dos </w:t>
      </w:r>
      <w:r>
        <w:rPr>
          <w:rFonts w:hint="default" w:ascii="Arial" w:hAnsi="Arial" w:cs="Arial"/>
          <w:sz w:val="22"/>
          <w:szCs w:val="22"/>
          <w:lang w:val="pt-BR"/>
        </w:rPr>
        <w:t>servidores do IPG, membros do conselho</w:t>
      </w:r>
      <w:r>
        <w:rPr>
          <w:rFonts w:hint="default" w:ascii="Arial" w:hAnsi="Arial" w:cs="Arial"/>
          <w:sz w:val="22"/>
          <w:szCs w:val="22"/>
        </w:rPr>
        <w:t>, por meio da participação nos Congressos</w:t>
      </w:r>
      <w:r>
        <w:rPr>
          <w:rFonts w:hint="default" w:ascii="Arial" w:hAnsi="Arial" w:cs="Arial"/>
          <w:sz w:val="22"/>
          <w:szCs w:val="22"/>
          <w:lang w:val="pt-BR"/>
        </w:rPr>
        <w:t xml:space="preserve"> e/ou Seminários</w:t>
      </w:r>
      <w:r>
        <w:rPr>
          <w:rFonts w:hint="default" w:ascii="Arial" w:hAnsi="Arial" w:cs="Arial"/>
          <w:sz w:val="22"/>
          <w:szCs w:val="22"/>
        </w:rPr>
        <w:t>, possui natureza singular.</w:t>
      </w:r>
    </w:p>
    <w:p w14:paraId="6D5D84C4">
      <w:pPr>
        <w:pStyle w:val="11"/>
        <w:spacing w:before="240" w:after="240"/>
        <w:ind w:right="79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Ora, a periodicidade anual do evento, com a presença de profissionais com onisciente conhecimento em suas áreas de atuação, demonstram flagrantemente o seu gabarito, e </w:t>
      </w:r>
      <w:r>
        <w:rPr>
          <w:rFonts w:hint="default" w:ascii="Arial" w:hAnsi="Arial" w:cs="Arial"/>
          <w:spacing w:val="-3"/>
          <w:sz w:val="22"/>
          <w:szCs w:val="22"/>
        </w:rPr>
        <w:t xml:space="preserve">tornam </w:t>
      </w:r>
      <w:r>
        <w:rPr>
          <w:rFonts w:hint="default" w:ascii="Arial" w:hAnsi="Arial" w:cs="Arial"/>
          <w:sz w:val="22"/>
          <w:szCs w:val="22"/>
        </w:rPr>
        <w:t xml:space="preserve">imprescindível a participação de </w:t>
      </w:r>
      <w:r>
        <w:rPr>
          <w:rFonts w:hint="default" w:ascii="Arial" w:hAnsi="Arial" w:cs="Arial"/>
          <w:sz w:val="22"/>
          <w:szCs w:val="22"/>
          <w:lang w:val="pt-BR"/>
        </w:rPr>
        <w:t>servidores e conselheiros do Município de Guarapari/ES</w:t>
      </w:r>
      <w:r>
        <w:rPr>
          <w:rFonts w:hint="default" w:ascii="Arial" w:hAnsi="Arial" w:cs="Arial"/>
          <w:sz w:val="22"/>
          <w:szCs w:val="22"/>
        </w:rPr>
        <w:t xml:space="preserve">. </w:t>
      </w:r>
    </w:p>
    <w:p w14:paraId="1C5AE850">
      <w:pPr>
        <w:pStyle w:val="16"/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spacing w:before="240" w:after="240"/>
        <w:ind w:left="0" w:firstLine="0"/>
        <w:contextualSpacing w:val="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eastAsia="Arial" w:cs="Arial"/>
          <w:b/>
          <w:bCs/>
          <w:color w:val="040C28"/>
          <w:sz w:val="22"/>
          <w:szCs w:val="22"/>
        </w:rPr>
        <w:t>FUNDAMENTO LEGAL DA INEXIGIBILIDADE</w:t>
      </w:r>
    </w:p>
    <w:p w14:paraId="0CCDFD10">
      <w:pPr>
        <w:spacing w:before="240" w:after="24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sz w:val="22"/>
          <w:szCs w:val="22"/>
          <w:lang w:eastAsia="pt-BR"/>
        </w:rPr>
        <w:t>A contratação pretendida enquadra-se na hipótese legal de inexigibilidade de licitação, conforme art. 74, inciso III, alínea “f”, da Lei nº 14.133/2021, que assim estabelece:</w:t>
      </w:r>
    </w:p>
    <w:p w14:paraId="5571FF37">
      <w:pPr>
        <w:tabs>
          <w:tab w:val="left" w:pos="8800"/>
        </w:tabs>
        <w:spacing w:before="240" w:after="240"/>
        <w:ind w:left="2800" w:leftChars="0" w:right="0" w:rightChars="0" w:firstLine="0" w:firstLineChars="0"/>
        <w:jc w:val="both"/>
        <w:rPr>
          <w:rFonts w:hint="default" w:ascii="Arial" w:hAnsi="Arial" w:eastAsia="Times New Roman" w:cs="Arial"/>
          <w:sz w:val="18"/>
          <w:szCs w:val="18"/>
          <w:lang w:eastAsia="pt-BR"/>
        </w:rPr>
      </w:pPr>
      <w:r>
        <w:rPr>
          <w:rFonts w:hint="default" w:ascii="Arial" w:hAnsi="Arial" w:eastAsia="Times New Roman" w:cs="Arial"/>
          <w:sz w:val="18"/>
          <w:szCs w:val="18"/>
          <w:lang w:eastAsia="pt-BR"/>
        </w:rPr>
        <w:t>Art. 74. É inexigível a licitação quando inviável a competição, em especial nos casos de:</w:t>
      </w:r>
      <w:r>
        <w:rPr>
          <w:rFonts w:hint="default" w:ascii="Arial" w:hAnsi="Arial" w:eastAsia="Times New Roman" w:cs="Arial"/>
          <w:sz w:val="18"/>
          <w:szCs w:val="18"/>
          <w:lang w:eastAsia="pt-BR"/>
        </w:rPr>
        <w:br w:type="textWrapping"/>
      </w:r>
      <w:r>
        <w:rPr>
          <w:rFonts w:hint="default" w:ascii="Arial" w:hAnsi="Arial" w:eastAsia="Times New Roman" w:cs="Arial"/>
          <w:sz w:val="18"/>
          <w:szCs w:val="18"/>
          <w:lang w:eastAsia="pt-BR"/>
        </w:rPr>
        <w:t>(...)</w:t>
      </w:r>
      <w:r>
        <w:rPr>
          <w:rFonts w:hint="default" w:ascii="Arial" w:hAnsi="Arial" w:eastAsia="Times New Roman" w:cs="Arial"/>
          <w:sz w:val="18"/>
          <w:szCs w:val="18"/>
          <w:lang w:eastAsia="pt-BR"/>
        </w:rPr>
        <w:br w:type="textWrapping"/>
      </w:r>
      <w:r>
        <w:rPr>
          <w:rFonts w:hint="default" w:ascii="Arial" w:hAnsi="Arial" w:eastAsia="Times New Roman" w:cs="Arial"/>
          <w:sz w:val="18"/>
          <w:szCs w:val="18"/>
          <w:lang w:eastAsia="pt-BR"/>
        </w:rPr>
        <w:t>III – contratação dos seguintes serviços técnicos especializados de natureza predominantemente intelectual:</w:t>
      </w:r>
      <w:r>
        <w:rPr>
          <w:rFonts w:hint="default" w:ascii="Arial" w:hAnsi="Arial" w:eastAsia="Times New Roman" w:cs="Arial"/>
          <w:sz w:val="18"/>
          <w:szCs w:val="18"/>
          <w:lang w:eastAsia="pt-BR"/>
        </w:rPr>
        <w:br w:type="textWrapping"/>
      </w:r>
      <w:r>
        <w:rPr>
          <w:rFonts w:hint="default" w:ascii="Arial" w:hAnsi="Arial" w:eastAsia="Times New Roman" w:cs="Arial"/>
          <w:sz w:val="18"/>
          <w:szCs w:val="18"/>
          <w:lang w:eastAsia="pt-BR"/>
        </w:rPr>
        <w:t>(...)</w:t>
      </w:r>
      <w:r>
        <w:rPr>
          <w:rFonts w:hint="default" w:ascii="Arial" w:hAnsi="Arial" w:eastAsia="Times New Roman" w:cs="Arial"/>
          <w:sz w:val="18"/>
          <w:szCs w:val="18"/>
          <w:lang w:eastAsia="pt-BR"/>
        </w:rPr>
        <w:br w:type="textWrapping"/>
      </w:r>
      <w:r>
        <w:rPr>
          <w:rFonts w:hint="default" w:ascii="Arial" w:hAnsi="Arial" w:eastAsia="Times New Roman" w:cs="Arial"/>
          <w:sz w:val="18"/>
          <w:szCs w:val="18"/>
          <w:lang w:eastAsia="pt-BR"/>
        </w:rPr>
        <w:t>f) treinamento e aperfeiçoamento de pessoal, ministrados por pessoa física ou jurídica de notória especialização;</w:t>
      </w:r>
    </w:p>
    <w:p w14:paraId="7F3DACD8">
      <w:pPr>
        <w:pStyle w:val="16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Arial" w:hAnsi="Arial" w:eastAsia="SimSun" w:cs="Arial"/>
          <w:sz w:val="22"/>
          <w:szCs w:val="22"/>
        </w:rPr>
      </w:pPr>
      <w:r>
        <w:rPr>
          <w:rFonts w:hint="default" w:ascii="Arial" w:hAnsi="Arial" w:eastAsia="SimSun" w:cs="Arial"/>
          <w:b/>
          <w:bCs/>
          <w:sz w:val="22"/>
          <w:szCs w:val="22"/>
          <w:lang w:val="pt-BR"/>
        </w:rPr>
        <w:t>J</w:t>
      </w:r>
      <w:r>
        <w:rPr>
          <w:rFonts w:hint="default" w:ascii="Arial" w:hAnsi="Arial" w:eastAsia="SimSun" w:cs="Arial"/>
          <w:b/>
          <w:bCs/>
          <w:sz w:val="22"/>
          <w:szCs w:val="22"/>
        </w:rPr>
        <w:t>USTIFICATIVA DO PREÇO</w:t>
      </w:r>
    </w:p>
    <w:p w14:paraId="133F14EE">
      <w:pPr>
        <w:spacing w:before="240" w:after="24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sz w:val="22"/>
          <w:szCs w:val="22"/>
          <w:lang w:eastAsia="pt-BR"/>
        </w:rPr>
        <w:t xml:space="preserve">O valor unitário da inscrição para participação presencial </w:t>
      </w:r>
      <w:r>
        <w:rPr>
          <w:rFonts w:hint="default" w:ascii="Arial" w:hAnsi="Arial" w:eastAsia="Times New Roman" w:cs="Arial"/>
          <w:sz w:val="22"/>
          <w:szCs w:val="22"/>
          <w:lang w:val="en-US" w:eastAsia="pt-BR"/>
        </w:rPr>
        <w:t xml:space="preserve">do curso </w:t>
      </w:r>
      <w:r>
        <w:rPr>
          <w:rFonts w:hint="default" w:ascii="Arial" w:hAnsi="Arial" w:eastAsia="Times New Roman" w:cs="Arial"/>
          <w:sz w:val="22"/>
          <w:szCs w:val="22"/>
          <w:lang w:eastAsia="pt-BR"/>
        </w:rPr>
        <w:t xml:space="preserve">é de R$ </w:t>
      </w:r>
      <w:r>
        <w:rPr>
          <w:rFonts w:hint="default" w:ascii="Arial" w:hAnsi="Arial" w:eastAsia="Times New Roman" w:cs="Arial"/>
          <w:sz w:val="22"/>
          <w:szCs w:val="22"/>
          <w:lang w:val="en-US" w:eastAsia="pt-BR"/>
        </w:rPr>
        <w:t xml:space="preserve">4.347,00 </w:t>
      </w:r>
      <w:r>
        <w:rPr>
          <w:rFonts w:hint="default" w:ascii="Arial" w:hAnsi="Arial" w:eastAsia="Times New Roman" w:cs="Arial"/>
          <w:sz w:val="22"/>
          <w:szCs w:val="22"/>
          <w:lang w:eastAsia="pt-BR"/>
        </w:rPr>
        <w:t>(</w:t>
      </w:r>
      <w:r>
        <w:rPr>
          <w:rFonts w:hint="default" w:ascii="Arial" w:hAnsi="Arial" w:eastAsia="Times New Roman" w:cs="Arial"/>
          <w:sz w:val="22"/>
          <w:szCs w:val="22"/>
          <w:lang w:val="en-US" w:eastAsia="pt-BR"/>
        </w:rPr>
        <w:t xml:space="preserve">quatro mil e trezentos e quarenta e sete </w:t>
      </w:r>
      <w:r>
        <w:rPr>
          <w:rFonts w:hint="default" w:ascii="Arial" w:hAnsi="Arial" w:eastAsia="Times New Roman" w:cs="Arial"/>
          <w:sz w:val="22"/>
          <w:szCs w:val="22"/>
          <w:lang w:eastAsia="pt-BR"/>
        </w:rPr>
        <w:t xml:space="preserve">reais), conforme tabela pública disponibilizada no site oficial </w:t>
      </w:r>
      <w:r>
        <w:rPr>
          <w:rFonts w:hint="default" w:ascii="Arial" w:hAnsi="Arial" w:eastAsia="Times New Roman" w:cs="Arial"/>
          <w:sz w:val="22"/>
          <w:szCs w:val="22"/>
          <w:lang w:val="en-US" w:eastAsia="pt-BR"/>
        </w:rPr>
        <w:t>da empresa contratada</w:t>
      </w:r>
      <w:r>
        <w:rPr>
          <w:rFonts w:hint="default" w:ascii="Arial" w:hAnsi="Arial" w:eastAsia="Times New Roman" w:cs="Arial"/>
          <w:sz w:val="22"/>
          <w:szCs w:val="22"/>
          <w:lang w:eastAsia="pt-BR"/>
        </w:rPr>
        <w:t>, praticando-se preço uniforme, padronizado e não sujeito à negociação individual.</w:t>
      </w:r>
    </w:p>
    <w:p w14:paraId="7612AF45">
      <w:pPr>
        <w:spacing w:before="240" w:after="24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sz w:val="22"/>
          <w:szCs w:val="22"/>
          <w:lang w:eastAsia="pt-BR"/>
        </w:rPr>
        <w:t>Composição do custo estimado:</w:t>
      </w:r>
    </w:p>
    <w:tbl>
      <w:tblPr>
        <w:tblStyle w:val="15"/>
        <w:tblW w:w="8738" w:type="dxa"/>
        <w:tblInd w:w="1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750"/>
        <w:gridCol w:w="2063"/>
        <w:gridCol w:w="800"/>
        <w:gridCol w:w="1237"/>
        <w:gridCol w:w="1513"/>
        <w:gridCol w:w="1650"/>
      </w:tblGrid>
      <w:tr w14:paraId="4B1A5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725" w:type="dxa"/>
            <w:shd w:val="clear" w:color="auto" w:fill="D7D7D7" w:themeFill="background1" w:themeFillShade="D8"/>
            <w:vAlign w:val="center"/>
          </w:tcPr>
          <w:p w14:paraId="28D8AE9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after="100" w:afterAutospacing="1"/>
              <w:jc w:val="center"/>
              <w:textAlignment w:val="auto"/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  <w:t>Item</w:t>
            </w:r>
          </w:p>
        </w:tc>
        <w:tc>
          <w:tcPr>
            <w:tcW w:w="2813" w:type="dxa"/>
            <w:gridSpan w:val="2"/>
            <w:shd w:val="clear" w:color="auto" w:fill="D7D7D7" w:themeFill="background1" w:themeFillShade="D8"/>
            <w:vAlign w:val="center"/>
          </w:tcPr>
          <w:p w14:paraId="3D6FBE7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after="100" w:afterAutospacing="1"/>
              <w:jc w:val="center"/>
              <w:textAlignment w:val="auto"/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  <w:t>Serviço</w:t>
            </w:r>
          </w:p>
        </w:tc>
        <w:tc>
          <w:tcPr>
            <w:tcW w:w="800" w:type="dxa"/>
            <w:shd w:val="clear" w:color="auto" w:fill="D7D7D7" w:themeFill="background1" w:themeFillShade="D8"/>
            <w:vAlign w:val="center"/>
          </w:tcPr>
          <w:p w14:paraId="524E1F1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after="100" w:afterAutospacing="1"/>
              <w:jc w:val="center"/>
              <w:textAlignment w:val="auto"/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  <w:t>Qtde.</w:t>
            </w:r>
          </w:p>
        </w:tc>
        <w:tc>
          <w:tcPr>
            <w:tcW w:w="1237" w:type="dxa"/>
            <w:shd w:val="clear" w:color="auto" w:fill="D7D7D7" w:themeFill="background1" w:themeFillShade="D8"/>
            <w:vAlign w:val="center"/>
          </w:tcPr>
          <w:p w14:paraId="56D70F3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after="100" w:afterAutospacing="1"/>
              <w:jc w:val="center"/>
              <w:textAlignment w:val="auto"/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  <w:t>Unid.</w:t>
            </w:r>
          </w:p>
        </w:tc>
        <w:tc>
          <w:tcPr>
            <w:tcW w:w="1513" w:type="dxa"/>
            <w:shd w:val="clear" w:color="auto" w:fill="D7D7D7" w:themeFill="background1" w:themeFillShade="D8"/>
            <w:vAlign w:val="center"/>
          </w:tcPr>
          <w:p w14:paraId="5A739C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after="100" w:afterAutospacing="1"/>
              <w:jc w:val="center"/>
              <w:textAlignment w:val="auto"/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  <w:t>Valor Unitário</w:t>
            </w:r>
          </w:p>
        </w:tc>
        <w:tc>
          <w:tcPr>
            <w:tcW w:w="1650" w:type="dxa"/>
            <w:shd w:val="clear" w:color="auto" w:fill="D7D7D7" w:themeFill="background1" w:themeFillShade="D8"/>
            <w:vAlign w:val="center"/>
          </w:tcPr>
          <w:p w14:paraId="5EF39BF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after="100" w:afterAutospacing="1"/>
              <w:jc w:val="center"/>
              <w:textAlignment w:val="auto"/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  <w:t>Valor Total</w:t>
            </w:r>
          </w:p>
        </w:tc>
      </w:tr>
      <w:tr w14:paraId="2C68F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725" w:type="dxa"/>
            <w:vAlign w:val="center"/>
          </w:tcPr>
          <w:p w14:paraId="2C91C57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after="100" w:afterAutospacing="1"/>
              <w:jc w:val="center"/>
              <w:textAlignment w:val="auto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  <w:t>01</w:t>
            </w:r>
          </w:p>
        </w:tc>
        <w:tc>
          <w:tcPr>
            <w:tcW w:w="2813" w:type="dxa"/>
            <w:gridSpan w:val="2"/>
            <w:vAlign w:val="center"/>
          </w:tcPr>
          <w:p w14:paraId="0A89C88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after="100" w:afterAutospacing="1"/>
              <w:jc w:val="both"/>
              <w:textAlignment w:val="auto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Inscrição com hospedagem para o 23º Congresso Previdenciário APEPREV</w:t>
            </w:r>
          </w:p>
        </w:tc>
        <w:tc>
          <w:tcPr>
            <w:tcW w:w="800" w:type="dxa"/>
            <w:vAlign w:val="center"/>
          </w:tcPr>
          <w:p w14:paraId="21A0CF9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after="100" w:afterAutospacing="1"/>
              <w:jc w:val="center"/>
              <w:textAlignment w:val="auto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05</w:t>
            </w:r>
          </w:p>
        </w:tc>
        <w:tc>
          <w:tcPr>
            <w:tcW w:w="1237" w:type="dxa"/>
            <w:vAlign w:val="center"/>
          </w:tcPr>
          <w:p w14:paraId="5433B88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after="100" w:afterAutospacing="1"/>
              <w:jc w:val="center"/>
              <w:textAlignment w:val="auto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Inscrições</w:t>
            </w:r>
          </w:p>
        </w:tc>
        <w:tc>
          <w:tcPr>
            <w:tcW w:w="1513" w:type="dxa"/>
            <w:vAlign w:val="center"/>
          </w:tcPr>
          <w:p w14:paraId="38F0EB6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after="100" w:afterAutospacing="1"/>
              <w:jc w:val="center"/>
              <w:textAlignment w:val="auto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R$ 2.935,00</w:t>
            </w:r>
          </w:p>
        </w:tc>
        <w:tc>
          <w:tcPr>
            <w:tcW w:w="1650" w:type="dxa"/>
            <w:vAlign w:val="center"/>
          </w:tcPr>
          <w:p w14:paraId="3250FC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after="100" w:afterAutospacing="1"/>
              <w:jc w:val="center"/>
              <w:textAlignment w:val="auto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R$ 14.675,00</w:t>
            </w:r>
          </w:p>
        </w:tc>
      </w:tr>
      <w:tr w14:paraId="1F654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1475" w:type="dxa"/>
            <w:gridSpan w:val="2"/>
            <w:shd w:val="clear" w:color="auto" w:fill="D7D7D7" w:themeFill="background1" w:themeFillShade="D8"/>
            <w:vAlign w:val="center"/>
          </w:tcPr>
          <w:p w14:paraId="2A6CF35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after="100" w:afterAutospacing="1"/>
              <w:jc w:val="both"/>
              <w:textAlignment w:val="auto"/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  <w:t>TOTAL:</w:t>
            </w:r>
          </w:p>
        </w:tc>
        <w:tc>
          <w:tcPr>
            <w:tcW w:w="7263" w:type="dxa"/>
            <w:gridSpan w:val="5"/>
            <w:shd w:val="clear" w:color="auto" w:fill="D7D7D7" w:themeFill="background1" w:themeFillShade="D8"/>
            <w:vAlign w:val="center"/>
          </w:tcPr>
          <w:p w14:paraId="1D8711F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after="100" w:afterAutospacing="1"/>
              <w:jc w:val="both"/>
              <w:textAlignment w:val="auto"/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  <w:t>R$ 14.675,00 (catorze mil e seiscentos e setenta e cinco reais)</w:t>
            </w:r>
          </w:p>
        </w:tc>
      </w:tr>
    </w:tbl>
    <w:p w14:paraId="07CBE91A">
      <w:pPr>
        <w:pStyle w:val="16"/>
        <w:ind w:left="0"/>
        <w:jc w:val="both"/>
        <w:rPr>
          <w:rFonts w:hint="default" w:ascii="Arial" w:hAnsi="Arial" w:eastAsia="SimSun" w:cs="Arial"/>
          <w:sz w:val="22"/>
          <w:szCs w:val="22"/>
        </w:rPr>
      </w:pPr>
    </w:p>
    <w:p w14:paraId="35C01EE5">
      <w:pPr>
        <w:pStyle w:val="16"/>
        <w:ind w:left="0"/>
        <w:jc w:val="both"/>
        <w:rPr>
          <w:rFonts w:hint="default" w:ascii="Arial" w:hAnsi="Arial" w:eastAsia="SimSun" w:cs="Arial"/>
          <w:sz w:val="22"/>
          <w:szCs w:val="22"/>
        </w:rPr>
      </w:pPr>
      <w:r>
        <w:rPr>
          <w:rFonts w:hint="default" w:ascii="Arial" w:hAnsi="Arial" w:eastAsia="SimSun" w:cs="Arial"/>
          <w:sz w:val="22"/>
          <w:szCs w:val="22"/>
        </w:rPr>
        <w:t xml:space="preserve"> </w:t>
      </w:r>
    </w:p>
    <w:p w14:paraId="266E1228">
      <w:pPr>
        <w:pStyle w:val="16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>DA DISPENSA DE ESTUDO TÉCNICO PRELIMINAR (ETP):</w:t>
      </w:r>
    </w:p>
    <w:p w14:paraId="11770CC4">
      <w:pPr>
        <w:shd w:val="clear" w:color="auto" w:fill="FFFFFF"/>
        <w:spacing w:before="240" w:after="240"/>
        <w:jc w:val="both"/>
        <w:rPr>
          <w:rFonts w:hint="default" w:ascii="Arial" w:hAnsi="Arial" w:eastAsia="Calibri" w:cs="Arial"/>
          <w:sz w:val="22"/>
          <w:szCs w:val="22"/>
          <w:lang w:bidi="ar"/>
        </w:rPr>
      </w:pPr>
      <w:r>
        <w:rPr>
          <w:rFonts w:hint="default" w:ascii="Arial" w:hAnsi="Arial" w:cs="Arial"/>
          <w:sz w:val="22"/>
          <w:szCs w:val="22"/>
        </w:rPr>
        <w:t>Conforme dispõe o art. 7º, inciso II, do Decreto Municipal nº 248/2023, é dispensada a elaboração de Estudo Técnico Preliminar (ETP) para contratações de pequeno valor que não ultrapassem os limites estabelecidos no inciso II do art. 75 da Lei nº 14.133/2021 (R$ 62.725,59)</w:t>
      </w:r>
    </w:p>
    <w:p w14:paraId="1F318503">
      <w:pPr>
        <w:pStyle w:val="16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Arial" w:hAnsi="Arial" w:eastAsia="SimSun" w:cs="Arial"/>
          <w:sz w:val="22"/>
          <w:szCs w:val="22"/>
        </w:rPr>
      </w:pPr>
      <w:r>
        <w:rPr>
          <w:rFonts w:hint="default" w:ascii="Arial" w:hAnsi="Arial" w:eastAsia="SimSun" w:cs="Arial"/>
          <w:b/>
          <w:bCs/>
          <w:sz w:val="22"/>
          <w:szCs w:val="22"/>
        </w:rPr>
        <w:t>CONDIÇÕES DE PAGAMENTO</w:t>
      </w:r>
      <w:r>
        <w:rPr>
          <w:rFonts w:hint="default" w:ascii="Arial" w:hAnsi="Arial" w:eastAsia="SimSun" w:cs="Arial"/>
          <w:sz w:val="22"/>
          <w:szCs w:val="22"/>
        </w:rPr>
        <w:t xml:space="preserve"> </w:t>
      </w:r>
    </w:p>
    <w:p w14:paraId="4D8CD54F">
      <w:pPr>
        <w:spacing w:before="240" w:after="24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sz w:val="22"/>
          <w:szCs w:val="22"/>
          <w:lang w:eastAsia="pt-BR"/>
        </w:rPr>
        <w:t>O pagamento será realizado após a efetiva confirmação da inscrição e emissão de Nota Fiscal válida, preferencialmente mediante transferência bancária ou boleto bancário.</w:t>
      </w:r>
    </w:p>
    <w:p w14:paraId="2EE00FAB">
      <w:pPr>
        <w:spacing w:before="240" w:after="24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sz w:val="22"/>
          <w:szCs w:val="22"/>
          <w:lang w:eastAsia="pt-BR"/>
        </w:rPr>
        <w:t>Será exigida a apresentação posterior dos certificados de participação emitidos pela organizadora, como comprovante de frequência e fruição dos conteúdos técnicos ministrados.</w:t>
      </w:r>
    </w:p>
    <w:p w14:paraId="48DBB16C">
      <w:pPr>
        <w:pStyle w:val="16"/>
        <w:spacing w:before="240" w:after="240"/>
        <w:ind w:left="0"/>
        <w:contextualSpacing w:val="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Os recursos financeiros necessários aos pagamentos do objeto desta contratação são oriundos da seguinte dotação orçamentária:</w:t>
      </w:r>
    </w:p>
    <w:p w14:paraId="3AB51636">
      <w:pPr>
        <w:pStyle w:val="16"/>
        <w:ind w:left="0"/>
        <w:jc w:val="both"/>
        <w:rPr>
          <w:rFonts w:hint="default" w:ascii="Arial" w:hAnsi="Arial" w:cs="Arial"/>
          <w:bCs/>
          <w:sz w:val="22"/>
          <w:szCs w:val="22"/>
          <w:lang w:eastAsia="pt-BR"/>
        </w:rPr>
      </w:pPr>
      <w:r>
        <w:rPr>
          <w:rFonts w:hint="default" w:ascii="Arial" w:hAnsi="Arial" w:cs="Arial"/>
          <w:bCs/>
          <w:sz w:val="22"/>
          <w:szCs w:val="22"/>
          <w:lang w:eastAsia="pt-BR"/>
        </w:rPr>
        <w:t xml:space="preserve">UG: </w:t>
      </w:r>
      <w:r>
        <w:rPr>
          <w:rFonts w:hint="default" w:ascii="Arial" w:hAnsi="Arial" w:cs="Arial"/>
          <w:b/>
          <w:sz w:val="22"/>
          <w:szCs w:val="22"/>
          <w:lang w:eastAsia="pt-BR"/>
        </w:rPr>
        <w:t>301</w:t>
      </w:r>
      <w:r>
        <w:rPr>
          <w:rFonts w:hint="default" w:ascii="Arial" w:hAnsi="Arial" w:cs="Arial"/>
          <w:bCs/>
          <w:sz w:val="22"/>
          <w:szCs w:val="22"/>
          <w:lang w:eastAsia="pt-BR"/>
        </w:rPr>
        <w:t xml:space="preserve"> - Inst. de Prev. Dos Serv. do Mun. de Guarapari/ES – IPG</w:t>
      </w:r>
    </w:p>
    <w:p w14:paraId="5021E544">
      <w:pPr>
        <w:pStyle w:val="16"/>
        <w:ind w:left="0"/>
        <w:jc w:val="both"/>
        <w:rPr>
          <w:rFonts w:hint="default" w:ascii="Arial" w:hAnsi="Arial" w:cs="Arial"/>
          <w:bCs/>
          <w:sz w:val="22"/>
          <w:szCs w:val="22"/>
          <w:lang w:eastAsia="pt-BR"/>
        </w:rPr>
      </w:pPr>
      <w:r>
        <w:rPr>
          <w:rFonts w:hint="default" w:ascii="Arial" w:hAnsi="Arial" w:cs="Arial"/>
          <w:bCs/>
          <w:sz w:val="22"/>
          <w:szCs w:val="22"/>
          <w:lang w:eastAsia="pt-BR"/>
        </w:rPr>
        <w:t xml:space="preserve">Órgão: </w:t>
      </w:r>
      <w:r>
        <w:rPr>
          <w:rFonts w:hint="default" w:ascii="Arial" w:hAnsi="Arial" w:cs="Arial"/>
          <w:b/>
          <w:sz w:val="22"/>
          <w:szCs w:val="22"/>
          <w:lang w:eastAsia="pt-BR"/>
        </w:rPr>
        <w:t xml:space="preserve">30.01 </w:t>
      </w:r>
      <w:r>
        <w:rPr>
          <w:rFonts w:hint="default" w:ascii="Arial" w:hAnsi="Arial" w:cs="Arial"/>
          <w:bCs/>
          <w:sz w:val="22"/>
          <w:szCs w:val="22"/>
          <w:lang w:eastAsia="pt-BR"/>
        </w:rPr>
        <w:t>- Inst. de Prev. Dos Serv. do Mun. de Guarapari/ES - IPG</w:t>
      </w:r>
    </w:p>
    <w:p w14:paraId="3F653EC4">
      <w:pPr>
        <w:pStyle w:val="16"/>
        <w:ind w:left="0"/>
        <w:jc w:val="both"/>
        <w:rPr>
          <w:rFonts w:hint="default" w:ascii="Arial" w:hAnsi="Arial" w:cs="Arial"/>
          <w:bCs/>
          <w:sz w:val="22"/>
          <w:szCs w:val="22"/>
          <w:lang w:eastAsia="pt-BR"/>
        </w:rPr>
      </w:pPr>
      <w:r>
        <w:rPr>
          <w:rFonts w:hint="default" w:ascii="Arial" w:hAnsi="Arial" w:cs="Arial"/>
          <w:bCs/>
          <w:sz w:val="22"/>
          <w:szCs w:val="22"/>
          <w:lang w:eastAsia="pt-BR"/>
        </w:rPr>
        <w:t xml:space="preserve">Atividade: </w:t>
      </w:r>
      <w:r>
        <w:rPr>
          <w:rFonts w:hint="default" w:ascii="Arial" w:hAnsi="Arial" w:cs="Arial"/>
          <w:b/>
          <w:sz w:val="22"/>
          <w:szCs w:val="22"/>
          <w:lang w:eastAsia="pt-BR"/>
        </w:rPr>
        <w:t>09.122.0024.2.111</w:t>
      </w:r>
      <w:r>
        <w:rPr>
          <w:rFonts w:hint="default" w:ascii="Arial" w:hAnsi="Arial" w:cs="Arial"/>
          <w:bCs/>
          <w:sz w:val="22"/>
          <w:szCs w:val="22"/>
          <w:lang w:eastAsia="pt-BR"/>
        </w:rPr>
        <w:t xml:space="preserve"> - Manutenção dos Serviços Administrativos do IPG</w:t>
      </w:r>
    </w:p>
    <w:p w14:paraId="4FACF887">
      <w:pPr>
        <w:pStyle w:val="16"/>
        <w:ind w:left="0"/>
        <w:jc w:val="both"/>
        <w:rPr>
          <w:rFonts w:hint="default" w:ascii="Arial" w:hAnsi="Arial" w:cs="Arial"/>
          <w:sz w:val="22"/>
          <w:szCs w:val="22"/>
        </w:rPr>
      </w:pPr>
    </w:p>
    <w:p w14:paraId="2A1FB183">
      <w:pPr>
        <w:pStyle w:val="2"/>
        <w:numPr>
          <w:ilvl w:val="0"/>
          <w:numId w:val="2"/>
        </w:numPr>
        <w:tabs>
          <w:tab w:val="left" w:pos="0"/>
        </w:tabs>
        <w:spacing w:before="1" w:after="120" w:afterLines="50"/>
        <w:ind w:left="0" w:firstLine="0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LOCAL, DATA E MODALIDADE DO EVENTO</w:t>
      </w:r>
    </w:p>
    <w:p w14:paraId="510BED22">
      <w:pPr>
        <w:pStyle w:val="16"/>
        <w:numPr>
          <w:ilvl w:val="0"/>
          <w:numId w:val="4"/>
        </w:numPr>
        <w:spacing w:before="100" w:beforeAutospacing="1" w:after="100" w:afterAutospacing="1"/>
        <w:ind w:left="426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b/>
          <w:bCs/>
          <w:sz w:val="22"/>
          <w:szCs w:val="22"/>
          <w:lang w:val="en-US" w:eastAsia="pt-BR"/>
        </w:rPr>
        <w:t>Evento</w:t>
      </w:r>
      <w:r>
        <w:rPr>
          <w:rFonts w:hint="default" w:ascii="Arial" w:hAnsi="Arial" w:eastAsia="Times New Roman" w:cs="Arial"/>
          <w:b/>
          <w:bCs/>
          <w:sz w:val="22"/>
          <w:szCs w:val="22"/>
          <w:lang w:eastAsia="pt-BR"/>
        </w:rPr>
        <w:t>:</w:t>
      </w:r>
      <w:r>
        <w:rPr>
          <w:rFonts w:hint="default" w:ascii="Arial" w:hAnsi="Arial" w:eastAsia="Times New Roman" w:cs="Arial"/>
          <w:sz w:val="22"/>
          <w:szCs w:val="22"/>
          <w:lang w:eastAsia="pt-BR"/>
        </w:rPr>
        <w:t xml:space="preserve"> </w:t>
      </w:r>
      <w:r>
        <w:rPr>
          <w:rFonts w:hint="default" w:ascii="Arial" w:hAnsi="Arial" w:eastAsia="Times New Roman" w:cs="Arial"/>
          <w:sz w:val="22"/>
          <w:szCs w:val="22"/>
          <w:lang w:val="en-US" w:eastAsia="pt-BR"/>
        </w:rPr>
        <w:t>23º Congresso Previdenciário APEPREV;</w:t>
      </w:r>
    </w:p>
    <w:p w14:paraId="519519BA">
      <w:pPr>
        <w:pStyle w:val="16"/>
        <w:numPr>
          <w:ilvl w:val="0"/>
          <w:numId w:val="4"/>
        </w:numPr>
        <w:spacing w:before="100" w:beforeAutospacing="1" w:after="100" w:afterAutospacing="1"/>
        <w:ind w:left="426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b/>
          <w:bCs/>
          <w:sz w:val="22"/>
          <w:szCs w:val="22"/>
          <w:lang w:eastAsia="pt-BR"/>
        </w:rPr>
        <w:t>Data:</w:t>
      </w:r>
      <w:r>
        <w:rPr>
          <w:rFonts w:hint="default" w:ascii="Arial" w:hAnsi="Arial" w:eastAsia="Times New Roman" w:cs="Arial"/>
          <w:b/>
          <w:bCs/>
          <w:sz w:val="22"/>
          <w:szCs w:val="22"/>
          <w:lang w:val="en-US" w:eastAsia="pt-BR"/>
        </w:rPr>
        <w:t xml:space="preserve"> </w:t>
      </w:r>
      <w:r>
        <w:rPr>
          <w:rFonts w:hint="default" w:ascii="Arial" w:hAnsi="Arial" w:eastAsia="Times New Roman" w:cs="Arial"/>
          <w:sz w:val="22"/>
          <w:szCs w:val="22"/>
          <w:lang w:val="en-US" w:eastAsia="pt-BR"/>
        </w:rPr>
        <w:t xml:space="preserve">10 a 12 de setembro </w:t>
      </w:r>
      <w:r>
        <w:rPr>
          <w:rFonts w:hint="default" w:ascii="Arial" w:hAnsi="Arial" w:eastAsia="Times New Roman" w:cs="Arial"/>
          <w:sz w:val="22"/>
          <w:szCs w:val="22"/>
          <w:lang w:eastAsia="pt-BR"/>
        </w:rPr>
        <w:t>de 2025</w:t>
      </w:r>
      <w:r>
        <w:rPr>
          <w:rFonts w:hint="default" w:ascii="Arial" w:hAnsi="Arial" w:eastAsia="Times New Roman" w:cs="Arial"/>
          <w:sz w:val="22"/>
          <w:szCs w:val="22"/>
          <w:lang w:val="en-US" w:eastAsia="pt-BR"/>
        </w:rPr>
        <w:t>;</w:t>
      </w:r>
    </w:p>
    <w:p w14:paraId="6008CF62">
      <w:pPr>
        <w:pStyle w:val="16"/>
        <w:numPr>
          <w:ilvl w:val="0"/>
          <w:numId w:val="4"/>
        </w:numPr>
        <w:spacing w:before="100" w:beforeAutospacing="1" w:after="100" w:afterAutospacing="1"/>
        <w:ind w:left="426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b/>
          <w:bCs/>
          <w:sz w:val="22"/>
          <w:szCs w:val="22"/>
          <w:lang w:eastAsia="pt-BR"/>
        </w:rPr>
        <w:t>Local:</w:t>
      </w:r>
      <w:r>
        <w:rPr>
          <w:rFonts w:hint="default" w:ascii="Arial" w:hAnsi="Arial" w:eastAsia="Times New Roman" w:cs="Arial"/>
          <w:sz w:val="22"/>
          <w:szCs w:val="22"/>
          <w:lang w:eastAsia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Avenida das Cataratas, 4790 - Grand Carimã Resort e Convention Center - Foz do Iguaçu/PA;</w:t>
      </w:r>
    </w:p>
    <w:p w14:paraId="4D08C222">
      <w:pPr>
        <w:pStyle w:val="16"/>
        <w:numPr>
          <w:ilvl w:val="0"/>
          <w:numId w:val="4"/>
        </w:numPr>
        <w:spacing w:before="100" w:beforeAutospacing="1" w:after="100" w:afterAutospacing="1"/>
        <w:ind w:left="426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b/>
          <w:bCs/>
          <w:sz w:val="22"/>
          <w:szCs w:val="22"/>
          <w:lang w:eastAsia="pt-BR"/>
        </w:rPr>
        <w:t>Modalidade:</w:t>
      </w:r>
      <w:r>
        <w:rPr>
          <w:rFonts w:hint="default" w:ascii="Arial" w:hAnsi="Arial" w:eastAsia="Times New Roman" w:cs="Arial"/>
          <w:sz w:val="22"/>
          <w:szCs w:val="22"/>
          <w:lang w:eastAsia="pt-BR"/>
        </w:rPr>
        <w:t xml:space="preserve"> Presencia</w:t>
      </w:r>
      <w:r>
        <w:rPr>
          <w:rFonts w:hint="default" w:ascii="Arial" w:hAnsi="Arial" w:eastAsia="Times New Roman" w:cs="Arial"/>
          <w:sz w:val="22"/>
          <w:szCs w:val="22"/>
          <w:lang w:val="en-US" w:eastAsia="pt-BR"/>
        </w:rPr>
        <w:t>l.</w:t>
      </w:r>
    </w:p>
    <w:p w14:paraId="1E82BB69">
      <w:pPr>
        <w:pStyle w:val="16"/>
        <w:ind w:left="0"/>
        <w:jc w:val="both"/>
        <w:rPr>
          <w:rFonts w:hint="default" w:ascii="Arial" w:hAnsi="Arial" w:cs="Arial"/>
          <w:sz w:val="22"/>
          <w:szCs w:val="22"/>
        </w:rPr>
      </w:pPr>
    </w:p>
    <w:p w14:paraId="02CEB550">
      <w:pPr>
        <w:pStyle w:val="2"/>
        <w:numPr>
          <w:ilvl w:val="0"/>
          <w:numId w:val="2"/>
        </w:numPr>
        <w:tabs>
          <w:tab w:val="left" w:pos="0"/>
        </w:tabs>
        <w:spacing w:before="1" w:after="120" w:afterLines="50"/>
        <w:ind w:left="0" w:firstLine="0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DAS OBRIGAÇÕES DA CONTRATADA</w:t>
      </w:r>
    </w:p>
    <w:p w14:paraId="4F0E7609">
      <w:pPr>
        <w:pStyle w:val="16"/>
        <w:spacing w:before="240" w:after="240"/>
        <w:ind w:left="0"/>
        <w:contextualSpacing w:val="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  <w:lang w:val="pt-BR"/>
        </w:rPr>
        <w:t>9</w:t>
      </w:r>
      <w:r>
        <w:rPr>
          <w:rFonts w:hint="default" w:ascii="Arial" w:hAnsi="Arial" w:cs="Arial"/>
          <w:b/>
          <w:bCs/>
          <w:sz w:val="22"/>
          <w:szCs w:val="22"/>
        </w:rPr>
        <w:t>.1</w:t>
      </w:r>
      <w:r>
        <w:rPr>
          <w:rFonts w:hint="default" w:ascii="Arial" w:hAnsi="Arial" w:cs="Arial"/>
          <w:sz w:val="22"/>
          <w:szCs w:val="22"/>
        </w:rPr>
        <w:tab/>
      </w:r>
      <w:r>
        <w:rPr>
          <w:rFonts w:hint="default" w:ascii="Arial" w:hAnsi="Arial" w:cs="Arial"/>
          <w:sz w:val="22"/>
          <w:szCs w:val="22"/>
        </w:rPr>
        <w:t>A Contratada deverá assumir todas as despesas referentes a ministração do curso, encargos sociais, fiscais, trabalhistas e previdenciários da equipe de instrutores.</w:t>
      </w:r>
    </w:p>
    <w:p w14:paraId="78D3050B">
      <w:pPr>
        <w:spacing w:before="240" w:after="24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  <w:lang w:val="pt-BR"/>
        </w:rPr>
        <w:t>9</w:t>
      </w:r>
      <w:r>
        <w:rPr>
          <w:rFonts w:hint="default" w:ascii="Arial" w:hAnsi="Arial" w:cs="Arial"/>
          <w:b/>
          <w:bCs/>
          <w:sz w:val="22"/>
          <w:szCs w:val="22"/>
        </w:rPr>
        <w:t>.2</w:t>
      </w:r>
      <w:r>
        <w:rPr>
          <w:rFonts w:hint="default" w:ascii="Arial" w:hAnsi="Arial" w:cs="Arial"/>
          <w:sz w:val="22"/>
          <w:szCs w:val="22"/>
        </w:rPr>
        <w:tab/>
      </w:r>
      <w:r>
        <w:rPr>
          <w:rFonts w:hint="default" w:ascii="Arial" w:hAnsi="Arial" w:cs="Arial"/>
          <w:sz w:val="22"/>
          <w:szCs w:val="22"/>
        </w:rPr>
        <w:t>A Contratada deverá estar ciente de que quaisquer entendimentos com o Contratante serão feitos por escrito, não sendo consideradas quaisquer alegações com fundamento em ordens ou declarações verbais.</w:t>
      </w:r>
    </w:p>
    <w:p w14:paraId="52757CAB">
      <w:pPr>
        <w:spacing w:before="240" w:after="24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  <w:lang w:val="pt-BR"/>
        </w:rPr>
        <w:t>9</w:t>
      </w:r>
      <w:r>
        <w:rPr>
          <w:rFonts w:hint="default" w:ascii="Arial" w:hAnsi="Arial" w:cs="Arial"/>
          <w:b/>
          <w:bCs/>
          <w:sz w:val="22"/>
          <w:szCs w:val="22"/>
        </w:rPr>
        <w:t>.3</w:t>
      </w:r>
      <w:r>
        <w:rPr>
          <w:rFonts w:hint="default" w:ascii="Arial" w:hAnsi="Arial" w:cs="Arial"/>
          <w:b/>
          <w:bCs/>
          <w:sz w:val="22"/>
          <w:szCs w:val="22"/>
        </w:rPr>
        <w:tab/>
      </w:r>
      <w:r>
        <w:rPr>
          <w:rFonts w:hint="default" w:ascii="Arial" w:hAnsi="Arial" w:cs="Arial"/>
          <w:sz w:val="22"/>
          <w:szCs w:val="22"/>
        </w:rPr>
        <w:t xml:space="preserve"> A Contratada prestará todos os esclarecimentos que forem solicitados pela Contratante, sempre por escrito, cujas reclamações atinentes a quaisquer aspectos da execução contratual se obriga prontamente a atender.</w:t>
      </w:r>
    </w:p>
    <w:p w14:paraId="003C87C3">
      <w:pPr>
        <w:spacing w:before="240" w:after="24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  <w:lang w:val="pt-BR"/>
        </w:rPr>
        <w:t>9.</w:t>
      </w:r>
      <w:r>
        <w:rPr>
          <w:rFonts w:hint="default" w:ascii="Arial" w:hAnsi="Arial" w:cs="Arial"/>
          <w:b/>
          <w:bCs/>
          <w:sz w:val="22"/>
          <w:szCs w:val="22"/>
        </w:rPr>
        <w:t>4</w:t>
      </w:r>
      <w:r>
        <w:rPr>
          <w:rFonts w:hint="default" w:ascii="Arial" w:hAnsi="Arial" w:cs="Arial"/>
          <w:b/>
          <w:bCs/>
          <w:sz w:val="22"/>
          <w:szCs w:val="22"/>
        </w:rPr>
        <w:tab/>
      </w:r>
      <w:r>
        <w:rPr>
          <w:rFonts w:hint="default" w:ascii="Arial" w:hAnsi="Arial" w:cs="Arial"/>
          <w:sz w:val="22"/>
          <w:szCs w:val="22"/>
        </w:rPr>
        <w:t>A Contratada deverá facilitar as ações do Fiscal, fornecendo informações ou promovendo acesso à documentação dos serviços em execução, atendendo prontamente às observações e exigências por eles apresentadas.</w:t>
      </w:r>
    </w:p>
    <w:p w14:paraId="2D30FCF0">
      <w:pPr>
        <w:spacing w:before="240" w:after="24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  <w:lang w:val="pt-BR"/>
        </w:rPr>
        <w:t>9</w:t>
      </w:r>
      <w:r>
        <w:rPr>
          <w:rFonts w:hint="default" w:ascii="Arial" w:hAnsi="Arial" w:cs="Arial"/>
          <w:b/>
          <w:bCs/>
          <w:sz w:val="22"/>
          <w:szCs w:val="22"/>
        </w:rPr>
        <w:t>.5</w:t>
      </w:r>
      <w:r>
        <w:rPr>
          <w:rFonts w:hint="default" w:ascii="Arial" w:hAnsi="Arial" w:cs="Arial"/>
          <w:b/>
          <w:bCs/>
          <w:sz w:val="22"/>
          <w:szCs w:val="22"/>
        </w:rPr>
        <w:tab/>
      </w:r>
      <w:r>
        <w:rPr>
          <w:rFonts w:hint="default" w:ascii="Arial" w:hAnsi="Arial" w:cs="Arial"/>
          <w:sz w:val="22"/>
          <w:szCs w:val="22"/>
        </w:rPr>
        <w:t>A Contratada se responsabilizará pela idoneidade e pelo comportamento de seus profissionais, prepostos ou subordinados, e, ainda, por quaisquer prejuízos que sejam causados à Contratante.</w:t>
      </w:r>
    </w:p>
    <w:p w14:paraId="4B644666">
      <w:pPr>
        <w:spacing w:before="240" w:after="24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  <w:lang w:val="pt-BR"/>
        </w:rPr>
        <w:t>9</w:t>
      </w:r>
      <w:r>
        <w:rPr>
          <w:rFonts w:hint="default" w:ascii="Arial" w:hAnsi="Arial" w:cs="Arial"/>
          <w:b/>
          <w:bCs/>
          <w:sz w:val="22"/>
          <w:szCs w:val="22"/>
        </w:rPr>
        <w:t>.6</w:t>
      </w:r>
      <w:r>
        <w:rPr>
          <w:rFonts w:hint="default" w:ascii="Arial" w:hAnsi="Arial" w:cs="Arial"/>
          <w:b/>
          <w:bCs/>
          <w:sz w:val="22"/>
          <w:szCs w:val="22"/>
        </w:rPr>
        <w:tab/>
      </w:r>
      <w:r>
        <w:rPr>
          <w:rFonts w:hint="default" w:ascii="Arial" w:hAnsi="Arial" w:cs="Arial"/>
          <w:sz w:val="22"/>
          <w:szCs w:val="22"/>
        </w:rPr>
        <w:t>A Contratada se responsabilizará pela permanente manutenção de validade da documentação: Jurídica, Fiscal, Técnica e Econômico-Financeira da empresa assim como pela atualização da formação técnica de seus profissionais.</w:t>
      </w:r>
    </w:p>
    <w:p w14:paraId="60ED9CA8">
      <w:pPr>
        <w:spacing w:before="240" w:after="24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  <w:lang w:val="pt-BR"/>
        </w:rPr>
        <w:t>9</w:t>
      </w:r>
      <w:r>
        <w:rPr>
          <w:rFonts w:hint="default" w:ascii="Arial" w:hAnsi="Arial" w:cs="Arial"/>
          <w:b/>
          <w:bCs/>
          <w:sz w:val="22"/>
          <w:szCs w:val="22"/>
        </w:rPr>
        <w:t>.7</w:t>
      </w:r>
      <w:r>
        <w:rPr>
          <w:rFonts w:hint="default" w:ascii="Arial" w:hAnsi="Arial" w:cs="Arial"/>
          <w:b/>
          <w:bCs/>
          <w:sz w:val="22"/>
          <w:szCs w:val="22"/>
        </w:rPr>
        <w:tab/>
      </w:r>
      <w:r>
        <w:rPr>
          <w:rFonts w:hint="default" w:ascii="Arial" w:hAnsi="Arial" w:cs="Arial"/>
          <w:sz w:val="22"/>
          <w:szCs w:val="22"/>
        </w:rPr>
        <w:t>À Contratada serão vedados, sob pena de rescisão e aplicação de qualquer outra penalidade cabível, a divulgação e o fornecimento de dados e informações referentes à prestação de serviços objeto desta contratação.</w:t>
      </w:r>
    </w:p>
    <w:p w14:paraId="169FBE90">
      <w:pPr>
        <w:spacing w:before="240" w:after="24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  <w:lang w:val="pt-BR"/>
        </w:rPr>
        <w:t>9</w:t>
      </w:r>
      <w:r>
        <w:rPr>
          <w:rFonts w:hint="default" w:ascii="Arial" w:hAnsi="Arial" w:cs="Arial"/>
          <w:b/>
          <w:bCs/>
          <w:sz w:val="22"/>
          <w:szCs w:val="22"/>
        </w:rPr>
        <w:t>.8</w:t>
      </w:r>
      <w:r>
        <w:rPr>
          <w:rFonts w:hint="default" w:ascii="Arial" w:hAnsi="Arial" w:cs="Arial"/>
          <w:b/>
          <w:bCs/>
          <w:sz w:val="22"/>
          <w:szCs w:val="22"/>
        </w:rPr>
        <w:tab/>
      </w:r>
      <w:r>
        <w:rPr>
          <w:rFonts w:hint="default" w:ascii="Arial" w:hAnsi="Arial" w:cs="Arial"/>
          <w:sz w:val="22"/>
          <w:szCs w:val="22"/>
        </w:rPr>
        <w:t>São de exclusiva responsabilidade da Contratada todas as despesas com custos diretos e indiretos requeridos para a execução dos serviços objeto da contratação.</w:t>
      </w:r>
    </w:p>
    <w:p w14:paraId="095E5283">
      <w:pPr>
        <w:spacing w:before="240" w:after="24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  <w:lang w:val="pt-BR"/>
        </w:rPr>
        <w:t>9</w:t>
      </w:r>
      <w:r>
        <w:rPr>
          <w:rFonts w:hint="default" w:ascii="Arial" w:hAnsi="Arial" w:cs="Arial"/>
          <w:b/>
          <w:bCs/>
          <w:sz w:val="22"/>
          <w:szCs w:val="22"/>
        </w:rPr>
        <w:t>.9</w:t>
      </w:r>
      <w:r>
        <w:rPr>
          <w:rFonts w:hint="default" w:ascii="Arial" w:hAnsi="Arial" w:cs="Arial"/>
          <w:b/>
          <w:bCs/>
          <w:sz w:val="22"/>
          <w:szCs w:val="22"/>
        </w:rPr>
        <w:tab/>
      </w:r>
      <w:r>
        <w:rPr>
          <w:rFonts w:hint="default" w:ascii="Arial" w:hAnsi="Arial" w:cs="Arial"/>
          <w:sz w:val="22"/>
          <w:szCs w:val="22"/>
        </w:rPr>
        <w:t>A Contratada deverá executar serviços com alto padrão de qualidade, de modo a atender as exigências da Contratante, utilizando profissionais especializados, cabendo-lhe total e exclusiva responsabilidade pelo integral atendimento de toda legislação que rege a execução da contratação, com ênfase na constitucional, tributária, civil, previdenciária e trabalhista.</w:t>
      </w:r>
    </w:p>
    <w:p w14:paraId="6F57D196">
      <w:pPr>
        <w:pStyle w:val="2"/>
        <w:numPr>
          <w:ilvl w:val="0"/>
          <w:numId w:val="2"/>
        </w:numPr>
        <w:spacing w:before="1"/>
        <w:ind w:left="0" w:firstLine="0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DAS OBRIGAÇÕES DO CONTRATANTE</w:t>
      </w:r>
    </w:p>
    <w:p w14:paraId="17104D53">
      <w:pPr>
        <w:spacing w:before="240" w:after="24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>1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0</w:t>
      </w:r>
      <w:r>
        <w:rPr>
          <w:rFonts w:hint="default" w:ascii="Arial" w:hAnsi="Arial" w:cs="Arial"/>
          <w:b/>
          <w:bCs/>
          <w:sz w:val="22"/>
          <w:szCs w:val="22"/>
        </w:rPr>
        <w:t>.1</w:t>
      </w:r>
      <w:r>
        <w:rPr>
          <w:rFonts w:hint="default" w:ascii="Arial" w:hAnsi="Arial" w:cs="Arial"/>
          <w:b/>
          <w:bCs/>
          <w:sz w:val="22"/>
          <w:szCs w:val="22"/>
        </w:rPr>
        <w:tab/>
      </w:r>
      <w:r>
        <w:rPr>
          <w:rFonts w:hint="default" w:ascii="Arial" w:hAnsi="Arial" w:cs="Arial"/>
          <w:sz w:val="22"/>
          <w:szCs w:val="22"/>
        </w:rPr>
        <w:t>Proporcionar todas as facilidades para que a Contratada possa cumprir suas obrigações dentro das normas e condições previstas.</w:t>
      </w:r>
    </w:p>
    <w:p w14:paraId="67732DDC">
      <w:pPr>
        <w:spacing w:before="240" w:after="24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>1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0</w:t>
      </w:r>
      <w:r>
        <w:rPr>
          <w:rFonts w:hint="default" w:ascii="Arial" w:hAnsi="Arial" w:cs="Arial"/>
          <w:b/>
          <w:bCs/>
          <w:sz w:val="22"/>
          <w:szCs w:val="22"/>
        </w:rPr>
        <w:t>.2</w:t>
      </w:r>
      <w:r>
        <w:rPr>
          <w:rFonts w:hint="default" w:ascii="Arial" w:hAnsi="Arial" w:cs="Arial"/>
          <w:b/>
          <w:bCs/>
          <w:sz w:val="22"/>
          <w:szCs w:val="22"/>
        </w:rPr>
        <w:tab/>
      </w:r>
      <w:r>
        <w:rPr>
          <w:rFonts w:hint="default" w:ascii="Arial" w:hAnsi="Arial" w:cs="Arial"/>
          <w:sz w:val="22"/>
          <w:szCs w:val="22"/>
        </w:rPr>
        <w:t>Efetuar os pagamentos devidos nas condições estabelecidas e prazos acordados.</w:t>
      </w:r>
    </w:p>
    <w:p w14:paraId="48B3406A">
      <w:pPr>
        <w:spacing w:before="240" w:after="24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>1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0</w:t>
      </w:r>
      <w:r>
        <w:rPr>
          <w:rFonts w:hint="default" w:ascii="Arial" w:hAnsi="Arial" w:cs="Arial"/>
          <w:b/>
          <w:bCs/>
          <w:sz w:val="22"/>
          <w:szCs w:val="22"/>
        </w:rPr>
        <w:t>.3</w:t>
      </w:r>
      <w:r>
        <w:rPr>
          <w:rFonts w:hint="default" w:ascii="Arial" w:hAnsi="Arial" w:cs="Arial"/>
          <w:b/>
          <w:bCs/>
          <w:sz w:val="22"/>
          <w:szCs w:val="22"/>
        </w:rPr>
        <w:tab/>
      </w:r>
      <w:r>
        <w:rPr>
          <w:rFonts w:hint="default" w:ascii="Arial" w:hAnsi="Arial" w:cs="Arial"/>
          <w:sz w:val="22"/>
          <w:szCs w:val="22"/>
        </w:rPr>
        <w:t>Exigir o cumprimento de todos os compromissos assumidos pela empresa de acordo com os termos da sua proposta.</w:t>
      </w:r>
    </w:p>
    <w:p w14:paraId="1FBB0724">
      <w:pPr>
        <w:spacing w:before="240" w:after="24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>1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0</w:t>
      </w:r>
      <w:r>
        <w:rPr>
          <w:rFonts w:hint="default" w:ascii="Arial" w:hAnsi="Arial" w:cs="Arial"/>
          <w:b/>
          <w:bCs/>
          <w:sz w:val="22"/>
          <w:szCs w:val="22"/>
        </w:rPr>
        <w:t>.4</w:t>
      </w:r>
      <w:r>
        <w:rPr>
          <w:rFonts w:hint="default" w:ascii="Arial" w:hAnsi="Arial" w:cs="Arial"/>
          <w:b/>
          <w:bCs/>
          <w:sz w:val="22"/>
          <w:szCs w:val="22"/>
        </w:rPr>
        <w:tab/>
      </w:r>
      <w:r>
        <w:rPr>
          <w:rFonts w:hint="default" w:ascii="Arial" w:hAnsi="Arial" w:cs="Arial"/>
          <w:sz w:val="22"/>
          <w:szCs w:val="22"/>
        </w:rPr>
        <w:t>Notificar a empresa contratada sobre imperfeições, falhas ou irregularidades constatadas na prestação dos serviços, para que sejam adotadas as medidas cabíveis.</w:t>
      </w:r>
    </w:p>
    <w:p w14:paraId="650DA161">
      <w:pPr>
        <w:spacing w:before="240" w:after="24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>1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0</w:t>
      </w:r>
      <w:r>
        <w:rPr>
          <w:rFonts w:hint="default" w:ascii="Arial" w:hAnsi="Arial" w:cs="Arial"/>
          <w:b/>
          <w:bCs/>
          <w:sz w:val="22"/>
          <w:szCs w:val="22"/>
        </w:rPr>
        <w:t>.5</w:t>
      </w:r>
      <w:r>
        <w:rPr>
          <w:rFonts w:hint="default" w:ascii="Arial" w:hAnsi="Arial" w:cs="Arial"/>
          <w:b/>
          <w:bCs/>
          <w:sz w:val="22"/>
          <w:szCs w:val="22"/>
        </w:rPr>
        <w:tab/>
      </w:r>
      <w:r>
        <w:rPr>
          <w:rFonts w:hint="default" w:ascii="Arial" w:hAnsi="Arial" w:cs="Arial"/>
          <w:sz w:val="22"/>
          <w:szCs w:val="22"/>
        </w:rPr>
        <w:t xml:space="preserve">Exigir comprovantes e certificados, que demonstrem a sua capacidade técnica e experiência profissional e, em caso de substituição, apresentar profissional de igual capacidade técnica. </w:t>
      </w:r>
    </w:p>
    <w:p w14:paraId="56F4F402">
      <w:pPr>
        <w:spacing w:before="240" w:after="24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>1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0</w:t>
      </w:r>
      <w:r>
        <w:rPr>
          <w:rFonts w:hint="default" w:ascii="Arial" w:hAnsi="Arial" w:cs="Arial"/>
          <w:b/>
          <w:bCs/>
          <w:sz w:val="22"/>
          <w:szCs w:val="22"/>
        </w:rPr>
        <w:t>.6</w:t>
      </w:r>
      <w:r>
        <w:rPr>
          <w:rFonts w:hint="default" w:ascii="Arial" w:hAnsi="Arial" w:cs="Arial"/>
          <w:b/>
          <w:bCs/>
          <w:sz w:val="22"/>
          <w:szCs w:val="22"/>
        </w:rPr>
        <w:tab/>
      </w:r>
      <w:r>
        <w:rPr>
          <w:rFonts w:hint="default" w:ascii="Arial" w:hAnsi="Arial" w:cs="Arial"/>
          <w:sz w:val="22"/>
          <w:szCs w:val="22"/>
        </w:rPr>
        <w:t>Efetuar o pagamento devido à Contratada pela execução dos serviços prestados, nos termos e prazos previstos neste Termo de Referência, após terem sido devidamente atestados pela Contratante, de acordo com a norma de contratação.</w:t>
      </w:r>
    </w:p>
    <w:p w14:paraId="0D9D477F">
      <w:pPr>
        <w:pStyle w:val="2"/>
        <w:numPr>
          <w:ilvl w:val="0"/>
          <w:numId w:val="2"/>
        </w:numPr>
        <w:ind w:left="0" w:firstLine="0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DAS MEDIDAS ACAUTELADORAS</w:t>
      </w:r>
    </w:p>
    <w:p w14:paraId="65CC91ED">
      <w:pPr>
        <w:pStyle w:val="11"/>
        <w:widowControl w:val="0"/>
        <w:autoSpaceDE w:val="0"/>
        <w:autoSpaceDN w:val="0"/>
        <w:spacing w:before="240" w:after="240"/>
        <w:ind w:right="113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Consoante o artigo 45 da Lei nº 9.784, de 1999, a Administração Pública poderá, sem a prévia</w:t>
      </w:r>
      <w:r>
        <w:rPr>
          <w:rFonts w:hint="default" w:ascii="Arial" w:hAnsi="Arial" w:cs="Arial"/>
          <w:spacing w:val="1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manifestação</w:t>
      </w:r>
      <w:r>
        <w:rPr>
          <w:rFonts w:hint="default" w:ascii="Arial" w:hAnsi="Arial" w:cs="Arial"/>
          <w:spacing w:val="1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do</w:t>
      </w:r>
      <w:r>
        <w:rPr>
          <w:rFonts w:hint="default" w:ascii="Arial" w:hAnsi="Arial" w:cs="Arial"/>
          <w:spacing w:val="1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interessado,</w:t>
      </w:r>
      <w:r>
        <w:rPr>
          <w:rFonts w:hint="default" w:ascii="Arial" w:hAnsi="Arial" w:cs="Arial"/>
          <w:spacing w:val="1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motivadamente,</w:t>
      </w:r>
      <w:r>
        <w:rPr>
          <w:rFonts w:hint="default" w:ascii="Arial" w:hAnsi="Arial" w:cs="Arial"/>
          <w:spacing w:val="1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adotar</w:t>
      </w:r>
      <w:r>
        <w:rPr>
          <w:rFonts w:hint="default" w:ascii="Arial" w:hAnsi="Arial" w:cs="Arial"/>
          <w:spacing w:val="1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providências</w:t>
      </w:r>
      <w:r>
        <w:rPr>
          <w:rFonts w:hint="default" w:ascii="Arial" w:hAnsi="Arial" w:cs="Arial"/>
          <w:spacing w:val="1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acauteladoras,</w:t>
      </w:r>
      <w:r>
        <w:rPr>
          <w:rFonts w:hint="default" w:ascii="Arial" w:hAnsi="Arial" w:cs="Arial"/>
          <w:spacing w:val="1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inclusive</w:t>
      </w:r>
      <w:r>
        <w:rPr>
          <w:rFonts w:hint="default" w:ascii="Arial" w:hAnsi="Arial" w:cs="Arial"/>
          <w:spacing w:val="1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retendo</w:t>
      </w:r>
      <w:r>
        <w:rPr>
          <w:rFonts w:hint="default" w:ascii="Arial" w:hAnsi="Arial" w:cs="Arial"/>
          <w:spacing w:val="13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o</w:t>
      </w:r>
      <w:r>
        <w:rPr>
          <w:rFonts w:hint="default" w:ascii="Arial" w:hAnsi="Arial" w:cs="Arial"/>
          <w:spacing w:val="13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pagamento,</w:t>
      </w:r>
      <w:r>
        <w:rPr>
          <w:rFonts w:hint="default" w:ascii="Arial" w:hAnsi="Arial" w:cs="Arial"/>
          <w:spacing w:val="14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em</w:t>
      </w:r>
      <w:r>
        <w:rPr>
          <w:rFonts w:hint="default" w:ascii="Arial" w:hAnsi="Arial" w:cs="Arial"/>
          <w:spacing w:val="14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caso</w:t>
      </w:r>
      <w:r>
        <w:rPr>
          <w:rFonts w:hint="default" w:ascii="Arial" w:hAnsi="Arial" w:cs="Arial"/>
          <w:spacing w:val="14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de</w:t>
      </w:r>
      <w:r>
        <w:rPr>
          <w:rFonts w:hint="default" w:ascii="Arial" w:hAnsi="Arial" w:cs="Arial"/>
          <w:spacing w:val="13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risco</w:t>
      </w:r>
      <w:r>
        <w:rPr>
          <w:rFonts w:hint="default" w:ascii="Arial" w:hAnsi="Arial" w:cs="Arial"/>
          <w:spacing w:val="14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iminente,</w:t>
      </w:r>
      <w:r>
        <w:rPr>
          <w:rFonts w:hint="default" w:ascii="Arial" w:hAnsi="Arial" w:cs="Arial"/>
          <w:spacing w:val="14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como</w:t>
      </w:r>
      <w:r>
        <w:rPr>
          <w:rFonts w:hint="default" w:ascii="Arial" w:hAnsi="Arial" w:cs="Arial"/>
          <w:spacing w:val="13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forma</w:t>
      </w:r>
      <w:r>
        <w:rPr>
          <w:rFonts w:hint="default" w:ascii="Arial" w:hAnsi="Arial" w:cs="Arial"/>
          <w:spacing w:val="15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de</w:t>
      </w:r>
      <w:r>
        <w:rPr>
          <w:rFonts w:hint="default" w:ascii="Arial" w:hAnsi="Arial" w:cs="Arial"/>
          <w:spacing w:val="13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prevenir</w:t>
      </w:r>
      <w:r>
        <w:rPr>
          <w:rFonts w:hint="default" w:ascii="Arial" w:hAnsi="Arial" w:cs="Arial"/>
          <w:spacing w:val="13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a</w:t>
      </w:r>
      <w:r>
        <w:rPr>
          <w:rFonts w:hint="default" w:ascii="Arial" w:hAnsi="Arial" w:cs="Arial"/>
          <w:spacing w:val="15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ocorrência</w:t>
      </w:r>
      <w:r>
        <w:rPr>
          <w:rFonts w:hint="default" w:ascii="Arial" w:hAnsi="Arial" w:cs="Arial"/>
          <w:spacing w:val="13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de</w:t>
      </w:r>
      <w:r>
        <w:rPr>
          <w:rFonts w:hint="default" w:ascii="Arial" w:hAnsi="Arial" w:cs="Arial"/>
          <w:spacing w:val="14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dano</w:t>
      </w:r>
      <w:r>
        <w:rPr>
          <w:rFonts w:hint="default" w:ascii="Arial" w:hAnsi="Arial" w:cs="Arial"/>
          <w:spacing w:val="-57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de difícil ou impossível reparação.</w:t>
      </w:r>
    </w:p>
    <w:p w14:paraId="7407132D">
      <w:pPr>
        <w:pStyle w:val="2"/>
        <w:numPr>
          <w:ilvl w:val="0"/>
          <w:numId w:val="2"/>
        </w:numPr>
        <w:spacing w:before="1"/>
        <w:ind w:left="0" w:firstLine="0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 xml:space="preserve"> DAS INFRAÇÕES E DAS SANÇÕES ADMINISTRATIVAS</w:t>
      </w:r>
    </w:p>
    <w:p w14:paraId="4E779CA2">
      <w:pPr>
        <w:pStyle w:val="11"/>
        <w:widowControl w:val="0"/>
        <w:autoSpaceDE w:val="0"/>
        <w:autoSpaceDN w:val="0"/>
        <w:spacing w:before="240" w:after="240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Na hipótese da ocorrência de quaisquer infrações contratuais ou legais, especialmente de inadimplemento de obrigação pela Contratada, esta estará sujeita às sanções previstas nos artigos 155 e 156, ambos da Lei nº 14.133, de 1º de abril de 2021:</w:t>
      </w:r>
    </w:p>
    <w:p w14:paraId="5DC0D348">
      <w:pPr>
        <w:tabs>
          <w:tab w:val="left" w:pos="1800"/>
        </w:tabs>
        <w:spacing w:line="312" w:lineRule="auto"/>
        <w:ind w:left="2800" w:leftChars="1400" w:right="112" w:firstLine="0" w:firstLineChars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b/>
          <w:bCs/>
          <w:sz w:val="18"/>
          <w:szCs w:val="18"/>
        </w:rPr>
        <w:t>Art. 155.</w:t>
      </w:r>
      <w:r>
        <w:rPr>
          <w:rFonts w:hint="default" w:ascii="Arial" w:hAnsi="Arial" w:cs="Arial"/>
          <w:sz w:val="18"/>
          <w:szCs w:val="18"/>
        </w:rPr>
        <w:t xml:space="preserve"> O licitante ou o contratado será responsabilizado administrativamente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pelas seguintes infrações:</w:t>
      </w:r>
    </w:p>
    <w:p w14:paraId="215AF1D0">
      <w:pPr>
        <w:pStyle w:val="16"/>
        <w:numPr>
          <w:ilvl w:val="0"/>
          <w:numId w:val="5"/>
        </w:numPr>
        <w:tabs>
          <w:tab w:val="left" w:pos="1800"/>
          <w:tab w:val="left" w:pos="2420"/>
          <w:tab w:val="clear" w:pos="454"/>
        </w:tabs>
        <w:ind w:left="2800" w:leftChars="1400" w:firstLine="0" w:firstLineChars="0"/>
        <w:contextualSpacing w:val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dar causa à inexecução parcial do contrato;</w:t>
      </w:r>
    </w:p>
    <w:p w14:paraId="7C6CA5CD">
      <w:pPr>
        <w:pStyle w:val="16"/>
        <w:numPr>
          <w:ilvl w:val="0"/>
          <w:numId w:val="5"/>
        </w:numPr>
        <w:tabs>
          <w:tab w:val="left" w:pos="1800"/>
          <w:tab w:val="left" w:pos="2420"/>
          <w:tab w:val="clear" w:pos="454"/>
        </w:tabs>
        <w:ind w:left="2800" w:leftChars="1400" w:firstLine="0" w:firstLineChars="0"/>
        <w:contextualSpacing w:val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  <w:lang w:val="pt-BR"/>
        </w:rPr>
        <w:t xml:space="preserve"> </w:t>
      </w:r>
      <w:r>
        <w:rPr>
          <w:rFonts w:hint="default" w:ascii="Arial" w:hAnsi="Arial" w:cs="Arial"/>
          <w:sz w:val="18"/>
          <w:szCs w:val="18"/>
        </w:rPr>
        <w:t>dar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causa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à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inexecução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parcial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do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contrato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que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cause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grave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dano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à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Administração, ao funcionamento dos serviços públicos ou ao interesse coletivo;</w:t>
      </w:r>
    </w:p>
    <w:p w14:paraId="6A60603F">
      <w:pPr>
        <w:pStyle w:val="16"/>
        <w:numPr>
          <w:ilvl w:val="0"/>
          <w:numId w:val="5"/>
        </w:numPr>
        <w:tabs>
          <w:tab w:val="left" w:pos="1600"/>
          <w:tab w:val="clear" w:pos="454"/>
        </w:tabs>
        <w:ind w:left="2800" w:leftChars="1400" w:firstLine="0" w:firstLineChars="0"/>
        <w:contextualSpacing w:val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dar causa à inexecução total do contrato;</w:t>
      </w:r>
    </w:p>
    <w:p w14:paraId="2CC4A535">
      <w:pPr>
        <w:pStyle w:val="16"/>
        <w:numPr>
          <w:ilvl w:val="0"/>
          <w:numId w:val="5"/>
        </w:numPr>
        <w:tabs>
          <w:tab w:val="left" w:pos="1600"/>
          <w:tab w:val="clear" w:pos="454"/>
        </w:tabs>
        <w:ind w:left="2800" w:leftChars="1400" w:firstLine="0" w:firstLineChars="0"/>
        <w:contextualSpacing w:val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deixar de entregar a documentação exigida para o certame;</w:t>
      </w:r>
    </w:p>
    <w:p w14:paraId="0FE94488">
      <w:pPr>
        <w:pStyle w:val="16"/>
        <w:numPr>
          <w:ilvl w:val="0"/>
          <w:numId w:val="5"/>
        </w:numPr>
        <w:tabs>
          <w:tab w:val="left" w:pos="1600"/>
          <w:tab w:val="clear" w:pos="454"/>
        </w:tabs>
        <w:ind w:left="2800" w:leftChars="1400" w:firstLine="0" w:firstLineChars="0"/>
        <w:contextualSpacing w:val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não</w:t>
      </w:r>
      <w:r>
        <w:rPr>
          <w:rFonts w:hint="default" w:ascii="Arial" w:hAnsi="Arial" w:cs="Arial"/>
          <w:spacing w:val="27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manter</w:t>
      </w:r>
      <w:r>
        <w:rPr>
          <w:rFonts w:hint="default" w:ascii="Arial" w:hAnsi="Arial" w:cs="Arial"/>
          <w:spacing w:val="26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a</w:t>
      </w:r>
      <w:r>
        <w:rPr>
          <w:rFonts w:hint="default" w:ascii="Arial" w:hAnsi="Arial" w:cs="Arial"/>
          <w:spacing w:val="26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proposta,</w:t>
      </w:r>
      <w:r>
        <w:rPr>
          <w:rFonts w:hint="default" w:ascii="Arial" w:hAnsi="Arial" w:cs="Arial"/>
          <w:spacing w:val="27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salvo</w:t>
      </w:r>
      <w:r>
        <w:rPr>
          <w:rFonts w:hint="default" w:ascii="Arial" w:hAnsi="Arial" w:cs="Arial"/>
          <w:spacing w:val="26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em</w:t>
      </w:r>
      <w:r>
        <w:rPr>
          <w:rFonts w:hint="default" w:ascii="Arial" w:hAnsi="Arial" w:cs="Arial"/>
          <w:spacing w:val="26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decorrência</w:t>
      </w:r>
      <w:r>
        <w:rPr>
          <w:rFonts w:hint="default" w:ascii="Arial" w:hAnsi="Arial" w:cs="Arial"/>
          <w:spacing w:val="27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de</w:t>
      </w:r>
      <w:r>
        <w:rPr>
          <w:rFonts w:hint="default" w:ascii="Arial" w:hAnsi="Arial" w:cs="Arial"/>
          <w:spacing w:val="26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fato</w:t>
      </w:r>
      <w:r>
        <w:rPr>
          <w:rFonts w:hint="default" w:ascii="Arial" w:hAnsi="Arial" w:cs="Arial"/>
          <w:spacing w:val="27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superveniente</w:t>
      </w:r>
      <w:r>
        <w:rPr>
          <w:rFonts w:hint="default" w:ascii="Arial" w:hAnsi="Arial" w:cs="Arial"/>
          <w:spacing w:val="-47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devidamente justificado;</w:t>
      </w:r>
    </w:p>
    <w:p w14:paraId="18C0BC52">
      <w:pPr>
        <w:pStyle w:val="16"/>
        <w:numPr>
          <w:ilvl w:val="0"/>
          <w:numId w:val="5"/>
        </w:numPr>
        <w:tabs>
          <w:tab w:val="left" w:pos="1600"/>
          <w:tab w:val="clear" w:pos="454"/>
        </w:tabs>
        <w:ind w:left="2800" w:leftChars="1400" w:firstLine="0" w:firstLineChars="0"/>
        <w:contextualSpacing w:val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não</w:t>
      </w:r>
      <w:r>
        <w:rPr>
          <w:rFonts w:hint="default" w:ascii="Arial" w:hAnsi="Arial" w:cs="Arial"/>
          <w:spacing w:val="35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celebrar</w:t>
      </w:r>
      <w:r>
        <w:rPr>
          <w:rFonts w:hint="default" w:ascii="Arial" w:hAnsi="Arial" w:cs="Arial"/>
          <w:spacing w:val="35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o</w:t>
      </w:r>
      <w:r>
        <w:rPr>
          <w:rFonts w:hint="default" w:ascii="Arial" w:hAnsi="Arial" w:cs="Arial"/>
          <w:spacing w:val="35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contrato</w:t>
      </w:r>
      <w:r>
        <w:rPr>
          <w:rFonts w:hint="default" w:ascii="Arial" w:hAnsi="Arial" w:cs="Arial"/>
          <w:spacing w:val="35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ou</w:t>
      </w:r>
      <w:r>
        <w:rPr>
          <w:rFonts w:hint="default" w:ascii="Arial" w:hAnsi="Arial" w:cs="Arial"/>
          <w:spacing w:val="35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não</w:t>
      </w:r>
      <w:r>
        <w:rPr>
          <w:rFonts w:hint="default" w:ascii="Arial" w:hAnsi="Arial" w:cs="Arial"/>
          <w:spacing w:val="35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entregar</w:t>
      </w:r>
      <w:r>
        <w:rPr>
          <w:rFonts w:hint="default" w:ascii="Arial" w:hAnsi="Arial" w:cs="Arial"/>
          <w:spacing w:val="35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a</w:t>
      </w:r>
      <w:r>
        <w:rPr>
          <w:rFonts w:hint="default" w:ascii="Arial" w:hAnsi="Arial" w:cs="Arial"/>
          <w:spacing w:val="35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documentação</w:t>
      </w:r>
      <w:r>
        <w:rPr>
          <w:rFonts w:hint="default" w:ascii="Arial" w:hAnsi="Arial" w:cs="Arial"/>
          <w:spacing w:val="35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exigida</w:t>
      </w:r>
      <w:r>
        <w:rPr>
          <w:rFonts w:hint="default" w:ascii="Arial" w:hAnsi="Arial" w:cs="Arial"/>
          <w:spacing w:val="35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para</w:t>
      </w:r>
      <w:r>
        <w:rPr>
          <w:rFonts w:hint="default" w:ascii="Arial" w:hAnsi="Arial" w:cs="Arial"/>
          <w:spacing w:val="35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a</w:t>
      </w:r>
      <w:r>
        <w:rPr>
          <w:rFonts w:hint="default" w:ascii="Arial" w:hAnsi="Arial" w:cs="Arial"/>
          <w:spacing w:val="-47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contratação, quando convocado dentro do prazo de validade de sua proposta;</w:t>
      </w:r>
    </w:p>
    <w:p w14:paraId="3603CDB5">
      <w:pPr>
        <w:pStyle w:val="16"/>
        <w:numPr>
          <w:ilvl w:val="0"/>
          <w:numId w:val="5"/>
        </w:numPr>
        <w:tabs>
          <w:tab w:val="left" w:pos="1600"/>
          <w:tab w:val="clear" w:pos="454"/>
        </w:tabs>
        <w:ind w:left="2800" w:leftChars="1400" w:firstLine="0" w:firstLineChars="0"/>
        <w:contextualSpacing w:val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ensejar</w:t>
      </w:r>
      <w:r>
        <w:rPr>
          <w:rFonts w:hint="default" w:ascii="Arial" w:hAnsi="Arial" w:cs="Arial"/>
          <w:spacing w:val="2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o</w:t>
      </w:r>
      <w:r>
        <w:rPr>
          <w:rFonts w:hint="default" w:ascii="Arial" w:hAnsi="Arial" w:cs="Arial"/>
          <w:spacing w:val="23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retardamento</w:t>
      </w:r>
      <w:r>
        <w:rPr>
          <w:rFonts w:hint="default" w:ascii="Arial" w:hAnsi="Arial" w:cs="Arial"/>
          <w:spacing w:val="2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da</w:t>
      </w:r>
      <w:r>
        <w:rPr>
          <w:rFonts w:hint="default" w:ascii="Arial" w:hAnsi="Arial" w:cs="Arial"/>
          <w:spacing w:val="2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execução</w:t>
      </w:r>
      <w:r>
        <w:rPr>
          <w:rFonts w:hint="default" w:ascii="Arial" w:hAnsi="Arial" w:cs="Arial"/>
          <w:spacing w:val="2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ou</w:t>
      </w:r>
      <w:r>
        <w:rPr>
          <w:rFonts w:hint="default" w:ascii="Arial" w:hAnsi="Arial" w:cs="Arial"/>
          <w:spacing w:val="2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da</w:t>
      </w:r>
      <w:r>
        <w:rPr>
          <w:rFonts w:hint="default" w:ascii="Arial" w:hAnsi="Arial" w:cs="Arial"/>
          <w:spacing w:val="2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entrega</w:t>
      </w:r>
      <w:r>
        <w:rPr>
          <w:rFonts w:hint="default" w:ascii="Arial" w:hAnsi="Arial" w:cs="Arial"/>
          <w:spacing w:val="23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do</w:t>
      </w:r>
      <w:r>
        <w:rPr>
          <w:rFonts w:hint="default" w:ascii="Arial" w:hAnsi="Arial" w:cs="Arial"/>
          <w:spacing w:val="2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objeto</w:t>
      </w:r>
      <w:r>
        <w:rPr>
          <w:rFonts w:hint="default" w:ascii="Arial" w:hAnsi="Arial" w:cs="Arial"/>
          <w:spacing w:val="2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da</w:t>
      </w:r>
      <w:r>
        <w:rPr>
          <w:rFonts w:hint="default" w:ascii="Arial" w:hAnsi="Arial" w:cs="Arial"/>
          <w:spacing w:val="2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licitação</w:t>
      </w:r>
      <w:r>
        <w:rPr>
          <w:rFonts w:hint="default" w:ascii="Arial" w:hAnsi="Arial" w:cs="Arial"/>
          <w:spacing w:val="-47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sem motivo justificado;</w:t>
      </w:r>
    </w:p>
    <w:p w14:paraId="229A6B70">
      <w:pPr>
        <w:pStyle w:val="16"/>
        <w:numPr>
          <w:ilvl w:val="0"/>
          <w:numId w:val="5"/>
        </w:numPr>
        <w:tabs>
          <w:tab w:val="left" w:pos="1600"/>
          <w:tab w:val="clear" w:pos="454"/>
        </w:tabs>
        <w:ind w:left="2800" w:leftChars="1400" w:firstLine="0" w:firstLineChars="0"/>
        <w:contextualSpacing w:val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apresentar</w:t>
      </w:r>
      <w:r>
        <w:rPr>
          <w:rFonts w:hint="default" w:ascii="Arial" w:hAnsi="Arial" w:cs="Arial"/>
          <w:spacing w:val="2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declaração</w:t>
      </w:r>
      <w:r>
        <w:rPr>
          <w:rFonts w:hint="default" w:ascii="Arial" w:hAnsi="Arial" w:cs="Arial"/>
          <w:spacing w:val="2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ou</w:t>
      </w:r>
      <w:r>
        <w:rPr>
          <w:rFonts w:hint="default" w:ascii="Arial" w:hAnsi="Arial" w:cs="Arial"/>
          <w:spacing w:val="2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documentação</w:t>
      </w:r>
      <w:r>
        <w:rPr>
          <w:rFonts w:hint="default" w:ascii="Arial" w:hAnsi="Arial" w:cs="Arial"/>
          <w:spacing w:val="2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falsa</w:t>
      </w:r>
      <w:r>
        <w:rPr>
          <w:rFonts w:hint="default" w:ascii="Arial" w:hAnsi="Arial" w:cs="Arial"/>
          <w:spacing w:val="2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exigida</w:t>
      </w:r>
      <w:r>
        <w:rPr>
          <w:rFonts w:hint="default" w:ascii="Arial" w:hAnsi="Arial" w:cs="Arial"/>
          <w:spacing w:val="2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para</w:t>
      </w:r>
      <w:r>
        <w:rPr>
          <w:rFonts w:hint="default" w:ascii="Arial" w:hAnsi="Arial" w:cs="Arial"/>
          <w:spacing w:val="2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o</w:t>
      </w:r>
      <w:r>
        <w:rPr>
          <w:rFonts w:hint="default" w:ascii="Arial" w:hAnsi="Arial" w:cs="Arial"/>
          <w:spacing w:val="2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certame</w:t>
      </w:r>
      <w:r>
        <w:rPr>
          <w:rFonts w:hint="default" w:ascii="Arial" w:hAnsi="Arial" w:cs="Arial"/>
          <w:spacing w:val="23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ou</w:t>
      </w:r>
      <w:r>
        <w:rPr>
          <w:rFonts w:hint="default" w:ascii="Arial" w:hAnsi="Arial" w:cs="Arial"/>
          <w:spacing w:val="-47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prestar declaração falsa durante a licitação ou a execução do contrato;</w:t>
      </w:r>
    </w:p>
    <w:p w14:paraId="77C4D1CA">
      <w:pPr>
        <w:pStyle w:val="16"/>
        <w:numPr>
          <w:ilvl w:val="0"/>
          <w:numId w:val="5"/>
        </w:numPr>
        <w:tabs>
          <w:tab w:val="left" w:pos="1600"/>
          <w:tab w:val="clear" w:pos="454"/>
        </w:tabs>
        <w:ind w:left="2800" w:leftChars="1400" w:firstLine="0" w:firstLineChars="0"/>
        <w:contextualSpacing w:val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fraudar a licitação ou praticar ato fraudulento na execução do contrato;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</w:p>
    <w:p w14:paraId="3C1ED884">
      <w:pPr>
        <w:pStyle w:val="16"/>
        <w:numPr>
          <w:ilvl w:val="0"/>
          <w:numId w:val="5"/>
        </w:numPr>
        <w:tabs>
          <w:tab w:val="left" w:pos="1600"/>
          <w:tab w:val="clear" w:pos="454"/>
        </w:tabs>
        <w:ind w:left="2800" w:leftChars="1400" w:firstLine="0" w:firstLineChars="0"/>
        <w:contextualSpacing w:val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comportar-se de modo inidôneo ou cometer fraude de qualquer natureza;</w:t>
      </w:r>
    </w:p>
    <w:p w14:paraId="45E6B56F">
      <w:pPr>
        <w:pStyle w:val="16"/>
        <w:numPr>
          <w:ilvl w:val="0"/>
          <w:numId w:val="5"/>
        </w:numPr>
        <w:tabs>
          <w:tab w:val="left" w:pos="1600"/>
          <w:tab w:val="clear" w:pos="454"/>
        </w:tabs>
        <w:ind w:left="2800" w:leftChars="1400" w:firstLine="0" w:firstLineChars="0"/>
        <w:contextualSpacing w:val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praticar atos ilícitos com vistas a frustrar os objetivos da licitação;</w:t>
      </w:r>
    </w:p>
    <w:p w14:paraId="54B1A374">
      <w:pPr>
        <w:pStyle w:val="16"/>
        <w:numPr>
          <w:ilvl w:val="0"/>
          <w:numId w:val="5"/>
        </w:numPr>
        <w:tabs>
          <w:tab w:val="left" w:pos="1600"/>
          <w:tab w:val="clear" w:pos="454"/>
        </w:tabs>
        <w:ind w:left="2800" w:leftChars="1400" w:firstLine="0" w:firstLineChars="0"/>
        <w:contextualSpacing w:val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praticar</w:t>
      </w:r>
      <w:r>
        <w:rPr>
          <w:rFonts w:hint="default" w:ascii="Arial" w:hAnsi="Arial" w:cs="Arial"/>
          <w:spacing w:val="14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ato</w:t>
      </w:r>
      <w:r>
        <w:rPr>
          <w:rFonts w:hint="default" w:ascii="Arial" w:hAnsi="Arial" w:cs="Arial"/>
          <w:spacing w:val="1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lesivo</w:t>
      </w:r>
      <w:r>
        <w:rPr>
          <w:rFonts w:hint="default" w:ascii="Arial" w:hAnsi="Arial" w:cs="Arial"/>
          <w:spacing w:val="14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previsto</w:t>
      </w:r>
      <w:r>
        <w:rPr>
          <w:rFonts w:hint="default" w:ascii="Arial" w:hAnsi="Arial" w:cs="Arial"/>
          <w:spacing w:val="1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no</w:t>
      </w:r>
      <w:r>
        <w:rPr>
          <w:rFonts w:hint="default" w:ascii="Arial" w:hAnsi="Arial" w:cs="Arial"/>
          <w:spacing w:val="1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art.</w:t>
      </w:r>
      <w:r>
        <w:rPr>
          <w:rFonts w:hint="default" w:ascii="Arial" w:hAnsi="Arial" w:cs="Arial"/>
          <w:spacing w:val="14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5º</w:t>
      </w:r>
      <w:r>
        <w:rPr>
          <w:rFonts w:hint="default" w:ascii="Arial" w:hAnsi="Arial" w:cs="Arial"/>
          <w:spacing w:val="1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da</w:t>
      </w:r>
      <w:r>
        <w:rPr>
          <w:rFonts w:hint="default" w:ascii="Arial" w:hAnsi="Arial" w:cs="Arial"/>
          <w:spacing w:val="14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Lei</w:t>
      </w:r>
      <w:r>
        <w:rPr>
          <w:rFonts w:hint="default" w:ascii="Arial" w:hAnsi="Arial" w:cs="Arial"/>
          <w:spacing w:val="1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nº</w:t>
      </w:r>
      <w:r>
        <w:rPr>
          <w:rFonts w:hint="default" w:ascii="Arial" w:hAnsi="Arial" w:cs="Arial"/>
          <w:spacing w:val="13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12.846,</w:t>
      </w:r>
      <w:r>
        <w:rPr>
          <w:rFonts w:hint="default" w:ascii="Arial" w:hAnsi="Arial" w:cs="Arial"/>
          <w:spacing w:val="13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de</w:t>
      </w:r>
      <w:r>
        <w:rPr>
          <w:rFonts w:hint="default" w:ascii="Arial" w:hAnsi="Arial" w:cs="Arial"/>
          <w:spacing w:val="1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1º</w:t>
      </w:r>
      <w:r>
        <w:rPr>
          <w:rFonts w:hint="default" w:ascii="Arial" w:hAnsi="Arial" w:cs="Arial"/>
          <w:spacing w:val="14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de</w:t>
      </w:r>
      <w:r>
        <w:rPr>
          <w:rFonts w:hint="default" w:ascii="Arial" w:hAnsi="Arial" w:cs="Arial"/>
          <w:spacing w:val="1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agosto</w:t>
      </w:r>
      <w:r>
        <w:rPr>
          <w:rFonts w:hint="default" w:ascii="Arial" w:hAnsi="Arial" w:cs="Arial"/>
          <w:spacing w:val="14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de</w:t>
      </w:r>
      <w:r>
        <w:rPr>
          <w:rFonts w:hint="default" w:ascii="Arial" w:hAnsi="Arial" w:cs="Arial"/>
          <w:spacing w:val="-47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2013.</w:t>
      </w:r>
    </w:p>
    <w:p w14:paraId="3DD8741B">
      <w:pPr>
        <w:tabs>
          <w:tab w:val="left" w:pos="1800"/>
        </w:tabs>
        <w:spacing w:line="324" w:lineRule="auto"/>
        <w:ind w:left="2800" w:leftChars="1400" w:firstLine="0" w:firstLineChars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b/>
          <w:bCs/>
          <w:sz w:val="18"/>
          <w:szCs w:val="18"/>
        </w:rPr>
        <w:t>Art.</w:t>
      </w:r>
      <w:r>
        <w:rPr>
          <w:rFonts w:hint="default" w:ascii="Arial" w:hAnsi="Arial" w:cs="Arial"/>
          <w:b/>
          <w:bCs/>
          <w:spacing w:val="40"/>
          <w:sz w:val="18"/>
          <w:szCs w:val="18"/>
        </w:rPr>
        <w:t xml:space="preserve"> </w:t>
      </w:r>
      <w:r>
        <w:rPr>
          <w:rFonts w:hint="default" w:ascii="Arial" w:hAnsi="Arial" w:cs="Arial"/>
          <w:b/>
          <w:bCs/>
          <w:sz w:val="18"/>
          <w:szCs w:val="18"/>
        </w:rPr>
        <w:t>156.</w:t>
      </w:r>
      <w:r>
        <w:rPr>
          <w:rFonts w:hint="default" w:ascii="Arial" w:hAnsi="Arial" w:cs="Arial"/>
          <w:b/>
          <w:bCs/>
          <w:spacing w:val="40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Serão</w:t>
      </w:r>
      <w:r>
        <w:rPr>
          <w:rFonts w:hint="default" w:ascii="Arial" w:hAnsi="Arial" w:cs="Arial"/>
          <w:spacing w:val="40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aplicadas</w:t>
      </w:r>
      <w:r>
        <w:rPr>
          <w:rFonts w:hint="default" w:ascii="Arial" w:hAnsi="Arial" w:cs="Arial"/>
          <w:spacing w:val="4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ao</w:t>
      </w:r>
      <w:r>
        <w:rPr>
          <w:rFonts w:hint="default" w:ascii="Arial" w:hAnsi="Arial" w:cs="Arial"/>
          <w:spacing w:val="40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responsável</w:t>
      </w:r>
      <w:r>
        <w:rPr>
          <w:rFonts w:hint="default" w:ascii="Arial" w:hAnsi="Arial" w:cs="Arial"/>
          <w:spacing w:val="40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pelas</w:t>
      </w:r>
      <w:r>
        <w:rPr>
          <w:rFonts w:hint="default" w:ascii="Arial" w:hAnsi="Arial" w:cs="Arial"/>
          <w:spacing w:val="40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infrações</w:t>
      </w:r>
      <w:r>
        <w:rPr>
          <w:rFonts w:hint="default" w:ascii="Arial" w:hAnsi="Arial" w:cs="Arial"/>
          <w:spacing w:val="4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administrativas</w:t>
      </w:r>
      <w:r>
        <w:rPr>
          <w:rFonts w:hint="default" w:ascii="Arial" w:hAnsi="Arial" w:cs="Arial"/>
          <w:spacing w:val="-47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previstas nesta Lei as seguintes sanções:</w:t>
      </w:r>
    </w:p>
    <w:p w14:paraId="33EAF6EB">
      <w:pPr>
        <w:numPr>
          <w:ilvl w:val="0"/>
          <w:numId w:val="6"/>
        </w:numPr>
        <w:tabs>
          <w:tab w:val="left" w:pos="1800"/>
        </w:tabs>
        <w:spacing w:line="324" w:lineRule="auto"/>
        <w:ind w:left="2800" w:leftChars="1400" w:firstLine="0" w:firstLineChars="0"/>
        <w:jc w:val="both"/>
        <w:rPr>
          <w:rFonts w:hint="default" w:ascii="Arial" w:hAnsi="Arial" w:cs="Arial"/>
          <w:sz w:val="18"/>
          <w:szCs w:val="18"/>
          <w:lang w:eastAsia="en-US"/>
        </w:rPr>
      </w:pPr>
      <w:r>
        <w:rPr>
          <w:rFonts w:hint="default" w:ascii="Arial" w:hAnsi="Arial" w:cs="Arial"/>
          <w:sz w:val="18"/>
          <w:szCs w:val="18"/>
          <w:lang w:eastAsia="en-US"/>
        </w:rPr>
        <w:t>- advertência;</w:t>
      </w:r>
    </w:p>
    <w:p w14:paraId="580F574F">
      <w:pPr>
        <w:numPr>
          <w:ilvl w:val="0"/>
          <w:numId w:val="6"/>
        </w:numPr>
        <w:tabs>
          <w:tab w:val="left" w:pos="1800"/>
        </w:tabs>
        <w:spacing w:line="324" w:lineRule="auto"/>
        <w:ind w:left="2800" w:leftChars="1400" w:firstLine="0" w:firstLineChars="0"/>
        <w:jc w:val="both"/>
        <w:rPr>
          <w:rFonts w:hint="default" w:ascii="Arial" w:hAnsi="Arial" w:cs="Arial"/>
          <w:sz w:val="18"/>
          <w:szCs w:val="18"/>
          <w:lang w:eastAsia="en-US"/>
        </w:rPr>
      </w:pPr>
      <w:r>
        <w:rPr>
          <w:rFonts w:hint="default" w:ascii="Arial" w:hAnsi="Arial" w:cs="Arial"/>
          <w:sz w:val="18"/>
          <w:szCs w:val="18"/>
          <w:lang w:eastAsia="en-US"/>
        </w:rPr>
        <w:t>- multa;</w:t>
      </w:r>
    </w:p>
    <w:p w14:paraId="5F95458B">
      <w:pPr>
        <w:numPr>
          <w:ilvl w:val="0"/>
          <w:numId w:val="6"/>
        </w:numPr>
        <w:tabs>
          <w:tab w:val="left" w:pos="1800"/>
        </w:tabs>
        <w:spacing w:line="324" w:lineRule="auto"/>
        <w:ind w:left="2800" w:leftChars="1400" w:firstLine="0" w:firstLineChars="0"/>
        <w:jc w:val="both"/>
        <w:rPr>
          <w:rFonts w:hint="default" w:ascii="Arial" w:hAnsi="Arial" w:cs="Arial"/>
          <w:sz w:val="18"/>
          <w:szCs w:val="18"/>
          <w:lang w:eastAsia="en-US"/>
        </w:rPr>
      </w:pPr>
      <w:r>
        <w:rPr>
          <w:rFonts w:hint="default" w:ascii="Arial" w:hAnsi="Arial" w:cs="Arial"/>
          <w:sz w:val="18"/>
          <w:szCs w:val="18"/>
          <w:lang w:eastAsia="en-US"/>
        </w:rPr>
        <w:t>- impedimento de licitar e contratar;</w:t>
      </w:r>
    </w:p>
    <w:p w14:paraId="7C99C926">
      <w:pPr>
        <w:numPr>
          <w:ilvl w:val="0"/>
          <w:numId w:val="6"/>
        </w:numPr>
        <w:tabs>
          <w:tab w:val="left" w:pos="1800"/>
        </w:tabs>
        <w:spacing w:line="324" w:lineRule="auto"/>
        <w:ind w:left="2800" w:leftChars="1400" w:firstLine="0" w:firstLineChars="0"/>
        <w:jc w:val="both"/>
        <w:rPr>
          <w:rFonts w:hint="default" w:ascii="Arial" w:hAnsi="Arial" w:cs="Arial"/>
          <w:sz w:val="18"/>
          <w:szCs w:val="18"/>
          <w:lang w:eastAsia="en-US"/>
        </w:rPr>
      </w:pPr>
      <w:r>
        <w:rPr>
          <w:rFonts w:hint="default" w:ascii="Arial" w:hAnsi="Arial" w:cs="Arial"/>
          <w:sz w:val="18"/>
          <w:szCs w:val="18"/>
          <w:lang w:eastAsia="en-US"/>
        </w:rPr>
        <w:t>- declaração de inidoneidade para licitar ou contratar.</w:t>
      </w:r>
    </w:p>
    <w:p w14:paraId="32C6A6F9">
      <w:pPr>
        <w:tabs>
          <w:tab w:val="left" w:pos="1800"/>
        </w:tabs>
        <w:spacing w:line="324" w:lineRule="auto"/>
        <w:ind w:left="2800" w:leftChars="1400" w:firstLine="0" w:firstLineChars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b/>
          <w:bCs/>
          <w:sz w:val="18"/>
          <w:szCs w:val="18"/>
        </w:rPr>
        <w:t xml:space="preserve">§ 1º </w:t>
      </w:r>
      <w:r>
        <w:rPr>
          <w:rFonts w:hint="default" w:ascii="Arial" w:hAnsi="Arial" w:cs="Arial"/>
          <w:sz w:val="18"/>
          <w:szCs w:val="18"/>
        </w:rPr>
        <w:t xml:space="preserve">Na aplicação das sanções serão considerados: </w:t>
      </w:r>
    </w:p>
    <w:p w14:paraId="0A007527">
      <w:pPr>
        <w:tabs>
          <w:tab w:val="left" w:pos="1800"/>
        </w:tabs>
        <w:spacing w:line="324" w:lineRule="auto"/>
        <w:ind w:left="2800" w:leftChars="1400" w:firstLine="0" w:firstLineChars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b/>
          <w:bCs/>
          <w:sz w:val="18"/>
          <w:szCs w:val="18"/>
        </w:rPr>
        <w:t>I</w:t>
      </w:r>
      <w:r>
        <w:rPr>
          <w:rFonts w:hint="default" w:ascii="Arial" w:hAnsi="Arial" w:cs="Arial"/>
          <w:b/>
          <w:bCs/>
          <w:sz w:val="18"/>
          <w:szCs w:val="18"/>
          <w:lang w:val="pt-BR"/>
        </w:rPr>
        <w:t>.</w:t>
      </w:r>
      <w:r>
        <w:rPr>
          <w:rFonts w:hint="default" w:ascii="Arial" w:hAnsi="Arial" w:cs="Arial"/>
          <w:sz w:val="18"/>
          <w:szCs w:val="18"/>
        </w:rPr>
        <w:t xml:space="preserve"> a natureza e a gravidade da infração cometida; </w:t>
      </w:r>
    </w:p>
    <w:p w14:paraId="5FD35A90">
      <w:pPr>
        <w:tabs>
          <w:tab w:val="left" w:pos="1800"/>
        </w:tabs>
        <w:spacing w:line="324" w:lineRule="auto"/>
        <w:ind w:left="2800" w:leftChars="1400" w:firstLine="0" w:firstLineChars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b/>
          <w:bCs/>
          <w:sz w:val="18"/>
          <w:szCs w:val="18"/>
        </w:rPr>
        <w:t>II</w:t>
      </w:r>
      <w:r>
        <w:rPr>
          <w:rFonts w:hint="default" w:ascii="Arial" w:hAnsi="Arial" w:cs="Arial"/>
          <w:b/>
          <w:bCs/>
          <w:sz w:val="18"/>
          <w:szCs w:val="18"/>
          <w:lang w:val="pt-BR"/>
        </w:rPr>
        <w:t>.</w:t>
      </w:r>
      <w:r>
        <w:rPr>
          <w:rFonts w:hint="default" w:ascii="Arial" w:hAnsi="Arial" w:cs="Arial"/>
          <w:b/>
          <w:bCs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as peculiaridades do caso concreto;</w:t>
      </w:r>
    </w:p>
    <w:p w14:paraId="34F5A212">
      <w:pPr>
        <w:tabs>
          <w:tab w:val="left" w:pos="1800"/>
        </w:tabs>
        <w:spacing w:line="324" w:lineRule="auto"/>
        <w:ind w:left="2800" w:leftChars="1400" w:firstLine="0" w:firstLineChars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b/>
          <w:bCs/>
          <w:sz w:val="18"/>
          <w:szCs w:val="18"/>
          <w:lang w:val="pt-BR"/>
        </w:rPr>
        <w:t>III.</w:t>
      </w:r>
      <w:r>
        <w:rPr>
          <w:rFonts w:hint="default" w:ascii="Arial" w:hAnsi="Arial" w:cs="Arial"/>
          <w:sz w:val="18"/>
          <w:szCs w:val="18"/>
          <w:lang w:val="pt-BR"/>
        </w:rPr>
        <w:t xml:space="preserve"> </w:t>
      </w:r>
      <w:r>
        <w:rPr>
          <w:rFonts w:hint="default" w:ascii="Arial" w:hAnsi="Arial" w:cs="Arial"/>
          <w:sz w:val="18"/>
          <w:szCs w:val="18"/>
        </w:rPr>
        <w:t>as circunstâncias agravantes ou atenuantes;</w:t>
      </w:r>
    </w:p>
    <w:p w14:paraId="49AFF843">
      <w:pPr>
        <w:tabs>
          <w:tab w:val="left" w:pos="1800"/>
        </w:tabs>
        <w:spacing w:line="324" w:lineRule="auto"/>
        <w:ind w:left="2800" w:leftChars="1400" w:firstLine="0" w:firstLineChars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b/>
          <w:bCs/>
          <w:sz w:val="18"/>
          <w:szCs w:val="18"/>
          <w:lang w:val="pt-BR"/>
        </w:rPr>
        <w:t>IV.</w:t>
      </w:r>
      <w:r>
        <w:rPr>
          <w:rFonts w:hint="default" w:ascii="Arial" w:hAnsi="Arial" w:cs="Arial"/>
          <w:sz w:val="18"/>
          <w:szCs w:val="18"/>
          <w:lang w:val="pt-BR"/>
        </w:rPr>
        <w:t xml:space="preserve"> </w:t>
      </w:r>
      <w:r>
        <w:rPr>
          <w:rFonts w:hint="default" w:ascii="Arial" w:hAnsi="Arial" w:cs="Arial"/>
          <w:sz w:val="18"/>
          <w:szCs w:val="18"/>
        </w:rPr>
        <w:t>os danos que dela provierem para a Administração Pública;</w:t>
      </w:r>
    </w:p>
    <w:p w14:paraId="3439C33F">
      <w:pPr>
        <w:tabs>
          <w:tab w:val="left" w:pos="1800"/>
        </w:tabs>
        <w:spacing w:line="324" w:lineRule="auto"/>
        <w:ind w:left="2800" w:leftChars="1400" w:firstLine="0" w:firstLineChars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b/>
          <w:bCs/>
          <w:sz w:val="18"/>
          <w:szCs w:val="18"/>
          <w:lang w:val="pt-BR"/>
        </w:rPr>
        <w:t>V.</w:t>
      </w:r>
      <w:r>
        <w:rPr>
          <w:rFonts w:hint="default" w:ascii="Arial" w:hAnsi="Arial" w:cs="Arial"/>
          <w:sz w:val="18"/>
          <w:szCs w:val="18"/>
          <w:lang w:val="pt-BR"/>
        </w:rPr>
        <w:t xml:space="preserve"> </w:t>
      </w:r>
      <w:r>
        <w:rPr>
          <w:rFonts w:hint="default" w:ascii="Arial" w:hAnsi="Arial" w:cs="Arial"/>
          <w:sz w:val="18"/>
          <w:szCs w:val="18"/>
        </w:rPr>
        <w:t>a implantação ou o aperfeiçoamento de programa de integridade, conforme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normas</w:t>
      </w:r>
      <w:r>
        <w:rPr>
          <w:rFonts w:hint="default" w:ascii="Arial" w:hAnsi="Arial" w:cs="Arial"/>
          <w:spacing w:val="-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e orientações dos órgãos de controle.</w:t>
      </w:r>
    </w:p>
    <w:p w14:paraId="2704294C">
      <w:pPr>
        <w:tabs>
          <w:tab w:val="left" w:pos="1800"/>
        </w:tabs>
        <w:spacing w:line="324" w:lineRule="auto"/>
        <w:ind w:left="2800" w:leftChars="1400" w:right="112" w:firstLine="0" w:firstLineChars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b/>
          <w:bCs/>
          <w:sz w:val="18"/>
          <w:szCs w:val="18"/>
        </w:rPr>
        <w:t>§</w:t>
      </w:r>
      <w:r>
        <w:rPr>
          <w:rFonts w:hint="default" w:ascii="Arial" w:hAnsi="Arial" w:cs="Arial"/>
          <w:b/>
          <w:bCs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b/>
          <w:bCs/>
          <w:sz w:val="18"/>
          <w:szCs w:val="18"/>
        </w:rPr>
        <w:t>2º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A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sanção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prevista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no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inciso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I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do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b/>
          <w:sz w:val="18"/>
          <w:szCs w:val="18"/>
        </w:rPr>
        <w:t>caput</w:t>
      </w:r>
      <w:r>
        <w:rPr>
          <w:rFonts w:hint="default" w:ascii="Arial" w:hAnsi="Arial" w:cs="Arial"/>
          <w:b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deste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artigo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será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aplicada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 xml:space="preserve">exclusivamente pela infração administrativa prevista no inciso I do </w:t>
      </w:r>
      <w:r>
        <w:rPr>
          <w:rFonts w:hint="default" w:ascii="Arial" w:hAnsi="Arial" w:cs="Arial"/>
          <w:b/>
          <w:sz w:val="18"/>
          <w:szCs w:val="18"/>
        </w:rPr>
        <w:t xml:space="preserve">caput </w:t>
      </w:r>
      <w:r>
        <w:rPr>
          <w:rFonts w:hint="default" w:ascii="Arial" w:hAnsi="Arial" w:cs="Arial"/>
          <w:sz w:val="18"/>
          <w:szCs w:val="18"/>
        </w:rPr>
        <w:t>do art.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155 desta Lei, quando não se justificar a imposição de penalidade mais grave.</w:t>
      </w:r>
    </w:p>
    <w:p w14:paraId="65B1012E">
      <w:pPr>
        <w:tabs>
          <w:tab w:val="left" w:pos="1800"/>
        </w:tabs>
        <w:spacing w:line="324" w:lineRule="auto"/>
        <w:ind w:left="2800" w:leftChars="1400" w:right="113" w:firstLine="0" w:firstLineChars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b/>
          <w:bCs/>
          <w:sz w:val="18"/>
          <w:szCs w:val="18"/>
        </w:rPr>
        <w:t xml:space="preserve">§ 3º </w:t>
      </w:r>
      <w:r>
        <w:rPr>
          <w:rFonts w:hint="default" w:ascii="Arial" w:hAnsi="Arial" w:cs="Arial"/>
          <w:sz w:val="18"/>
          <w:szCs w:val="18"/>
        </w:rPr>
        <w:t xml:space="preserve">A sanção prevista no inciso II do </w:t>
      </w:r>
      <w:r>
        <w:rPr>
          <w:rFonts w:hint="default" w:ascii="Arial" w:hAnsi="Arial" w:cs="Arial"/>
          <w:b/>
          <w:sz w:val="18"/>
          <w:szCs w:val="18"/>
        </w:rPr>
        <w:t xml:space="preserve">caput </w:t>
      </w:r>
      <w:r>
        <w:rPr>
          <w:rFonts w:hint="default" w:ascii="Arial" w:hAnsi="Arial" w:cs="Arial"/>
          <w:sz w:val="18"/>
          <w:szCs w:val="18"/>
        </w:rPr>
        <w:t>deste artigo, calculada na forma do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edital ou do contrato, não poderá ser inferior a 0,5% (cinco décimos por cento)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nem superior a 30% (trinta por cento) do valor do contrato licitado ou celebrado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com contratação direta e será aplicada ao responsável por qualquer das infrações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administrativas previstas no art. 155 desta Lei.</w:t>
      </w:r>
    </w:p>
    <w:p w14:paraId="528720DE">
      <w:pPr>
        <w:tabs>
          <w:tab w:val="left" w:pos="1800"/>
        </w:tabs>
        <w:spacing w:line="228" w:lineRule="exact"/>
        <w:ind w:left="2800" w:leftChars="1400" w:firstLine="0" w:firstLineChars="0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(...)</w:t>
      </w:r>
    </w:p>
    <w:p w14:paraId="45FAA5D1">
      <w:pPr>
        <w:tabs>
          <w:tab w:val="left" w:pos="1800"/>
        </w:tabs>
        <w:spacing w:line="228" w:lineRule="exact"/>
        <w:jc w:val="both"/>
        <w:rPr>
          <w:rFonts w:hint="default" w:ascii="Arial" w:hAnsi="Arial" w:cs="Arial"/>
          <w:sz w:val="22"/>
          <w:szCs w:val="22"/>
        </w:rPr>
      </w:pPr>
    </w:p>
    <w:p w14:paraId="3BB82BC0">
      <w:pPr>
        <w:pStyle w:val="2"/>
        <w:numPr>
          <w:ilvl w:val="0"/>
          <w:numId w:val="2"/>
        </w:numPr>
        <w:ind w:left="0" w:firstLine="0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EXIGÊNCIAS HABILITATÓRIAS MÍNIMAS</w:t>
      </w:r>
    </w:p>
    <w:p w14:paraId="23734303">
      <w:pPr>
        <w:pStyle w:val="11"/>
        <w:widowControl w:val="0"/>
        <w:autoSpaceDE w:val="0"/>
        <w:autoSpaceDN w:val="0"/>
        <w:spacing w:before="240" w:after="240"/>
        <w:ind w:right="113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É exigido minimamente a regularidade fiscal com a Fazenda Federal, Estadual e Municipal, INSS e Justiça do Trabalho, conforme incisos III, IV e V do art. 68 da Lei n. 14.133/2021.</w:t>
      </w:r>
    </w:p>
    <w:p w14:paraId="17DE90E6">
      <w:pPr>
        <w:pStyle w:val="2"/>
        <w:numPr>
          <w:ilvl w:val="0"/>
          <w:numId w:val="2"/>
        </w:numPr>
        <w:tabs>
          <w:tab w:val="left" w:pos="0"/>
        </w:tabs>
        <w:ind w:left="0" w:firstLine="0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DISPOSIÇÕES GERAIS</w:t>
      </w:r>
    </w:p>
    <w:p w14:paraId="62E9FB35">
      <w:pPr>
        <w:pStyle w:val="16"/>
        <w:spacing w:before="240" w:after="240"/>
        <w:ind w:left="0"/>
        <w:contextualSpacing w:val="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sz w:val="22"/>
          <w:szCs w:val="22"/>
          <w:lang w:eastAsia="pt-BR"/>
        </w:rPr>
        <w:t xml:space="preserve">A presente contratação direta, por inexigibilidade de licitação, fundamenta-se no art. 74, inciso III, alínea “f”, da Lei Federal nº 14.133/2021, estando plenamente justificada diante da inviabilidade de competição, da singularidade do objeto e da notória especialização da instituição promotora do </w:t>
      </w:r>
      <w:r>
        <w:rPr>
          <w:rFonts w:hint="default" w:ascii="Arial" w:hAnsi="Arial" w:eastAsia="Times New Roman" w:cs="Arial"/>
          <w:sz w:val="22"/>
          <w:szCs w:val="22"/>
          <w:lang w:val="en-US" w:eastAsia="pt-BR"/>
        </w:rPr>
        <w:t>curso</w:t>
      </w:r>
      <w:r>
        <w:rPr>
          <w:rFonts w:hint="default" w:ascii="Arial" w:hAnsi="Arial" w:eastAsia="Times New Roman" w:cs="Arial"/>
          <w:sz w:val="22"/>
          <w:szCs w:val="22"/>
          <w:lang w:eastAsia="pt-BR"/>
        </w:rPr>
        <w:t>.</w:t>
      </w:r>
    </w:p>
    <w:p w14:paraId="4557022F">
      <w:pPr>
        <w:pStyle w:val="16"/>
        <w:spacing w:before="240" w:after="240"/>
        <w:ind w:left="0"/>
        <w:contextualSpacing w:val="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sz w:val="22"/>
          <w:szCs w:val="22"/>
          <w:lang w:eastAsia="pt-BR"/>
        </w:rPr>
        <w:t xml:space="preserve">A participação de representantes do Instituto de Previdência dos Servidores do Município de Guarapari/ES – IPG </w:t>
      </w:r>
      <w:r>
        <w:rPr>
          <w:rFonts w:hint="default" w:ascii="Arial" w:hAnsi="Arial" w:eastAsia="Times New Roman" w:cs="Arial"/>
          <w:sz w:val="22"/>
          <w:szCs w:val="22"/>
          <w:lang w:val="en-US" w:eastAsia="pt-BR"/>
        </w:rPr>
        <w:t xml:space="preserve">no evento “23º Congresso Previdenciário APEPREV” </w:t>
      </w:r>
      <w:r>
        <w:rPr>
          <w:rFonts w:hint="default" w:ascii="Arial" w:hAnsi="Arial" w:eastAsia="Times New Roman" w:cs="Arial"/>
          <w:sz w:val="22"/>
          <w:szCs w:val="22"/>
          <w:lang w:eastAsia="pt-BR"/>
        </w:rPr>
        <w:t>constitui medida de capacitação estratégica e necessária, alinhada às exigências previstas na Portaria MPS nº 1.467/2022, especialmente quanto à qualificação técnica dos agentes responsáveis pela formulação.</w:t>
      </w:r>
    </w:p>
    <w:p w14:paraId="35FBAE6D">
      <w:pPr>
        <w:pStyle w:val="16"/>
        <w:spacing w:before="240" w:after="240"/>
        <w:ind w:left="0"/>
        <w:contextualSpacing w:val="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sz w:val="22"/>
          <w:szCs w:val="22"/>
          <w:lang w:eastAsia="pt-BR"/>
        </w:rPr>
        <w:t xml:space="preserve">O investimento em capacitação técnica, especialmente em </w:t>
      </w:r>
      <w:r>
        <w:rPr>
          <w:rFonts w:hint="default" w:ascii="Arial" w:hAnsi="Arial" w:eastAsia="Times New Roman" w:cs="Arial"/>
          <w:sz w:val="22"/>
          <w:szCs w:val="22"/>
          <w:lang w:val="en-US" w:eastAsia="pt-BR"/>
        </w:rPr>
        <w:t>eventos</w:t>
      </w:r>
      <w:r>
        <w:rPr>
          <w:rFonts w:hint="default" w:ascii="Arial" w:hAnsi="Arial" w:eastAsia="Times New Roman" w:cs="Arial"/>
          <w:sz w:val="22"/>
          <w:szCs w:val="22"/>
          <w:lang w:eastAsia="pt-BR"/>
        </w:rPr>
        <w:t xml:space="preserve"> reconhecidos nacionalmente, contribui para o fortalecimento da governança institucional, o aprimoramento do processo decisório e o cumprimento dos princípios da legalidade, eficiência, economicidade e interesse público. Ressalte-se que tais diretrizes também são reforçadas pelas orientações do </w:t>
      </w:r>
      <w:r>
        <w:rPr>
          <w:rFonts w:hint="default" w:ascii="Arial" w:hAnsi="Arial" w:eastAsia="Times New Roman" w:cs="Arial"/>
          <w:b/>
          <w:bCs/>
          <w:sz w:val="22"/>
          <w:szCs w:val="22"/>
          <w:lang w:eastAsia="pt-BR"/>
        </w:rPr>
        <w:t>Tribunal de Contas do Estado do Espírito Santo (TCE-ES)</w:t>
      </w:r>
      <w:r>
        <w:rPr>
          <w:rFonts w:hint="default" w:ascii="Arial" w:hAnsi="Arial" w:eastAsia="Times New Roman" w:cs="Arial"/>
          <w:sz w:val="22"/>
          <w:szCs w:val="22"/>
          <w:lang w:eastAsia="pt-BR"/>
        </w:rPr>
        <w:t>, que vem reiteradamente enfatizando a importância da capacitação contínua dos gestores, conselheiros e membros de comitês técnicos dos RPPS, como mecanismo de prevenção de irregularidades e de melhoria na qualidade da gestão dos recursos previdenciários.</w:t>
      </w:r>
    </w:p>
    <w:p w14:paraId="135F4DEA">
      <w:pPr>
        <w:pStyle w:val="16"/>
        <w:spacing w:before="240" w:after="240"/>
        <w:ind w:left="0"/>
        <w:contextualSpacing w:val="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sz w:val="22"/>
          <w:szCs w:val="22"/>
          <w:lang w:eastAsia="pt-BR"/>
        </w:rPr>
        <w:t xml:space="preserve">A instrução do presente processo administrativo observa ainda os princípios e normas de </w:t>
      </w:r>
      <w:r>
        <w:rPr>
          <w:rFonts w:hint="default" w:ascii="Arial" w:hAnsi="Arial" w:eastAsia="Times New Roman" w:cs="Arial"/>
          <w:b/>
          <w:bCs/>
          <w:sz w:val="22"/>
          <w:szCs w:val="22"/>
          <w:lang w:eastAsia="pt-BR"/>
        </w:rPr>
        <w:t>controle interno preventivo,</w:t>
      </w:r>
      <w:r>
        <w:rPr>
          <w:rFonts w:hint="default" w:ascii="Arial" w:hAnsi="Arial" w:eastAsia="Times New Roman" w:cs="Arial"/>
          <w:sz w:val="22"/>
          <w:szCs w:val="22"/>
          <w:lang w:eastAsia="pt-BR"/>
        </w:rPr>
        <w:t xml:space="preserve"> com respaldo nas boas práticas recomendadas pelo TCE-ES, pela Secretaria de Previdência do Ministério da Fazenda e por manuais técnicos como o </w:t>
      </w:r>
      <w:r>
        <w:rPr>
          <w:rFonts w:hint="default" w:ascii="Arial" w:hAnsi="Arial" w:eastAsia="Times New Roman" w:cs="Arial"/>
          <w:i/>
          <w:iCs/>
          <w:sz w:val="22"/>
          <w:szCs w:val="22"/>
          <w:lang w:eastAsia="pt-BR"/>
        </w:rPr>
        <w:t>Guia de Boas Práticas de Investimentos dos RPPS</w:t>
      </w:r>
      <w:r>
        <w:rPr>
          <w:rFonts w:hint="default" w:ascii="Arial" w:hAnsi="Arial" w:eastAsia="Times New Roman" w:cs="Arial"/>
          <w:sz w:val="22"/>
          <w:szCs w:val="22"/>
          <w:lang w:eastAsia="pt-BR"/>
        </w:rPr>
        <w:t xml:space="preserve"> e a </w:t>
      </w:r>
      <w:r>
        <w:rPr>
          <w:rFonts w:hint="default" w:ascii="Arial" w:hAnsi="Arial" w:eastAsia="Times New Roman" w:cs="Arial"/>
          <w:i/>
          <w:iCs/>
          <w:sz w:val="22"/>
          <w:szCs w:val="22"/>
          <w:lang w:eastAsia="pt-BR"/>
        </w:rPr>
        <w:t>Cartilha de Boas Práticas de Governança Previdenciária</w:t>
      </w:r>
      <w:r>
        <w:rPr>
          <w:rFonts w:hint="default" w:ascii="Arial" w:hAnsi="Arial" w:eastAsia="Times New Roman" w:cs="Arial"/>
          <w:sz w:val="22"/>
          <w:szCs w:val="22"/>
          <w:lang w:eastAsia="pt-BR"/>
        </w:rPr>
        <w:t>, os quais reforçam a necessidade de adoção de mecanismos formais de capacitação, como requisito essencial à boa governança e à mitigação de riscos na gestão previdenciária.</w:t>
      </w:r>
    </w:p>
    <w:p w14:paraId="4A3CB3F8">
      <w:pPr>
        <w:pStyle w:val="16"/>
        <w:spacing w:before="240" w:after="240"/>
        <w:ind w:left="0"/>
        <w:contextualSpacing w:val="0"/>
        <w:jc w:val="both"/>
        <w:rPr>
          <w:rFonts w:hint="default" w:ascii="Arial" w:hAnsi="Arial" w:eastAsia="Times New Roman" w:cs="Arial"/>
          <w:sz w:val="22"/>
          <w:szCs w:val="22"/>
          <w:lang w:eastAsia="pt-BR"/>
        </w:rPr>
      </w:pPr>
      <w:r>
        <w:rPr>
          <w:rFonts w:hint="default" w:ascii="Arial" w:hAnsi="Arial" w:eastAsia="Times New Roman" w:cs="Arial"/>
          <w:sz w:val="22"/>
          <w:szCs w:val="22"/>
          <w:lang w:eastAsia="pt-BR"/>
        </w:rPr>
        <w:t xml:space="preserve">Diante disso, a contratação aqui proposta revela-se </w:t>
      </w:r>
      <w:r>
        <w:rPr>
          <w:rFonts w:hint="default" w:ascii="Arial" w:hAnsi="Arial" w:eastAsia="Times New Roman" w:cs="Arial"/>
          <w:b/>
          <w:bCs/>
          <w:sz w:val="22"/>
          <w:szCs w:val="22"/>
          <w:lang w:eastAsia="pt-BR"/>
        </w:rPr>
        <w:t>legal, legítima, vantajosa e compatível com os princípios da administração pública</w:t>
      </w:r>
      <w:r>
        <w:rPr>
          <w:rFonts w:hint="default" w:ascii="Arial" w:hAnsi="Arial" w:eastAsia="Times New Roman" w:cs="Arial"/>
          <w:sz w:val="22"/>
          <w:szCs w:val="22"/>
          <w:lang w:eastAsia="pt-BR"/>
        </w:rPr>
        <w:t>, representando ação estratégica para o cumprimento das obrigações legais, para o fortalecimento institucional do IPG e, sobretudo, para a promoção da sustentabilidade atuarial e financeira do Regime Próprio de Previdência Social do Município de Guarapari/ES.</w:t>
      </w:r>
    </w:p>
    <w:p w14:paraId="6B0BB95E">
      <w:pPr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</w:rPr>
        <w:t xml:space="preserve">Guarapari/ES, </w:t>
      </w:r>
      <w:r>
        <w:rPr>
          <w:rFonts w:hint="default" w:ascii="Arial" w:hAnsi="Arial" w:cs="Arial"/>
          <w:sz w:val="22"/>
          <w:szCs w:val="22"/>
          <w:lang w:val="pt-BR"/>
        </w:rPr>
        <w:t>10</w:t>
      </w:r>
      <w:r>
        <w:rPr>
          <w:rFonts w:hint="default" w:ascii="Arial" w:hAnsi="Arial" w:cs="Arial"/>
          <w:sz w:val="22"/>
          <w:szCs w:val="22"/>
        </w:rPr>
        <w:t xml:space="preserve"> de ju</w:t>
      </w:r>
      <w:r>
        <w:rPr>
          <w:rFonts w:hint="default" w:ascii="Arial" w:hAnsi="Arial" w:cs="Arial"/>
          <w:sz w:val="22"/>
          <w:szCs w:val="22"/>
          <w:lang w:val="pt-BR"/>
        </w:rPr>
        <w:t>l</w:t>
      </w:r>
      <w:r>
        <w:rPr>
          <w:rFonts w:hint="default" w:ascii="Arial" w:hAnsi="Arial" w:cs="Arial"/>
          <w:sz w:val="22"/>
          <w:szCs w:val="22"/>
        </w:rPr>
        <w:t>ho de 2025</w:t>
      </w:r>
      <w:r>
        <w:rPr>
          <w:rFonts w:hint="default" w:ascii="Arial" w:hAnsi="Arial" w:cs="Arial"/>
          <w:sz w:val="22"/>
          <w:szCs w:val="22"/>
          <w:lang w:val="pt-BR"/>
        </w:rPr>
        <w:t>.</w:t>
      </w:r>
      <w:bookmarkStart w:id="0" w:name="_GoBack"/>
      <w:bookmarkEnd w:id="0"/>
    </w:p>
    <w:p w14:paraId="05C6BC59">
      <w:pPr>
        <w:rPr>
          <w:rFonts w:hint="default" w:ascii="Arial" w:hAnsi="Arial" w:cs="Arial"/>
          <w:sz w:val="22"/>
          <w:szCs w:val="22"/>
        </w:rPr>
      </w:pPr>
    </w:p>
    <w:p w14:paraId="5842670F">
      <w:pPr>
        <w:rPr>
          <w:rFonts w:hint="default" w:ascii="Arial" w:hAnsi="Arial" w:cs="Arial"/>
          <w:sz w:val="22"/>
          <w:szCs w:val="22"/>
        </w:rPr>
      </w:pPr>
    </w:p>
    <w:p w14:paraId="4673637B">
      <w:pPr>
        <w:rPr>
          <w:rFonts w:hint="default" w:ascii="Arial" w:hAnsi="Arial" w:cs="Arial"/>
          <w:sz w:val="22"/>
          <w:szCs w:val="22"/>
        </w:rPr>
      </w:pPr>
    </w:p>
    <w:p w14:paraId="3BD33A91">
      <w:pPr>
        <w:rPr>
          <w:rFonts w:hint="default" w:ascii="Arial" w:hAnsi="Arial" w:cs="Arial"/>
          <w:sz w:val="22"/>
          <w:szCs w:val="22"/>
        </w:rPr>
      </w:pPr>
    </w:p>
    <w:p w14:paraId="317AAA6A">
      <w:pPr>
        <w:pStyle w:val="4"/>
        <w:numPr>
          <w:ilvl w:val="0"/>
          <w:numId w:val="7"/>
        </w:numPr>
        <w:ind w:left="0" w:firstLine="0"/>
        <w:rPr>
          <w:rFonts w:hint="default" w:ascii="Arial" w:hAnsi="Arial" w:cs="Arial"/>
          <w:i w:val="0"/>
          <w:iCs/>
          <w:sz w:val="22"/>
          <w:szCs w:val="22"/>
        </w:rPr>
      </w:pPr>
      <w:r>
        <w:rPr>
          <w:rFonts w:hint="default" w:ascii="Arial" w:hAnsi="Arial" w:cs="Arial"/>
          <w:i w:val="0"/>
          <w:iCs/>
          <w:sz w:val="22"/>
          <w:szCs w:val="22"/>
        </w:rPr>
        <w:t>MARLENO MEDEIROS OLIVEIRA</w:t>
      </w:r>
    </w:p>
    <w:p w14:paraId="4459FDB3">
      <w:pPr>
        <w:pStyle w:val="5"/>
        <w:numPr>
          <w:ilvl w:val="0"/>
          <w:numId w:val="7"/>
        </w:numPr>
        <w:ind w:left="0" w:firstLine="0"/>
        <w:rPr>
          <w:rFonts w:hint="default" w:ascii="Arial" w:hAnsi="Arial" w:cs="Arial"/>
          <w:iCs/>
          <w:sz w:val="22"/>
          <w:szCs w:val="22"/>
        </w:rPr>
      </w:pPr>
      <w:r>
        <w:rPr>
          <w:rFonts w:hint="default" w:ascii="Arial" w:hAnsi="Arial" w:cs="Arial"/>
          <w:iCs/>
          <w:sz w:val="22"/>
          <w:szCs w:val="22"/>
        </w:rPr>
        <w:t>Diretor Administrativo e Financeiro</w:t>
      </w:r>
      <w:r>
        <w:rPr>
          <w:rFonts w:hint="default" w:ascii="Arial" w:hAnsi="Arial" w:cs="Arial"/>
          <w:iCs/>
          <w:color w:val="000000"/>
          <w:sz w:val="22"/>
          <w:szCs w:val="22"/>
        </w:rPr>
        <w:t xml:space="preserve"> Instituto de Previdência </w:t>
      </w:r>
    </w:p>
    <w:p w14:paraId="72DA40D3">
      <w:pPr>
        <w:pStyle w:val="5"/>
        <w:numPr>
          <w:ilvl w:val="0"/>
          <w:numId w:val="7"/>
        </w:numPr>
        <w:ind w:left="0" w:firstLine="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iCs/>
          <w:color w:val="000000"/>
          <w:sz w:val="22"/>
          <w:szCs w:val="22"/>
        </w:rPr>
        <w:t xml:space="preserve">dos </w:t>
      </w:r>
      <w:r>
        <w:rPr>
          <w:rFonts w:hint="default" w:ascii="Arial" w:hAnsi="Arial" w:cs="Arial"/>
          <w:bCs/>
          <w:iCs/>
          <w:color w:val="000000"/>
          <w:sz w:val="22"/>
          <w:szCs w:val="22"/>
        </w:rPr>
        <w:t>Servidores do Município de Guarapari/ES – IPG</w:t>
      </w:r>
    </w:p>
    <w:sectPr>
      <w:headerReference r:id="rId3" w:type="default"/>
      <w:footerReference r:id="rId4" w:type="default"/>
      <w:pgSz w:w="11906" w:h="16838"/>
      <w:pgMar w:top="1240" w:right="1306" w:bottom="1598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AD275D">
    <w:pPr>
      <w:jc w:val="center"/>
      <w:rPr>
        <w:rFonts w:ascii="Arial" w:hAnsi="Arial" w:cs="Arial"/>
        <w:sz w:val="16"/>
        <w:szCs w:val="16"/>
      </w:rPr>
    </w:pPr>
    <w:r>
      <w:rPr>
        <w:sz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188900">
                          <w:pPr>
                            <w:pStyle w:val="14"/>
                          </w:pPr>
                          <w:r>
                            <w:rPr>
                              <w:rFonts w:hint="default" w:ascii="Arial" w:hAnsi="Arial" w:cs="Arial"/>
                              <w:b/>
                              <w:bCs/>
                            </w:rPr>
                            <w:fldChar w:fldCharType="begin"/>
                          </w:r>
                          <w:r>
                            <w:rPr>
                              <w:rFonts w:hint="default" w:ascii="Arial" w:hAnsi="Arial" w:cs="Arial"/>
                              <w:b/>
                              <w:bCs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Arial" w:hAnsi="Arial" w:cs="Arial"/>
                              <w:b/>
                              <w:bCs/>
                            </w:rPr>
                            <w:fldChar w:fldCharType="separate"/>
                          </w:r>
                          <w:r>
                            <w:rPr>
                              <w:rFonts w:hint="default" w:ascii="Arial" w:hAnsi="Arial" w:cs="Arial"/>
                              <w:b/>
                              <w:bCs/>
                            </w:rPr>
                            <w:t>1</w:t>
                          </w:r>
                          <w:r>
                            <w:rPr>
                              <w:rFonts w:hint="default" w:ascii="Arial" w:hAnsi="Arial" w:cs="Arial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s0lY7tAA&#10;AAAFAQAADwAAAAAAAAABACAAAAAiAAAAZHJzL2Rvd25yZXYueG1sUEsBAhQAFAAAAAgAh07iQAR1&#10;FkMnAgAAZgQAAA4AAAAAAAAAAQAgAAAAHwEAAGRycy9lMm9Eb2MueG1sUEsFBgAAAAAGAAYAWQEA&#10;ALg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0188900">
                    <w:pPr>
                      <w:pStyle w:val="14"/>
                    </w:pPr>
                    <w:r>
                      <w:rPr>
                        <w:rFonts w:hint="default" w:ascii="Arial" w:hAnsi="Arial" w:cs="Arial"/>
                        <w:b/>
                        <w:bCs/>
                      </w:rPr>
                      <w:fldChar w:fldCharType="begin"/>
                    </w:r>
                    <w:r>
                      <w:rPr>
                        <w:rFonts w:hint="default" w:ascii="Arial" w:hAnsi="Arial" w:cs="Arial"/>
                        <w:b/>
                        <w:bCs/>
                      </w:rPr>
                      <w:instrText xml:space="preserve"> PAGE  \* MERGEFORMAT </w:instrText>
                    </w:r>
                    <w:r>
                      <w:rPr>
                        <w:rFonts w:hint="default" w:ascii="Arial" w:hAnsi="Arial" w:cs="Arial"/>
                        <w:b/>
                        <w:bCs/>
                      </w:rPr>
                      <w:fldChar w:fldCharType="separate"/>
                    </w:r>
                    <w:r>
                      <w:rPr>
                        <w:rFonts w:hint="default" w:ascii="Arial" w:hAnsi="Arial" w:cs="Arial"/>
                        <w:b/>
                        <w:bCs/>
                      </w:rPr>
                      <w:t>1</w:t>
                    </w:r>
                    <w:r>
                      <w:rPr>
                        <w:rFonts w:hint="default" w:ascii="Arial" w:hAnsi="Arial" w:cs="Arial"/>
                        <w:b/>
                        <w:bCs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sz w:val="16"/>
        <w:szCs w:val="16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-285115</wp:posOffset>
          </wp:positionH>
          <wp:positionV relativeFrom="paragraph">
            <wp:posOffset>31115</wp:posOffset>
          </wp:positionV>
          <wp:extent cx="428625" cy="349250"/>
          <wp:effectExtent l="0" t="0" r="9525" b="12700"/>
          <wp:wrapNone/>
          <wp:docPr id="4" name="Imagem 3" descr="Logotipo, nome da empres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Logotipo, nome da empresa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8625" cy="349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sz w:val="16"/>
        <w:szCs w:val="16"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-285115</wp:posOffset>
          </wp:positionH>
          <wp:positionV relativeFrom="paragraph">
            <wp:posOffset>31115</wp:posOffset>
          </wp:positionV>
          <wp:extent cx="428625" cy="349250"/>
          <wp:effectExtent l="0" t="0" r="9525" b="12700"/>
          <wp:wrapNone/>
          <wp:docPr id="3" name="Imagem 2" descr="Logotipo, nome da empres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Logotipo, nome da empresa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8625" cy="349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sz w:val="16"/>
        <w:szCs w:val="16"/>
      </w:rPr>
      <w:t>Av. Mar do Norte, 202 – Bairro Praia do Morro – CEP.: 29217-080 – Guarapari – ES</w:t>
    </w:r>
  </w:p>
  <w:p w14:paraId="35CBE677">
    <w:pPr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Telefones (27) 3361 - 8200</w:t>
    </w:r>
  </w:p>
  <w:p w14:paraId="4771104D">
    <w:pPr>
      <w:pStyle w:val="14"/>
      <w:jc w:val="center"/>
      <w:rPr>
        <w:sz w:val="16"/>
        <w:szCs w:val="16"/>
      </w:rPr>
    </w:pPr>
    <w:r>
      <w:fldChar w:fldCharType="begin"/>
    </w:r>
    <w:r>
      <w:instrText xml:space="preserve"> HYPERLINK "http://www.ipg-guarapari.org.br/" </w:instrText>
    </w:r>
    <w:r>
      <w:fldChar w:fldCharType="separate"/>
    </w:r>
    <w:r>
      <w:rPr>
        <w:rStyle w:val="10"/>
        <w:rFonts w:ascii="Arial" w:hAnsi="Arial" w:cs="Arial"/>
        <w:sz w:val="16"/>
        <w:szCs w:val="16"/>
      </w:rPr>
      <w:t>www.ipg-guarapari.org.br</w:t>
    </w:r>
    <w:r>
      <w:rPr>
        <w:rStyle w:val="10"/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–  e-mail : </w:t>
    </w:r>
    <w:r>
      <w:fldChar w:fldCharType="begin"/>
    </w:r>
    <w:r>
      <w:instrText xml:space="preserve"> HYPERLINK "mailto:ipg@ipg-guarapari.org.br" </w:instrText>
    </w:r>
    <w:r>
      <w:fldChar w:fldCharType="separate"/>
    </w:r>
    <w:r>
      <w:rPr>
        <w:rStyle w:val="10"/>
        <w:rFonts w:ascii="Arial" w:hAnsi="Arial" w:cs="Arial"/>
        <w:sz w:val="16"/>
        <w:szCs w:val="16"/>
      </w:rPr>
      <w:t>ipg@ipg-guarapari.org.br</w:t>
    </w:r>
    <w:r>
      <w:rPr>
        <w:rStyle w:val="10"/>
        <w:rFonts w:ascii="Arial" w:hAnsi="Arial" w:cs="Arial"/>
        <w:sz w:val="16"/>
        <w:szCs w:val="16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4E0B88">
    <w:pPr>
      <w:pStyle w:val="13"/>
      <w:jc w:val="center"/>
      <w:rPr>
        <w:rFonts w:ascii="Arial" w:hAnsi="Arial" w:cs="Arial"/>
        <w:b/>
        <w:i w:val="0"/>
        <w:iCs w:val="0"/>
        <w:sz w:val="24"/>
        <w:szCs w:val="24"/>
      </w:rPr>
    </w:pPr>
    <w:r>
      <w:rPr>
        <w:i w:val="0"/>
        <w:iCs w:val="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2454910</wp:posOffset>
          </wp:positionH>
          <wp:positionV relativeFrom="paragraph">
            <wp:posOffset>93980</wp:posOffset>
          </wp:positionV>
          <wp:extent cx="713105" cy="658495"/>
          <wp:effectExtent l="0" t="0" r="10795" b="825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105" cy="6584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14:paraId="4D8A8511">
    <w:pPr>
      <w:jc w:val="center"/>
      <w:rPr>
        <w:rFonts w:ascii="Arial" w:hAnsi="Arial" w:cs="Arial"/>
        <w:b/>
        <w:i w:val="0"/>
        <w:iCs w:val="0"/>
        <w:sz w:val="24"/>
        <w:szCs w:val="24"/>
      </w:rPr>
    </w:pPr>
  </w:p>
  <w:p w14:paraId="6EB1EC28">
    <w:pPr>
      <w:jc w:val="center"/>
      <w:rPr>
        <w:rFonts w:ascii="Arial" w:hAnsi="Arial" w:cs="Arial"/>
        <w:b/>
        <w:i w:val="0"/>
        <w:iCs w:val="0"/>
        <w:sz w:val="24"/>
        <w:szCs w:val="24"/>
      </w:rPr>
    </w:pPr>
  </w:p>
  <w:p w14:paraId="74BA3415">
    <w:pPr>
      <w:jc w:val="center"/>
      <w:rPr>
        <w:rFonts w:ascii="Arial" w:hAnsi="Arial" w:cs="Arial"/>
        <w:b/>
        <w:i w:val="0"/>
        <w:iCs w:val="0"/>
        <w:sz w:val="24"/>
        <w:szCs w:val="24"/>
      </w:rPr>
    </w:pPr>
  </w:p>
  <w:p w14:paraId="251AE694">
    <w:pPr>
      <w:jc w:val="center"/>
      <w:rPr>
        <w:rFonts w:ascii="Arial" w:hAnsi="Arial" w:cs="Arial"/>
        <w:b/>
        <w:i w:val="0"/>
        <w:iCs w:val="0"/>
        <w:sz w:val="24"/>
        <w:szCs w:val="24"/>
      </w:rPr>
    </w:pPr>
  </w:p>
  <w:p w14:paraId="781D154D">
    <w:pPr>
      <w:jc w:val="center"/>
      <w:rPr>
        <w:rFonts w:ascii="Arial" w:hAnsi="Arial" w:cs="Arial"/>
        <w:b/>
        <w:i w:val="0"/>
        <w:iCs w:val="0"/>
        <w:sz w:val="24"/>
        <w:szCs w:val="24"/>
      </w:rPr>
    </w:pPr>
    <w:r>
      <w:rPr>
        <w:rFonts w:ascii="Arial" w:hAnsi="Arial" w:cs="Arial"/>
        <w:b/>
        <w:i w:val="0"/>
        <w:iCs w:val="0"/>
        <w:sz w:val="24"/>
        <w:szCs w:val="24"/>
      </w:rPr>
      <w:t>INSTITUTO DE PREVIDÊNCIA DOS SERVIDORES</w:t>
    </w:r>
  </w:p>
  <w:p w14:paraId="0EC73452">
    <w:pPr>
      <w:jc w:val="center"/>
      <w:rPr>
        <w:rFonts w:ascii="Arial" w:hAnsi="Arial" w:cs="Arial"/>
        <w:b/>
        <w:i w:val="0"/>
        <w:iCs w:val="0"/>
        <w:sz w:val="24"/>
        <w:szCs w:val="24"/>
      </w:rPr>
    </w:pPr>
    <w:r>
      <w:rPr>
        <w:rFonts w:ascii="Arial" w:hAnsi="Arial" w:cs="Arial"/>
        <w:b/>
        <w:i w:val="0"/>
        <w:iCs w:val="0"/>
        <w:sz w:val="24"/>
        <w:szCs w:val="24"/>
      </w:rPr>
      <w:t>DO MUNICÍPIO DE GUARAPARI/ES – IPG</w:t>
    </w:r>
  </w:p>
  <w:p w14:paraId="0B2EDF52">
    <w:pPr>
      <w:pStyle w:val="13"/>
      <w:rPr>
        <w:i w:val="0"/>
        <w:iCs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1807E8"/>
    <w:multiLevelType w:val="singleLevel"/>
    <w:tmpl w:val="E01807E8"/>
    <w:lvl w:ilvl="0" w:tentative="0">
      <w:start w:val="1"/>
      <w:numFmt w:val="upperRoman"/>
      <w:suff w:val="space"/>
      <w:lvlText w:val="%1."/>
      <w:lvlJc w:val="left"/>
      <w:pPr>
        <w:ind w:left="454" w:hanging="454"/>
      </w:pPr>
      <w:rPr>
        <w:rFonts w:hint="default"/>
        <w:b/>
        <w:bCs/>
      </w:rPr>
    </w:lvl>
  </w:abstractNum>
  <w:abstractNum w:abstractNumId="1">
    <w:nsid w:val="00000002"/>
    <w:multiLevelType w:val="multilevel"/>
    <w:tmpl w:val="00000002"/>
    <w:lvl w:ilvl="0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432" w:hanging="432"/>
      </w:pPr>
      <w:rPr>
        <w:rFonts w:ascii="Arial" w:hAnsi="Arial" w:cs="Arial"/>
        <w:b/>
        <w:szCs w:val="24"/>
      </w:r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 w:tentative="0">
      <w:start w:val="1"/>
      <w:numFmt w:val="none"/>
      <w:pStyle w:val="4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none"/>
      <w:pStyle w:val="5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abstractNum w:abstractNumId="2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/>
        <w:bCs/>
      </w:rPr>
    </w:lvl>
    <w:lvl w:ilvl="1" w:tentative="0">
      <w:start w:val="1"/>
      <w:numFmt w:val="decimal"/>
      <w:lvlText w:val="%1.%2."/>
      <w:lvlJc w:val="left"/>
      <w:pPr>
        <w:ind w:left="1080" w:hanging="720"/>
      </w:pPr>
      <w:rPr>
        <w:b/>
        <w:bCs/>
        <w:sz w:val="24"/>
      </w:rPr>
    </w:lvl>
    <w:lvl w:ilvl="2" w:tentative="0">
      <w:start w:val="1"/>
      <w:numFmt w:val="decimal"/>
      <w:lvlText w:val="%1.%2.%3."/>
      <w:lvlJc w:val="left"/>
      <w:pPr>
        <w:ind w:left="1080" w:hanging="720"/>
      </w:pPr>
    </w:lvl>
    <w:lvl w:ilvl="3" w:tentative="0">
      <w:start w:val="1"/>
      <w:numFmt w:val="decimal"/>
      <w:lvlText w:val="%1.%2.%3.%4."/>
      <w:lvlJc w:val="left"/>
      <w:pPr>
        <w:ind w:left="1440" w:hanging="1080"/>
      </w:pPr>
    </w:lvl>
    <w:lvl w:ilvl="4" w:tentative="0">
      <w:start w:val="1"/>
      <w:numFmt w:val="decimal"/>
      <w:lvlText w:val="%1.%2.%3.%4.%5."/>
      <w:lvlJc w:val="left"/>
      <w:pPr>
        <w:ind w:left="1440" w:hanging="1080"/>
      </w:pPr>
    </w:lvl>
    <w:lvl w:ilvl="5" w:tentative="0">
      <w:start w:val="1"/>
      <w:numFmt w:val="decimal"/>
      <w:lvlText w:val="%1.%2.%3.%4.%5.%6."/>
      <w:lvlJc w:val="left"/>
      <w:pPr>
        <w:ind w:left="1800" w:hanging="1440"/>
      </w:pPr>
    </w:lvl>
    <w:lvl w:ilvl="6" w:tentative="0">
      <w:start w:val="1"/>
      <w:numFmt w:val="decimal"/>
      <w:lvlText w:val="%1.%2.%3.%4.%5.%6.%7."/>
      <w:lvlJc w:val="left"/>
      <w:pPr>
        <w:ind w:left="1800" w:hanging="1440"/>
      </w:pPr>
    </w:lvl>
    <w:lvl w:ilvl="7" w:tentative="0">
      <w:start w:val="1"/>
      <w:numFmt w:val="decimal"/>
      <w:lvlText w:val="%1.%2.%3.%4.%5.%6.%7.%8."/>
      <w:lvlJc w:val="left"/>
      <w:pPr>
        <w:ind w:left="2160" w:hanging="1800"/>
      </w:pPr>
    </w:lvl>
    <w:lvl w:ilvl="8" w:tentative="0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3">
    <w:nsid w:val="156C7446"/>
    <w:multiLevelType w:val="singleLevel"/>
    <w:tmpl w:val="156C7446"/>
    <w:lvl w:ilvl="0" w:tentative="0">
      <w:start w:val="1"/>
      <w:numFmt w:val="upperRoman"/>
      <w:lvlText w:val="%1."/>
      <w:lvlJc w:val="left"/>
      <w:pPr>
        <w:tabs>
          <w:tab w:val="left" w:pos="454"/>
        </w:tabs>
        <w:ind w:left="454" w:leftChars="0" w:hanging="454" w:firstLineChars="0"/>
      </w:pPr>
      <w:rPr>
        <w:rFonts w:hint="default"/>
        <w:b/>
      </w:rPr>
    </w:lvl>
  </w:abstractNum>
  <w:abstractNum w:abstractNumId="4">
    <w:nsid w:val="4441338A"/>
    <w:multiLevelType w:val="multilevel"/>
    <w:tmpl w:val="4441338A"/>
    <w:lvl w:ilvl="0" w:tentative="0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082" w:hanging="360"/>
      </w:pPr>
    </w:lvl>
    <w:lvl w:ilvl="2" w:tentative="0">
      <w:start w:val="1"/>
      <w:numFmt w:val="lowerRoman"/>
      <w:lvlText w:val="%3."/>
      <w:lvlJc w:val="right"/>
      <w:pPr>
        <w:ind w:left="1802" w:hanging="180"/>
      </w:pPr>
    </w:lvl>
    <w:lvl w:ilvl="3" w:tentative="0">
      <w:start w:val="1"/>
      <w:numFmt w:val="decimal"/>
      <w:lvlText w:val="%4."/>
      <w:lvlJc w:val="left"/>
      <w:pPr>
        <w:ind w:left="2522" w:hanging="360"/>
      </w:pPr>
    </w:lvl>
    <w:lvl w:ilvl="4" w:tentative="0">
      <w:start w:val="1"/>
      <w:numFmt w:val="lowerLetter"/>
      <w:lvlText w:val="%5."/>
      <w:lvlJc w:val="left"/>
      <w:pPr>
        <w:ind w:left="3242" w:hanging="360"/>
      </w:pPr>
    </w:lvl>
    <w:lvl w:ilvl="5" w:tentative="0">
      <w:start w:val="1"/>
      <w:numFmt w:val="lowerRoman"/>
      <w:lvlText w:val="%6."/>
      <w:lvlJc w:val="right"/>
      <w:pPr>
        <w:ind w:left="3962" w:hanging="180"/>
      </w:pPr>
    </w:lvl>
    <w:lvl w:ilvl="6" w:tentative="0">
      <w:start w:val="1"/>
      <w:numFmt w:val="decimal"/>
      <w:lvlText w:val="%7."/>
      <w:lvlJc w:val="left"/>
      <w:pPr>
        <w:ind w:left="4682" w:hanging="360"/>
      </w:pPr>
    </w:lvl>
    <w:lvl w:ilvl="7" w:tentative="0">
      <w:start w:val="1"/>
      <w:numFmt w:val="lowerLetter"/>
      <w:lvlText w:val="%8."/>
      <w:lvlJc w:val="left"/>
      <w:pPr>
        <w:ind w:left="5402" w:hanging="360"/>
      </w:pPr>
    </w:lvl>
    <w:lvl w:ilvl="8" w:tentative="0">
      <w:start w:val="1"/>
      <w:numFmt w:val="lowerRoman"/>
      <w:lvlText w:val="%9."/>
      <w:lvlJc w:val="right"/>
      <w:pPr>
        <w:ind w:left="6122" w:hanging="180"/>
      </w:pPr>
    </w:lvl>
  </w:abstractNum>
  <w:abstractNum w:abstractNumId="5">
    <w:nsid w:val="4F773F41"/>
    <w:multiLevelType w:val="multilevel"/>
    <w:tmpl w:val="4F773F4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7C7031F5"/>
    <w:multiLevelType w:val="multilevel"/>
    <w:tmpl w:val="7C7031F5"/>
    <w:lvl w:ilvl="0" w:tentative="0">
      <w:start w:val="1"/>
      <w:numFmt w:val="none"/>
      <w:suff w:val="nothing"/>
      <w:lvlText w:val=""/>
      <w:lvlJc w:val="left"/>
      <w:pPr>
        <w:ind w:left="432" w:hanging="432"/>
      </w:pPr>
      <w:rPr>
        <w:rFonts w:cs="Arial"/>
        <w:b/>
        <w:szCs w:val="24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drawingGridVerticalSpacing w:val="156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74948"/>
    <w:rsid w:val="00137715"/>
    <w:rsid w:val="00172A27"/>
    <w:rsid w:val="002508D5"/>
    <w:rsid w:val="00532CE7"/>
    <w:rsid w:val="008A6B86"/>
    <w:rsid w:val="00992CEF"/>
    <w:rsid w:val="00A96FBB"/>
    <w:rsid w:val="00BC0AE0"/>
    <w:rsid w:val="00BF285C"/>
    <w:rsid w:val="00C40B63"/>
    <w:rsid w:val="00C74496"/>
    <w:rsid w:val="00F57903"/>
    <w:rsid w:val="05D9557C"/>
    <w:rsid w:val="0A5B342D"/>
    <w:rsid w:val="1109172B"/>
    <w:rsid w:val="13332983"/>
    <w:rsid w:val="13CC6129"/>
    <w:rsid w:val="14191867"/>
    <w:rsid w:val="1A5A671D"/>
    <w:rsid w:val="1B7B4DFF"/>
    <w:rsid w:val="20055691"/>
    <w:rsid w:val="20B85D33"/>
    <w:rsid w:val="23E65D48"/>
    <w:rsid w:val="29317A8E"/>
    <w:rsid w:val="2E1133FE"/>
    <w:rsid w:val="353D602F"/>
    <w:rsid w:val="39623E90"/>
    <w:rsid w:val="398E557D"/>
    <w:rsid w:val="3C5A09C4"/>
    <w:rsid w:val="3C747014"/>
    <w:rsid w:val="42A1091A"/>
    <w:rsid w:val="431A795E"/>
    <w:rsid w:val="432F394C"/>
    <w:rsid w:val="435E4835"/>
    <w:rsid w:val="48E96331"/>
    <w:rsid w:val="4A927D65"/>
    <w:rsid w:val="4BF4712C"/>
    <w:rsid w:val="4DA561B5"/>
    <w:rsid w:val="50DD1AC5"/>
    <w:rsid w:val="51F167CE"/>
    <w:rsid w:val="524943F2"/>
    <w:rsid w:val="528563AE"/>
    <w:rsid w:val="5A812F96"/>
    <w:rsid w:val="5D68667F"/>
    <w:rsid w:val="5ECB4174"/>
    <w:rsid w:val="61E6713E"/>
    <w:rsid w:val="6CD16F99"/>
    <w:rsid w:val="728B4730"/>
    <w:rsid w:val="72F0192D"/>
    <w:rsid w:val="787D7060"/>
    <w:rsid w:val="7B8539A3"/>
    <w:rsid w:val="7B983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pt-BR" w:eastAsia="zh-CN" w:bidi="ar-SA"/>
    </w:rPr>
  </w:style>
  <w:style w:type="paragraph" w:styleId="2">
    <w:name w:val="heading 1"/>
    <w:basedOn w:val="1"/>
    <w:next w:val="1"/>
    <w:qFormat/>
    <w:uiPriority w:val="1"/>
    <w:pPr>
      <w:ind w:left="480" w:hanging="360"/>
      <w:outlineLvl w:val="0"/>
    </w:pPr>
    <w:rPr>
      <w:rFonts w:ascii="Times New Roman" w:hAnsi="Times New Roman" w:eastAsia="Times New Roman" w:cs="Times New Roman"/>
      <w:b/>
      <w:bCs/>
      <w:sz w:val="24"/>
      <w:szCs w:val="24"/>
      <w:lang w:val="pt-PT" w:eastAsia="en-US"/>
    </w:rPr>
  </w:style>
  <w:style w:type="paragraph" w:styleId="3">
    <w:name w:val="heading 2"/>
    <w:basedOn w:val="1"/>
    <w:next w:val="1"/>
    <w:link w:val="17"/>
    <w:semiHidden/>
    <w:unhideWhenUsed/>
    <w:qFormat/>
    <w:uiPriority w:val="0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styleId="4">
    <w:name w:val="heading 3"/>
    <w:basedOn w:val="1"/>
    <w:next w:val="1"/>
    <w:qFormat/>
    <w:uiPriority w:val="0"/>
    <w:pPr>
      <w:keepNext/>
      <w:numPr>
        <w:ilvl w:val="2"/>
        <w:numId w:val="1"/>
      </w:numPr>
      <w:jc w:val="both"/>
      <w:outlineLvl w:val="2"/>
    </w:pPr>
    <w:rPr>
      <w:rFonts w:ascii="Arial" w:hAnsi="Arial" w:eastAsia="Times New Roman" w:cs="Arial"/>
      <w:b/>
      <w:i/>
      <w:sz w:val="24"/>
    </w:rPr>
  </w:style>
  <w:style w:type="paragraph" w:styleId="5">
    <w:name w:val="heading 4"/>
    <w:basedOn w:val="1"/>
    <w:next w:val="1"/>
    <w:qFormat/>
    <w:uiPriority w:val="0"/>
    <w:pPr>
      <w:keepNext/>
      <w:numPr>
        <w:ilvl w:val="3"/>
        <w:numId w:val="1"/>
      </w:numPr>
      <w:jc w:val="both"/>
      <w:outlineLvl w:val="3"/>
    </w:pPr>
    <w:rPr>
      <w:rFonts w:ascii="Arial" w:hAnsi="Arial" w:eastAsia="Times New Roman" w:cs="Arial"/>
      <w:b/>
      <w:sz w:val="2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6"/>
    <w:qFormat/>
    <w:uiPriority w:val="22"/>
    <w:rPr>
      <w:b/>
      <w:bCs/>
    </w:rPr>
  </w:style>
  <w:style w:type="character" w:styleId="9">
    <w:name w:val="Emphasis"/>
    <w:basedOn w:val="6"/>
    <w:qFormat/>
    <w:uiPriority w:val="20"/>
    <w:rPr>
      <w:i/>
      <w:iCs/>
    </w:rPr>
  </w:style>
  <w:style w:type="character" w:styleId="10">
    <w:name w:val="Hyperlink"/>
    <w:basedOn w:val="6"/>
    <w:qFormat/>
    <w:uiPriority w:val="0"/>
    <w:rPr>
      <w:color w:val="0000FF"/>
      <w:u w:val="single"/>
    </w:rPr>
  </w:style>
  <w:style w:type="paragraph" w:styleId="11">
    <w:name w:val="Body Text"/>
    <w:basedOn w:val="1"/>
    <w:qFormat/>
    <w:uiPriority w:val="1"/>
    <w:rPr>
      <w:rFonts w:ascii="Times New Roman" w:hAnsi="Times New Roman" w:eastAsia="Times New Roman" w:cs="Times New Roman"/>
      <w:sz w:val="24"/>
      <w:szCs w:val="24"/>
      <w:lang w:val="pt-PT" w:eastAsia="en-US"/>
    </w:rPr>
  </w:style>
  <w:style w:type="paragraph" w:styleId="12">
    <w:name w:val="Normal (Web)"/>
    <w:qFormat/>
    <w:uiPriority w:val="99"/>
    <w:pPr>
      <w:spacing w:beforeAutospacing="1" w:afterAutospacing="1"/>
    </w:pPr>
    <w:rPr>
      <w:rFonts w:ascii="Times New Roman" w:hAnsi="Times New Roman" w:eastAsia="SimSun" w:cs="Times New Roman"/>
      <w:szCs w:val="24"/>
      <w:lang w:val="en-US" w:eastAsia="zh-CN" w:bidi="ar-SA"/>
    </w:rPr>
  </w:style>
  <w:style w:type="paragraph" w:styleId="13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14">
    <w:name w:val="footer"/>
    <w:basedOn w:val="1"/>
    <w:qFormat/>
    <w:uiPriority w:val="99"/>
    <w:pPr>
      <w:tabs>
        <w:tab w:val="center" w:pos="4252"/>
        <w:tab w:val="right" w:pos="8504"/>
      </w:tabs>
    </w:pPr>
  </w:style>
  <w:style w:type="table" w:styleId="15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6">
    <w:name w:val="List Paragraph"/>
    <w:basedOn w:val="1"/>
    <w:qFormat/>
    <w:uiPriority w:val="0"/>
    <w:pPr>
      <w:ind w:left="720"/>
      <w:contextualSpacing/>
    </w:pPr>
  </w:style>
  <w:style w:type="character" w:customStyle="1" w:styleId="17">
    <w:name w:val="Título 2 Char"/>
    <w:basedOn w:val="6"/>
    <w:link w:val="3"/>
    <w:semiHidden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2458</Words>
  <Characters>13278</Characters>
  <Lines>110</Lines>
  <Paragraphs>31</Paragraphs>
  <TotalTime>2</TotalTime>
  <ScaleCrop>false</ScaleCrop>
  <LinksUpToDate>false</LinksUpToDate>
  <CharactersWithSpaces>15705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2024-02-14T16:29:00Z</dcterms:created>
  <dc:creator>juliana.ribeiro</dc:creator>
  <cp:lastModifiedBy>Luana Peçanha Simões</cp:lastModifiedBy>
  <cp:lastPrinted>2025-07-10T18:16:47Z</cp:lastPrinted>
  <dcterms:modified xsi:type="dcterms:W3CDTF">2025-07-10T18:17:00Z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12080AA1B2FF4E9782483AF69B70154C_13</vt:lpwstr>
  </property>
</Properties>
</file>