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30E5F7">
      <w:pPr>
        <w:jc w:val="both"/>
        <w:rPr>
          <w:rFonts w:ascii="Arial" w:hAnsi="Arial" w:eastAsia="SimSun" w:cs="Arial"/>
          <w:sz w:val="22"/>
          <w:szCs w:val="22"/>
        </w:rPr>
      </w:pPr>
    </w:p>
    <w:p w14:paraId="60019E17">
      <w:pPr>
        <w:jc w:val="both"/>
        <w:rPr>
          <w:rFonts w:ascii="Arial" w:hAnsi="Arial" w:eastAsia="SimSun" w:cs="Arial"/>
          <w:sz w:val="22"/>
          <w:szCs w:val="22"/>
        </w:rPr>
      </w:pPr>
    </w:p>
    <w:p w14:paraId="392D81D1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TERMO DE REFERÊNCIA N.º 0</w:t>
      </w:r>
      <w:r>
        <w:rPr>
          <w:rFonts w:ascii="Arial" w:hAnsi="Arial" w:cs="Arial"/>
          <w:b/>
          <w:bCs/>
          <w:sz w:val="28"/>
          <w:szCs w:val="28"/>
          <w:lang w:val="pt-BR"/>
        </w:rPr>
        <w:t>32</w:t>
      </w:r>
      <w:r>
        <w:rPr>
          <w:rFonts w:ascii="Arial" w:hAnsi="Arial" w:cs="Arial"/>
          <w:b/>
          <w:bCs/>
          <w:sz w:val="28"/>
          <w:szCs w:val="28"/>
        </w:rPr>
        <w:t>/2025</w:t>
      </w:r>
    </w:p>
    <w:p w14:paraId="3D492928">
      <w:pPr>
        <w:rPr>
          <w:rFonts w:ascii="Arial" w:hAnsi="Arial" w:cs="Arial"/>
          <w:b/>
          <w:bCs/>
          <w:sz w:val="22"/>
          <w:szCs w:val="22"/>
        </w:rPr>
      </w:pPr>
    </w:p>
    <w:p w14:paraId="029B411E">
      <w:pPr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</w:p>
    <w:p w14:paraId="03484ADC">
      <w:pPr>
        <w:pStyle w:val="16"/>
        <w:numPr>
          <w:ilvl w:val="0"/>
          <w:numId w:val="2"/>
        </w:numPr>
        <w:spacing w:before="240" w:after="240"/>
        <w:ind w:left="0" w:firstLine="0"/>
        <w:contextualSpacing w:val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IDENTIFICAÇÃO DO ÓRGÃO DEMANDANTE</w:t>
      </w:r>
    </w:p>
    <w:p w14:paraId="1FC93F37">
      <w:pPr>
        <w:pStyle w:val="12"/>
        <w:spacing w:before="240" w:beforeAutospacing="0" w:after="240" w:afterAutospacing="0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Style w:val="8"/>
          <w:rFonts w:ascii="Arial" w:hAnsi="Arial" w:cs="Arial"/>
          <w:sz w:val="24"/>
          <w:szCs w:val="24"/>
          <w:lang w:val="pt-BR"/>
        </w:rPr>
        <w:t>Unidade Requisitante:</w:t>
      </w:r>
      <w:r>
        <w:rPr>
          <w:rFonts w:ascii="Arial" w:hAnsi="Arial" w:cs="Arial"/>
          <w:sz w:val="24"/>
          <w:szCs w:val="24"/>
          <w:lang w:val="pt-BR"/>
        </w:rPr>
        <w:t xml:space="preserve"> Instituto de Previdência dos Servidores do Município de Guarapari/ES – IPG</w:t>
      </w:r>
      <w:r>
        <w:rPr>
          <w:rFonts w:ascii="Arial" w:hAnsi="Arial" w:cs="Arial"/>
          <w:sz w:val="24"/>
          <w:szCs w:val="24"/>
          <w:lang w:val="pt-BR"/>
        </w:rPr>
        <w:br w:type="textWrapping"/>
      </w:r>
    </w:p>
    <w:p w14:paraId="12F36B3A">
      <w:pPr>
        <w:pStyle w:val="12"/>
        <w:spacing w:before="240" w:beforeAutospacing="0" w:after="240" w:afterAutospacing="0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Style w:val="8"/>
          <w:rFonts w:ascii="Arial" w:hAnsi="Arial" w:cs="Arial"/>
          <w:sz w:val="24"/>
          <w:szCs w:val="24"/>
          <w:lang w:val="pt-BR"/>
        </w:rPr>
        <w:t>Setor Solicitante:</w:t>
      </w:r>
      <w:r>
        <w:rPr>
          <w:rFonts w:ascii="Arial" w:hAnsi="Arial" w:cs="Arial"/>
          <w:sz w:val="24"/>
          <w:szCs w:val="24"/>
          <w:lang w:val="pt-BR"/>
        </w:rPr>
        <w:t xml:space="preserve"> Departamento de Benefícios</w:t>
      </w:r>
    </w:p>
    <w:p w14:paraId="2F803CD5">
      <w:pPr>
        <w:pStyle w:val="16"/>
        <w:numPr>
          <w:ilvl w:val="0"/>
          <w:numId w:val="2"/>
        </w:numPr>
        <w:spacing w:before="240" w:after="240"/>
        <w:ind w:left="0" w:firstLine="0"/>
        <w:contextualSpacing w:val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OBJETO</w:t>
      </w:r>
    </w:p>
    <w:p w14:paraId="3A03818C">
      <w:pPr>
        <w:spacing w:before="240" w:after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presente Termo de Referência visa à </w:t>
      </w:r>
      <w:r>
        <w:rPr>
          <w:rFonts w:ascii="Arial" w:hAnsi="Arial" w:cs="Arial"/>
          <w:b/>
          <w:bCs/>
          <w:sz w:val="24"/>
          <w:szCs w:val="24"/>
        </w:rPr>
        <w:t>contratação direta, com fundamento na modalidade de inexigibilidade de licitação prevista no art. 74, inciso III, alínea “f”, da Lei Federal nº 14.133/2021</w:t>
      </w:r>
      <w:r>
        <w:rPr>
          <w:rFonts w:ascii="Arial" w:hAnsi="Arial" w:cs="Arial"/>
          <w:sz w:val="24"/>
          <w:szCs w:val="24"/>
        </w:rPr>
        <w:t xml:space="preserve">, para realização de </w:t>
      </w:r>
      <w:r>
        <w:rPr>
          <w:rFonts w:ascii="Arial" w:hAnsi="Arial" w:cs="Arial"/>
          <w:b/>
          <w:bCs/>
          <w:sz w:val="24"/>
          <w:szCs w:val="24"/>
        </w:rPr>
        <w:t>03 (três) inscrições no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 Curso: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hint="default" w:ascii="Arial" w:hAnsi="Arial"/>
          <w:b/>
          <w:bCs/>
          <w:sz w:val="24"/>
          <w:szCs w:val="24"/>
        </w:rPr>
        <w:t>Auditoria Governamental, Controles Interno e Externo, Compliance, Governança e Gestão de Riscos</w:t>
      </w:r>
      <w:r>
        <w:rPr>
          <w:rFonts w:ascii="Arial" w:hAnsi="Arial" w:cs="Arial"/>
          <w:b/>
          <w:bCs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realizado pela ESAFI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– Escola de Gestão Pública a ser realizado presencialmente nos dias </w:t>
      </w:r>
      <w:r>
        <w:rPr>
          <w:rFonts w:ascii="Arial" w:hAnsi="Arial" w:cs="Arial"/>
          <w:b/>
          <w:bCs/>
          <w:sz w:val="24"/>
          <w:szCs w:val="24"/>
          <w:lang w:val="pt-BR"/>
        </w:rPr>
        <w:t>07 A 10 de outubro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de 2025,</w:t>
      </w:r>
      <w:r>
        <w:rPr>
          <w:rFonts w:ascii="Arial" w:hAnsi="Arial" w:cs="Arial"/>
          <w:sz w:val="24"/>
          <w:szCs w:val="24"/>
        </w:rPr>
        <w:t xml:space="preserve"> em João Pessoa /PB.  </w:t>
      </w:r>
    </w:p>
    <w:p w14:paraId="53B2AEC6">
      <w:pPr>
        <w:pStyle w:val="2"/>
        <w:numPr>
          <w:ilvl w:val="0"/>
          <w:numId w:val="2"/>
        </w:numPr>
        <w:spacing w:before="240" w:after="240"/>
        <w:ind w:left="0" w:firstLine="0"/>
        <w:jc w:val="both"/>
        <w:rPr>
          <w:rFonts w:ascii="Arial" w:hAnsi="Arial" w:eastAsia="SimSun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  <w:t>JUSTIFICATIVA DA CONTRATAÇÃO</w:t>
      </w:r>
    </w:p>
    <w:p w14:paraId="70B57055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contratação justifica-se pela necessidade de aperfeiçoamento constante dos servidores </w:t>
      </w:r>
      <w:r>
        <w:rPr>
          <w:rFonts w:ascii="Arial" w:hAnsi="Arial" w:cs="Arial"/>
          <w:spacing w:val="-7"/>
          <w:sz w:val="24"/>
          <w:szCs w:val="24"/>
        </w:rPr>
        <w:t xml:space="preserve">em </w:t>
      </w:r>
      <w:r>
        <w:rPr>
          <w:rFonts w:ascii="Arial" w:hAnsi="Arial" w:cs="Arial"/>
          <w:sz w:val="24"/>
          <w:szCs w:val="24"/>
        </w:rPr>
        <w:t>suas áreas de atuação. Além disso, são discutidos importantes temas relacionados à atuação destes Agentes Públicos dentro do RPPS.</w:t>
      </w:r>
    </w:p>
    <w:p w14:paraId="030702B0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 servidores do </w:t>
      </w:r>
      <w:r>
        <w:rPr>
          <w:rFonts w:ascii="Arial" w:hAnsi="Arial" w:cs="Arial"/>
          <w:b/>
          <w:bCs/>
          <w:sz w:val="24"/>
          <w:szCs w:val="24"/>
        </w:rPr>
        <w:t>IPG,</w:t>
      </w:r>
      <w:r>
        <w:rPr>
          <w:rFonts w:ascii="Arial" w:hAnsi="Arial" w:cs="Arial"/>
          <w:sz w:val="24"/>
          <w:szCs w:val="24"/>
        </w:rPr>
        <w:t xml:space="preserve"> na realização de suas atividades, precisam visar a satisfação dos anseios sociais, sendo que seus atos carregam uma forte responsabilidade, por refletirem diretamente no dia a dia do cidadão guarapariense. </w:t>
      </w:r>
    </w:p>
    <w:p w14:paraId="689C09D6">
      <w:pPr>
        <w:spacing w:before="100" w:beforeAutospacing="1" w:after="100" w:afterAutospacing="1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 este motivo, o curso sobre </w:t>
      </w:r>
      <w:r>
        <w:rPr>
          <w:rFonts w:ascii="Arial" w:hAnsi="Arial" w:cs="Arial"/>
          <w:b/>
          <w:bCs/>
          <w:sz w:val="24"/>
          <w:szCs w:val="24"/>
        </w:rPr>
        <w:t>Regime Previdenciário do Servidor Público: Calculo de Aposentadoria e Pensões</w:t>
      </w:r>
      <w:r>
        <w:rPr>
          <w:rFonts w:ascii="Arial" w:hAnsi="Arial" w:cs="Arial"/>
          <w:sz w:val="24"/>
          <w:szCs w:val="24"/>
        </w:rPr>
        <w:t xml:space="preserve"> realizado </w:t>
      </w:r>
      <w:r>
        <w:rPr>
          <w:rFonts w:ascii="Arial" w:hAnsi="Arial" w:eastAsia="SimSun"/>
          <w:color w:val="000000"/>
          <w:sz w:val="24"/>
          <w:szCs w:val="24"/>
        </w:rPr>
        <w:t>pela ESAFI- Escola de Gestão Pública</w:t>
      </w:r>
      <w:r>
        <w:rPr>
          <w:rFonts w:ascii="Arial" w:hAnsi="Arial" w:eastAsia="SimSun" w:cs="Arial"/>
          <w:b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é preparado para o</w:t>
      </w:r>
      <w:r>
        <w:rPr>
          <w:rFonts w:ascii="Arial" w:hAnsi="Arial"/>
          <w:sz w:val="24"/>
          <w:szCs w:val="24"/>
        </w:rPr>
        <w:t>portunizar atividades de capacitação técnico-profissional, por meio de debates, palestras e rodas de conversas sobre temas atuais da agenda previdenciária nacional, bem como possibilitar integração e troca de experiências entre os diversos servidores e representantes de RPPS.</w:t>
      </w:r>
    </w:p>
    <w:p w14:paraId="6F1B5A4A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Ademais, não se pode questionar que a capacitação dos servidores do IPG, por meio da participação nos Congressos e/ou Seminários, possui natureza singular.</w:t>
      </w:r>
    </w:p>
    <w:p w14:paraId="1C0D1EF3">
      <w:pPr>
        <w:pStyle w:val="16"/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spacing w:before="240" w:after="240"/>
        <w:ind w:left="0" w:firstLine="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b/>
          <w:bCs/>
          <w:color w:val="040C28"/>
          <w:sz w:val="24"/>
          <w:szCs w:val="24"/>
        </w:rPr>
        <w:t>FUNDAMENTO LEGAL DA INEXIGIBILIDADE</w:t>
      </w:r>
    </w:p>
    <w:p w14:paraId="448FDC7E">
      <w:pPr>
        <w:spacing w:before="240" w:after="240"/>
        <w:jc w:val="both"/>
        <w:rPr>
          <w:rFonts w:ascii="Arial" w:hAnsi="Arial" w:eastAsia="Times New Roman" w:cs="Arial"/>
          <w:sz w:val="24"/>
          <w:szCs w:val="24"/>
          <w:lang w:eastAsia="pt-BR"/>
        </w:rPr>
      </w:pPr>
      <w:r>
        <w:rPr>
          <w:rFonts w:ascii="Arial" w:hAnsi="Arial" w:eastAsia="Times New Roman" w:cs="Arial"/>
          <w:sz w:val="24"/>
          <w:szCs w:val="24"/>
          <w:lang w:eastAsia="pt-BR"/>
        </w:rPr>
        <w:t>A contratação pretendida enquadra-se na hipótese legal de inexigibilidade de licitação, conforme art. 74, inciso III, alínea “f”, da Lei nº 14.133/2021, que assim estabelece:</w:t>
      </w:r>
    </w:p>
    <w:p w14:paraId="433DBB7A">
      <w:pPr>
        <w:tabs>
          <w:tab w:val="left" w:pos="8800"/>
        </w:tabs>
        <w:spacing w:before="240" w:after="240"/>
        <w:ind w:left="2800"/>
        <w:jc w:val="both"/>
        <w:rPr>
          <w:rFonts w:ascii="Arial" w:hAnsi="Arial" w:eastAsia="Times New Roman" w:cs="Arial"/>
          <w:sz w:val="24"/>
          <w:szCs w:val="24"/>
          <w:lang w:eastAsia="pt-BR"/>
        </w:rPr>
      </w:pPr>
      <w:r>
        <w:rPr>
          <w:rFonts w:ascii="Arial" w:hAnsi="Arial" w:eastAsia="Times New Roman" w:cs="Arial"/>
          <w:sz w:val="24"/>
          <w:szCs w:val="24"/>
          <w:lang w:eastAsia="pt-BR"/>
        </w:rPr>
        <w:t>Art. 74. É inexigível a licitação quando inviável a competição, em especial nos casos de:</w:t>
      </w:r>
      <w:r>
        <w:rPr>
          <w:rFonts w:ascii="Arial" w:hAnsi="Arial" w:eastAsia="Times New Roman" w:cs="Arial"/>
          <w:sz w:val="24"/>
          <w:szCs w:val="24"/>
          <w:lang w:eastAsia="pt-BR"/>
        </w:rPr>
        <w:br w:type="textWrapping"/>
      </w:r>
      <w:r>
        <w:rPr>
          <w:rFonts w:ascii="Arial" w:hAnsi="Arial" w:eastAsia="Times New Roman" w:cs="Arial"/>
          <w:sz w:val="24"/>
          <w:szCs w:val="24"/>
          <w:lang w:eastAsia="pt-BR"/>
        </w:rPr>
        <w:t>(...)</w:t>
      </w:r>
      <w:r>
        <w:rPr>
          <w:rFonts w:ascii="Arial" w:hAnsi="Arial" w:eastAsia="Times New Roman" w:cs="Arial"/>
          <w:sz w:val="24"/>
          <w:szCs w:val="24"/>
          <w:lang w:eastAsia="pt-BR"/>
        </w:rPr>
        <w:br w:type="textWrapping"/>
      </w:r>
      <w:r>
        <w:rPr>
          <w:rFonts w:ascii="Arial" w:hAnsi="Arial" w:eastAsia="Times New Roman" w:cs="Arial"/>
          <w:sz w:val="24"/>
          <w:szCs w:val="24"/>
          <w:lang w:eastAsia="pt-BR"/>
        </w:rPr>
        <w:t>III – contratação dos seguintes serviços técnicos especializados de natureza predominantemente intelectual:</w:t>
      </w:r>
      <w:r>
        <w:rPr>
          <w:rFonts w:ascii="Arial" w:hAnsi="Arial" w:eastAsia="Times New Roman" w:cs="Arial"/>
          <w:sz w:val="24"/>
          <w:szCs w:val="24"/>
          <w:lang w:eastAsia="pt-BR"/>
        </w:rPr>
        <w:br w:type="textWrapping"/>
      </w:r>
      <w:r>
        <w:rPr>
          <w:rFonts w:ascii="Arial" w:hAnsi="Arial" w:eastAsia="Times New Roman" w:cs="Arial"/>
          <w:sz w:val="24"/>
          <w:szCs w:val="24"/>
          <w:lang w:eastAsia="pt-BR"/>
        </w:rPr>
        <w:t>(...)</w:t>
      </w:r>
      <w:r>
        <w:rPr>
          <w:rFonts w:ascii="Arial" w:hAnsi="Arial" w:eastAsia="Times New Roman" w:cs="Arial"/>
          <w:sz w:val="24"/>
          <w:szCs w:val="24"/>
          <w:lang w:eastAsia="pt-BR"/>
        </w:rPr>
        <w:br w:type="textWrapping"/>
      </w:r>
      <w:r>
        <w:rPr>
          <w:rFonts w:ascii="Arial" w:hAnsi="Arial" w:eastAsia="Times New Roman" w:cs="Arial"/>
          <w:sz w:val="24"/>
          <w:szCs w:val="24"/>
          <w:lang w:eastAsia="pt-BR"/>
        </w:rPr>
        <w:t>f) treinamento e aperfeiçoamento de pessoal, ministrados por pessoa física ou jurídica de notória especialização;</w:t>
      </w:r>
    </w:p>
    <w:p w14:paraId="341AD9CF">
      <w:pPr>
        <w:pStyle w:val="16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eastAsia="SimSun" w:cs="Arial"/>
          <w:sz w:val="24"/>
          <w:szCs w:val="24"/>
        </w:rPr>
      </w:pPr>
      <w:r>
        <w:rPr>
          <w:rFonts w:ascii="Arial" w:hAnsi="Arial" w:eastAsia="SimSun" w:cs="Arial"/>
          <w:b/>
          <w:bCs/>
          <w:sz w:val="24"/>
          <w:szCs w:val="24"/>
        </w:rPr>
        <w:t>JUSTIFICATIVA DO PREÇO</w:t>
      </w:r>
    </w:p>
    <w:p w14:paraId="5FE45384">
      <w:pPr>
        <w:spacing w:before="240" w:after="240"/>
        <w:jc w:val="both"/>
        <w:rPr>
          <w:rFonts w:ascii="Arial" w:hAnsi="Arial" w:eastAsia="Times New Roman" w:cs="Arial"/>
          <w:sz w:val="24"/>
          <w:szCs w:val="24"/>
          <w:lang w:eastAsia="pt-BR"/>
        </w:rPr>
      </w:pPr>
      <w:r>
        <w:rPr>
          <w:rFonts w:ascii="Arial" w:hAnsi="Arial" w:eastAsia="Times New Roman" w:cs="Arial"/>
          <w:sz w:val="24"/>
          <w:szCs w:val="24"/>
          <w:lang w:eastAsia="pt-BR"/>
        </w:rPr>
        <w:t>O valor unitário da inscrição para participação presencial n</w:t>
      </w:r>
      <w:r>
        <w:rPr>
          <w:rFonts w:ascii="Arial" w:hAnsi="Arial" w:eastAsia="Times New Roman" w:cs="Arial"/>
          <w:sz w:val="24"/>
          <w:szCs w:val="24"/>
          <w:lang w:val="en-US" w:eastAsia="pt-BR"/>
        </w:rPr>
        <w:t xml:space="preserve">o curso </w:t>
      </w:r>
      <w:r>
        <w:rPr>
          <w:rFonts w:ascii="Arial" w:hAnsi="Arial" w:eastAsia="Times New Roman" w:cs="Arial"/>
          <w:sz w:val="24"/>
          <w:szCs w:val="24"/>
          <w:lang w:eastAsia="pt-BR"/>
        </w:rPr>
        <w:t xml:space="preserve">é de R$ </w:t>
      </w:r>
      <w:r>
        <w:rPr>
          <w:rFonts w:ascii="Arial" w:hAnsi="Arial" w:eastAsia="Times New Roman" w:cs="Arial"/>
          <w:sz w:val="24"/>
          <w:szCs w:val="24"/>
          <w:lang w:val="en-US" w:eastAsia="pt-BR"/>
        </w:rPr>
        <w:t xml:space="preserve">3.890,00 </w:t>
      </w:r>
      <w:r>
        <w:rPr>
          <w:rFonts w:ascii="Arial" w:hAnsi="Arial" w:eastAsia="Times New Roman" w:cs="Arial"/>
          <w:sz w:val="24"/>
          <w:szCs w:val="24"/>
          <w:lang w:eastAsia="pt-BR"/>
        </w:rPr>
        <w:t xml:space="preserve">(três mil oitocentos e noventa reais), conforme tabela pública disponibilizada no site oficial </w:t>
      </w:r>
      <w:r>
        <w:rPr>
          <w:rFonts w:ascii="Arial" w:hAnsi="Arial" w:eastAsia="Times New Roman" w:cs="Arial"/>
          <w:sz w:val="24"/>
          <w:szCs w:val="24"/>
          <w:lang w:val="en-US" w:eastAsia="pt-BR"/>
        </w:rPr>
        <w:t>da empresa contratada</w:t>
      </w:r>
      <w:r>
        <w:rPr>
          <w:rFonts w:ascii="Arial" w:hAnsi="Arial" w:eastAsia="Times New Roman" w:cs="Arial"/>
          <w:sz w:val="24"/>
          <w:szCs w:val="24"/>
          <w:lang w:eastAsia="pt-BR"/>
        </w:rPr>
        <w:t>, praticando-se preço uniforme, padronizado e não sujeito à negociação individual.</w:t>
      </w:r>
    </w:p>
    <w:p w14:paraId="58A2414B">
      <w:pPr>
        <w:spacing w:before="240" w:after="240"/>
        <w:jc w:val="both"/>
        <w:rPr>
          <w:rFonts w:ascii="Arial" w:hAnsi="Arial" w:eastAsia="Times New Roman" w:cs="Arial"/>
          <w:sz w:val="24"/>
          <w:szCs w:val="24"/>
          <w:lang w:eastAsia="pt-BR"/>
        </w:rPr>
      </w:pPr>
      <w:r>
        <w:rPr>
          <w:rFonts w:ascii="Arial" w:hAnsi="Arial" w:eastAsia="Times New Roman" w:cs="Arial"/>
          <w:sz w:val="24"/>
          <w:szCs w:val="24"/>
          <w:lang w:eastAsia="pt-BR"/>
        </w:rPr>
        <w:t>Composição do custo estimado:</w:t>
      </w:r>
    </w:p>
    <w:tbl>
      <w:tblPr>
        <w:tblStyle w:val="15"/>
        <w:tblW w:w="8738" w:type="dxa"/>
        <w:tblInd w:w="13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5"/>
        <w:gridCol w:w="2813"/>
        <w:gridCol w:w="800"/>
        <w:gridCol w:w="1237"/>
        <w:gridCol w:w="1513"/>
        <w:gridCol w:w="1650"/>
      </w:tblGrid>
      <w:tr w14:paraId="7DB50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725" w:type="dxa"/>
            <w:shd w:val="clear" w:color="auto" w:fill="D7D7D7" w:themeFill="background1" w:themeFillShade="D8"/>
            <w:vAlign w:val="center"/>
          </w:tcPr>
          <w:p w14:paraId="11BE854A">
            <w:pPr>
              <w:pStyle w:val="11"/>
              <w:widowControl w:val="0"/>
              <w:autoSpaceDE w:val="0"/>
              <w:autoSpaceDN w:val="0"/>
              <w:spacing w:before="100" w:beforeAutospacing="1" w:after="100" w:afterAutospacing="1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pt-BR"/>
              </w:rPr>
              <w:t>Item</w:t>
            </w:r>
          </w:p>
        </w:tc>
        <w:tc>
          <w:tcPr>
            <w:tcW w:w="2813" w:type="dxa"/>
            <w:shd w:val="clear" w:color="auto" w:fill="D7D7D7" w:themeFill="background1" w:themeFillShade="D8"/>
            <w:vAlign w:val="center"/>
          </w:tcPr>
          <w:p w14:paraId="47E9F051">
            <w:pPr>
              <w:pStyle w:val="11"/>
              <w:widowControl w:val="0"/>
              <w:autoSpaceDE w:val="0"/>
              <w:autoSpaceDN w:val="0"/>
              <w:spacing w:before="100" w:beforeAutospacing="1" w:after="100" w:afterAutospacing="1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pt-BR"/>
              </w:rPr>
              <w:t>Serviço</w:t>
            </w:r>
          </w:p>
        </w:tc>
        <w:tc>
          <w:tcPr>
            <w:tcW w:w="800" w:type="dxa"/>
            <w:shd w:val="clear" w:color="auto" w:fill="D7D7D7" w:themeFill="background1" w:themeFillShade="D8"/>
            <w:vAlign w:val="center"/>
          </w:tcPr>
          <w:p w14:paraId="78BD32DA">
            <w:pPr>
              <w:pStyle w:val="11"/>
              <w:widowControl w:val="0"/>
              <w:autoSpaceDE w:val="0"/>
              <w:autoSpaceDN w:val="0"/>
              <w:spacing w:before="100" w:beforeAutospacing="1" w:after="100" w:afterAutospacing="1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pt-BR"/>
              </w:rPr>
              <w:t>Qtde.</w:t>
            </w:r>
          </w:p>
        </w:tc>
        <w:tc>
          <w:tcPr>
            <w:tcW w:w="1237" w:type="dxa"/>
            <w:shd w:val="clear" w:color="auto" w:fill="D7D7D7" w:themeFill="background1" w:themeFillShade="D8"/>
            <w:vAlign w:val="center"/>
          </w:tcPr>
          <w:p w14:paraId="654DCEEF">
            <w:pPr>
              <w:pStyle w:val="11"/>
              <w:widowControl w:val="0"/>
              <w:autoSpaceDE w:val="0"/>
              <w:autoSpaceDN w:val="0"/>
              <w:spacing w:before="100" w:beforeAutospacing="1" w:after="100" w:afterAutospacing="1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pt-BR"/>
              </w:rPr>
              <w:t>Unid.</w:t>
            </w:r>
          </w:p>
        </w:tc>
        <w:tc>
          <w:tcPr>
            <w:tcW w:w="1513" w:type="dxa"/>
            <w:shd w:val="clear" w:color="auto" w:fill="D7D7D7" w:themeFill="background1" w:themeFillShade="D8"/>
            <w:vAlign w:val="center"/>
          </w:tcPr>
          <w:p w14:paraId="6C95F0FF">
            <w:pPr>
              <w:pStyle w:val="11"/>
              <w:widowControl w:val="0"/>
              <w:autoSpaceDE w:val="0"/>
              <w:autoSpaceDN w:val="0"/>
              <w:spacing w:before="100" w:beforeAutospacing="1" w:after="100" w:afterAutospacing="1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pt-BR"/>
              </w:rPr>
              <w:t>Valor Unitário</w:t>
            </w:r>
          </w:p>
        </w:tc>
        <w:tc>
          <w:tcPr>
            <w:tcW w:w="1650" w:type="dxa"/>
            <w:shd w:val="clear" w:color="auto" w:fill="D7D7D7" w:themeFill="background1" w:themeFillShade="D8"/>
            <w:vAlign w:val="center"/>
          </w:tcPr>
          <w:p w14:paraId="02FC1FAB">
            <w:pPr>
              <w:pStyle w:val="11"/>
              <w:widowControl w:val="0"/>
              <w:autoSpaceDE w:val="0"/>
              <w:autoSpaceDN w:val="0"/>
              <w:spacing w:before="100" w:beforeAutospacing="1" w:after="100" w:afterAutospacing="1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pt-BR"/>
              </w:rPr>
              <w:t>Valor Total</w:t>
            </w:r>
          </w:p>
        </w:tc>
      </w:tr>
      <w:tr w14:paraId="442771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2" w:hRule="atLeast"/>
        </w:trPr>
        <w:tc>
          <w:tcPr>
            <w:tcW w:w="725" w:type="dxa"/>
            <w:vAlign w:val="center"/>
          </w:tcPr>
          <w:p w14:paraId="50AA8C0D">
            <w:pPr>
              <w:pStyle w:val="11"/>
              <w:widowControl w:val="0"/>
              <w:autoSpaceDE w:val="0"/>
              <w:autoSpaceDN w:val="0"/>
              <w:spacing w:before="100" w:beforeAutospacing="1" w:after="100" w:afterAutospacing="1"/>
              <w:jc w:val="center"/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pt-BR"/>
              </w:rPr>
              <w:t>01</w:t>
            </w:r>
          </w:p>
        </w:tc>
        <w:tc>
          <w:tcPr>
            <w:tcW w:w="2813" w:type="dxa"/>
            <w:vAlign w:val="center"/>
          </w:tcPr>
          <w:p w14:paraId="31ED1E14">
            <w:pPr>
              <w:pStyle w:val="11"/>
              <w:widowControl w:val="0"/>
              <w:autoSpaceDE w:val="0"/>
              <w:autoSpaceDN w:val="0"/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I</w:t>
            </w:r>
            <w:r>
              <w:rPr>
                <w:rFonts w:hint="default" w:ascii="Arial" w:hAnsi="Arial" w:cs="Arial"/>
                <w:sz w:val="24"/>
                <w:szCs w:val="24"/>
                <w:lang w:val="pt-BR"/>
              </w:rPr>
              <w:t xml:space="preserve">nscrição no curso </w:t>
            </w:r>
            <w:r>
              <w:rPr>
                <w:rFonts w:hint="default" w:ascii="Arial" w:hAnsi="Arial" w:eastAsia="SimSun" w:cs="Arial"/>
                <w:sz w:val="24"/>
                <w:szCs w:val="24"/>
              </w:rPr>
              <w:t>Auditoria Governamental, Controles Interno e Externo, Compliance, Governança e Gestão de Riscos</w:t>
            </w:r>
          </w:p>
        </w:tc>
        <w:tc>
          <w:tcPr>
            <w:tcW w:w="800" w:type="dxa"/>
            <w:vAlign w:val="center"/>
          </w:tcPr>
          <w:p w14:paraId="3E4FCD9F">
            <w:pPr>
              <w:pStyle w:val="11"/>
              <w:widowControl w:val="0"/>
              <w:autoSpaceDE w:val="0"/>
              <w:autoSpaceDN w:val="0"/>
              <w:spacing w:before="100" w:beforeAutospacing="1" w:after="100" w:afterAutospacing="1"/>
              <w:jc w:val="center"/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03</w:t>
            </w:r>
          </w:p>
        </w:tc>
        <w:tc>
          <w:tcPr>
            <w:tcW w:w="1237" w:type="dxa"/>
            <w:vAlign w:val="center"/>
          </w:tcPr>
          <w:p w14:paraId="010D8F82">
            <w:pPr>
              <w:pStyle w:val="11"/>
              <w:widowControl w:val="0"/>
              <w:autoSpaceDE w:val="0"/>
              <w:autoSpaceDN w:val="0"/>
              <w:spacing w:before="100" w:beforeAutospacing="1" w:after="100" w:afterAutospacing="1"/>
              <w:jc w:val="center"/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Inscrições</w:t>
            </w:r>
          </w:p>
        </w:tc>
        <w:tc>
          <w:tcPr>
            <w:tcW w:w="1513" w:type="dxa"/>
            <w:vAlign w:val="center"/>
          </w:tcPr>
          <w:p w14:paraId="120E0DC3">
            <w:pPr>
              <w:pStyle w:val="11"/>
              <w:widowControl w:val="0"/>
              <w:autoSpaceDE w:val="0"/>
              <w:autoSpaceDN w:val="0"/>
              <w:spacing w:before="100" w:beforeAutospacing="1" w:after="100" w:afterAutospacing="1"/>
              <w:jc w:val="center"/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R$ 4.041,00</w:t>
            </w:r>
          </w:p>
        </w:tc>
        <w:tc>
          <w:tcPr>
            <w:tcW w:w="1650" w:type="dxa"/>
            <w:vAlign w:val="center"/>
          </w:tcPr>
          <w:p w14:paraId="058C3688">
            <w:pPr>
              <w:pStyle w:val="11"/>
              <w:widowControl w:val="0"/>
              <w:autoSpaceDE w:val="0"/>
              <w:autoSpaceDN w:val="0"/>
              <w:spacing w:before="100" w:beforeAutospacing="1" w:after="100" w:afterAutospacing="1"/>
              <w:jc w:val="center"/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R$ 12.123,00</w:t>
            </w:r>
          </w:p>
        </w:tc>
      </w:tr>
      <w:tr w14:paraId="7B9C00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8738" w:type="dxa"/>
            <w:gridSpan w:val="6"/>
            <w:shd w:val="clear" w:color="auto" w:fill="D7D7D7" w:themeFill="background1" w:themeFillShade="D8"/>
            <w:vAlign w:val="center"/>
          </w:tcPr>
          <w:p w14:paraId="020FB0BA">
            <w:pPr>
              <w:pStyle w:val="11"/>
              <w:widowControl w:val="0"/>
              <w:autoSpaceDE w:val="0"/>
              <w:autoSpaceDN w:val="0"/>
              <w:spacing w:before="100" w:beforeAutospacing="1" w:after="100" w:afterAutospacing="1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pt-BR"/>
              </w:rPr>
              <w:t>TOTAL: R$ 12.123,00 (doze mil cento e vinte e três reais)</w:t>
            </w:r>
          </w:p>
        </w:tc>
      </w:tr>
    </w:tbl>
    <w:p w14:paraId="7ED691AF">
      <w:pPr>
        <w:pStyle w:val="16"/>
        <w:ind w:left="0"/>
        <w:jc w:val="both"/>
        <w:rPr>
          <w:rFonts w:ascii="Arial" w:hAnsi="Arial" w:eastAsia="SimSun" w:cs="Arial"/>
          <w:sz w:val="24"/>
          <w:szCs w:val="24"/>
        </w:rPr>
      </w:pPr>
    </w:p>
    <w:p w14:paraId="5E578DF0">
      <w:pPr>
        <w:pStyle w:val="16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eastAsia="SimSun"/>
          <w:sz w:val="24"/>
          <w:szCs w:val="24"/>
        </w:rPr>
      </w:pPr>
      <w:r>
        <w:rPr>
          <w:rFonts w:ascii="Arial" w:hAnsi="Arial" w:eastAsia="SimSun" w:cs="Arial"/>
          <w:sz w:val="24"/>
          <w:szCs w:val="24"/>
        </w:rPr>
        <w:t xml:space="preserve"> </w:t>
      </w:r>
      <w:r>
        <w:rPr>
          <w:rFonts w:ascii="Arial" w:hAnsi="Arial" w:eastAsia="SimSun" w:cs="Arial"/>
          <w:b/>
          <w:bCs/>
          <w:sz w:val="24"/>
          <w:szCs w:val="24"/>
        </w:rPr>
        <w:t>RAZÃO DA ESCOLHA DO FORNECEDOR</w:t>
      </w:r>
    </w:p>
    <w:p w14:paraId="4B4BC4C6">
      <w:pPr>
        <w:pStyle w:val="16"/>
        <w:ind w:left="0"/>
        <w:jc w:val="both"/>
        <w:rPr>
          <w:rFonts w:ascii="Arial" w:hAnsi="Arial" w:eastAsia="SimSun"/>
          <w:sz w:val="24"/>
          <w:szCs w:val="24"/>
        </w:rPr>
      </w:pPr>
      <w:r>
        <w:rPr>
          <w:rFonts w:ascii="Arial" w:hAnsi="Arial" w:eastAsia="SimSun" w:cs="Arial"/>
          <w:sz w:val="24"/>
          <w:szCs w:val="24"/>
        </w:rPr>
        <w:t>Destacamos que a contratação da empresa ofertante do curso oferecido, seja esta, a ESAFI – Escola de Administração e Treinamento LTDA,</w:t>
      </w:r>
      <w:r>
        <w:rPr>
          <w:rFonts w:ascii="Arial" w:hAnsi="Arial" w:eastAsia="SimSun"/>
          <w:sz w:val="24"/>
          <w:szCs w:val="24"/>
        </w:rPr>
        <w:t xml:space="preserve"> promove a capacitação de servidores públicos em diversas áreas com renomados especialistas, que atuam nas mais respeitadas instituições públicas, contribuindo assim, para o desenvolvimento de um serviço público sustentável e eficiente para todos.</w:t>
      </w:r>
    </w:p>
    <w:p w14:paraId="0BD268A4">
      <w:pPr>
        <w:pStyle w:val="16"/>
        <w:ind w:left="0"/>
        <w:jc w:val="both"/>
        <w:rPr>
          <w:rFonts w:ascii="Arial" w:hAnsi="Arial" w:eastAsia="SimSun"/>
          <w:sz w:val="24"/>
          <w:szCs w:val="24"/>
        </w:rPr>
      </w:pPr>
    </w:p>
    <w:p w14:paraId="0E1A4574">
      <w:pPr>
        <w:pStyle w:val="16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propósito deste evento é proporcionar conhecimentos, atualizar informações relacionadas aos RPPS, bem como proporcionar suporte aos dirigentes e servidores, para que possam enfrentar os desafios e obter uma gestão cada dia mais eficiente e eficaz frente as inovações, e cumprimento das obrigações.</w:t>
      </w:r>
    </w:p>
    <w:p w14:paraId="55E0930B">
      <w:pPr>
        <w:pStyle w:val="16"/>
        <w:ind w:left="0"/>
        <w:jc w:val="both"/>
        <w:rPr>
          <w:rFonts w:ascii="Arial" w:hAnsi="Arial" w:cs="Arial"/>
          <w:sz w:val="24"/>
          <w:szCs w:val="24"/>
        </w:rPr>
      </w:pPr>
    </w:p>
    <w:p w14:paraId="0DE130FC">
      <w:pPr>
        <w:pStyle w:val="16"/>
        <w:ind w:left="0"/>
        <w:jc w:val="both"/>
        <w:rPr>
          <w:rFonts w:ascii="Arial" w:hAnsi="Arial" w:eastAsia="SimSun" w:cs="Arial"/>
          <w:sz w:val="24"/>
          <w:szCs w:val="24"/>
        </w:rPr>
      </w:pPr>
      <w:r>
        <w:rPr>
          <w:rFonts w:ascii="Arial" w:hAnsi="Arial" w:eastAsia="SimSun" w:cs="Arial"/>
          <w:color w:val="000000"/>
          <w:sz w:val="24"/>
          <w:szCs w:val="24"/>
        </w:rPr>
        <w:t xml:space="preserve"> A ESAFI através do conteúdo programático abrangente do curso em questão, agregará  de forma ampla, assuntos atuais e importantes para o dia a dia dos Regimes Próprios de Previdência, como Reforma da Previdência (EC 103/2019), Regra Geral, Regras de Transição e Disposições Transitórias, Direito Adquirido, Aposentadoria Especial, Abono Permanência, Pensão Previdenciária e Acúmulo de Benefícios.</w:t>
      </w:r>
    </w:p>
    <w:p w14:paraId="59068A74">
      <w:pPr>
        <w:pStyle w:val="16"/>
        <w:ind w:left="0"/>
        <w:jc w:val="both"/>
        <w:rPr>
          <w:rFonts w:ascii="Arial" w:hAnsi="Arial" w:eastAsia="SimSun"/>
          <w:sz w:val="24"/>
          <w:szCs w:val="24"/>
        </w:rPr>
      </w:pPr>
    </w:p>
    <w:p w14:paraId="6B4ACD5E">
      <w:pPr>
        <w:pStyle w:val="16"/>
        <w:ind w:left="-400" w:leftChars="-200"/>
        <w:jc w:val="both"/>
        <w:rPr>
          <w:rFonts w:ascii="Arial" w:hAnsi="Arial" w:eastAsia="SimSun"/>
          <w:sz w:val="24"/>
          <w:szCs w:val="24"/>
        </w:rPr>
      </w:pPr>
    </w:p>
    <w:p w14:paraId="1D563D2D">
      <w:pPr>
        <w:pStyle w:val="16"/>
        <w:ind w:left="0"/>
        <w:jc w:val="both"/>
        <w:rPr>
          <w:rFonts w:ascii="Arial" w:hAnsi="Arial" w:eastAsia="SimSun" w:cs="Arial"/>
          <w:sz w:val="24"/>
          <w:szCs w:val="24"/>
        </w:rPr>
      </w:pPr>
    </w:p>
    <w:p w14:paraId="63AD2697">
      <w:pPr>
        <w:pStyle w:val="16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 DISPENSA DE ESTUDO TÉCNICO PRELIMINAR (ETP):</w:t>
      </w:r>
    </w:p>
    <w:p w14:paraId="454D8B87">
      <w:pPr>
        <w:shd w:val="clear" w:color="auto" w:fill="FFFFFF"/>
        <w:spacing w:before="240" w:after="240"/>
        <w:jc w:val="both"/>
        <w:rPr>
          <w:rFonts w:ascii="Arial" w:hAnsi="Arial" w:eastAsia="Calibri" w:cs="Arial"/>
          <w:sz w:val="24"/>
          <w:szCs w:val="24"/>
          <w:lang w:bidi="ar"/>
        </w:rPr>
      </w:pPr>
      <w:r>
        <w:rPr>
          <w:rFonts w:ascii="Arial" w:hAnsi="Arial" w:cs="Arial"/>
          <w:sz w:val="24"/>
          <w:szCs w:val="24"/>
        </w:rPr>
        <w:t>Conforme dispõe o art. 7º, inciso II, do Decreto Municipal nº 248/2023, é dispensada a elaboração de Estudo Técnico Preliminar (ETP) para contratações de pequeno valor que não ultrapassem os limites estabelecidos no inciso II do art. 75 da Lei nº 14.133/2021 (R$ 62.725,59)</w:t>
      </w:r>
    </w:p>
    <w:p w14:paraId="72728803">
      <w:pPr>
        <w:pStyle w:val="16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eastAsia="SimSun" w:cs="Arial"/>
          <w:sz w:val="24"/>
          <w:szCs w:val="24"/>
        </w:rPr>
      </w:pPr>
      <w:r>
        <w:rPr>
          <w:rFonts w:ascii="Arial" w:hAnsi="Arial" w:eastAsia="SimSun" w:cs="Arial"/>
          <w:b/>
          <w:bCs/>
          <w:sz w:val="24"/>
          <w:szCs w:val="24"/>
        </w:rPr>
        <w:t>CONDIÇÕES DE PAGAMENTO</w:t>
      </w:r>
      <w:r>
        <w:rPr>
          <w:rFonts w:ascii="Arial" w:hAnsi="Arial" w:eastAsia="SimSun" w:cs="Arial"/>
          <w:sz w:val="24"/>
          <w:szCs w:val="24"/>
        </w:rPr>
        <w:t xml:space="preserve"> </w:t>
      </w:r>
    </w:p>
    <w:p w14:paraId="4E25D4E2">
      <w:pPr>
        <w:spacing w:before="240" w:after="240"/>
        <w:jc w:val="both"/>
        <w:rPr>
          <w:rFonts w:ascii="Arial" w:hAnsi="Arial" w:eastAsia="Times New Roman" w:cs="Arial"/>
          <w:sz w:val="24"/>
          <w:szCs w:val="24"/>
          <w:lang w:eastAsia="pt-BR"/>
        </w:rPr>
      </w:pPr>
      <w:r>
        <w:rPr>
          <w:rFonts w:ascii="Arial" w:hAnsi="Arial" w:eastAsia="Times New Roman" w:cs="Arial"/>
          <w:sz w:val="24"/>
          <w:szCs w:val="24"/>
          <w:lang w:eastAsia="pt-BR"/>
        </w:rPr>
        <w:t>O pagamento será realizado após a efetiva confirmação da inscrição e emissão de Nota Fiscal válida, preferencialmente mediante transferência bancária ou boleto bancário.</w:t>
      </w:r>
    </w:p>
    <w:p w14:paraId="2DB1B86B">
      <w:pPr>
        <w:spacing w:before="240" w:after="240"/>
        <w:jc w:val="both"/>
        <w:rPr>
          <w:rFonts w:ascii="Arial" w:hAnsi="Arial" w:eastAsia="Times New Roman" w:cs="Arial"/>
          <w:sz w:val="24"/>
          <w:szCs w:val="24"/>
          <w:lang w:eastAsia="pt-BR"/>
        </w:rPr>
      </w:pPr>
      <w:r>
        <w:rPr>
          <w:rFonts w:ascii="Arial" w:hAnsi="Arial" w:eastAsia="Times New Roman" w:cs="Arial"/>
          <w:sz w:val="24"/>
          <w:szCs w:val="24"/>
          <w:lang w:eastAsia="pt-BR"/>
        </w:rPr>
        <w:t>Será exigida a apresentação posterior dos certificados de participação emitidos pela organizadora, como comprovante de frequência e fruição dos conteúdos técnicos ministrados.</w:t>
      </w:r>
    </w:p>
    <w:p w14:paraId="683EEFDD">
      <w:pPr>
        <w:pStyle w:val="16"/>
        <w:spacing w:before="240" w:after="24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 recursos financeiros necessários aos pagamentos do objeto desta contratação são oriundos da seguinte dotação orçamentária:</w:t>
      </w:r>
    </w:p>
    <w:p w14:paraId="6601800E">
      <w:pPr>
        <w:pStyle w:val="16"/>
        <w:ind w:left="0"/>
        <w:jc w:val="both"/>
        <w:rPr>
          <w:rFonts w:ascii="Arial" w:hAnsi="Arial" w:cs="Arial"/>
          <w:bCs/>
          <w:sz w:val="24"/>
          <w:szCs w:val="24"/>
          <w:lang w:eastAsia="pt-BR"/>
        </w:rPr>
      </w:pPr>
      <w:r>
        <w:rPr>
          <w:rFonts w:ascii="Arial" w:hAnsi="Arial" w:cs="Arial"/>
          <w:bCs/>
          <w:sz w:val="24"/>
          <w:szCs w:val="24"/>
          <w:lang w:eastAsia="pt-BR"/>
        </w:rPr>
        <w:t xml:space="preserve">UG: </w:t>
      </w:r>
      <w:r>
        <w:rPr>
          <w:rFonts w:ascii="Arial" w:hAnsi="Arial" w:cs="Arial"/>
          <w:b/>
          <w:sz w:val="24"/>
          <w:szCs w:val="24"/>
          <w:lang w:eastAsia="pt-BR"/>
        </w:rPr>
        <w:t>301</w:t>
      </w:r>
      <w:r>
        <w:rPr>
          <w:rFonts w:ascii="Arial" w:hAnsi="Arial" w:cs="Arial"/>
          <w:bCs/>
          <w:sz w:val="24"/>
          <w:szCs w:val="24"/>
          <w:lang w:eastAsia="pt-BR"/>
        </w:rPr>
        <w:t xml:space="preserve"> - Inst. de Prev. Dos Serv. do Mun. de Guarapari/ES – IPG</w:t>
      </w:r>
    </w:p>
    <w:p w14:paraId="168EE4F8">
      <w:pPr>
        <w:pStyle w:val="16"/>
        <w:ind w:left="0"/>
        <w:jc w:val="both"/>
        <w:rPr>
          <w:rFonts w:ascii="Arial" w:hAnsi="Arial" w:cs="Arial"/>
          <w:bCs/>
          <w:sz w:val="24"/>
          <w:szCs w:val="24"/>
          <w:lang w:eastAsia="pt-BR"/>
        </w:rPr>
      </w:pPr>
      <w:r>
        <w:rPr>
          <w:rFonts w:ascii="Arial" w:hAnsi="Arial" w:cs="Arial"/>
          <w:bCs/>
          <w:sz w:val="24"/>
          <w:szCs w:val="24"/>
          <w:lang w:eastAsia="pt-BR"/>
        </w:rPr>
        <w:t xml:space="preserve">Órgão: </w:t>
      </w:r>
      <w:r>
        <w:rPr>
          <w:rFonts w:ascii="Arial" w:hAnsi="Arial" w:cs="Arial"/>
          <w:b/>
          <w:sz w:val="24"/>
          <w:szCs w:val="24"/>
          <w:lang w:eastAsia="pt-BR"/>
        </w:rPr>
        <w:t xml:space="preserve">30.01 </w:t>
      </w:r>
      <w:r>
        <w:rPr>
          <w:rFonts w:ascii="Arial" w:hAnsi="Arial" w:cs="Arial"/>
          <w:bCs/>
          <w:sz w:val="24"/>
          <w:szCs w:val="24"/>
          <w:lang w:eastAsia="pt-BR"/>
        </w:rPr>
        <w:t>- Inst. de Prev. Dos Serv. do Mun. de Guarapari/ES - IPG</w:t>
      </w:r>
    </w:p>
    <w:p w14:paraId="01F5D67D">
      <w:pPr>
        <w:pStyle w:val="16"/>
        <w:ind w:left="0"/>
        <w:jc w:val="both"/>
        <w:rPr>
          <w:rFonts w:ascii="Arial" w:hAnsi="Arial" w:cs="Arial"/>
          <w:bCs/>
          <w:sz w:val="24"/>
          <w:szCs w:val="24"/>
          <w:lang w:eastAsia="pt-BR"/>
        </w:rPr>
      </w:pPr>
      <w:r>
        <w:rPr>
          <w:rFonts w:ascii="Arial" w:hAnsi="Arial" w:cs="Arial"/>
          <w:bCs/>
          <w:sz w:val="24"/>
          <w:szCs w:val="24"/>
          <w:lang w:eastAsia="pt-BR"/>
        </w:rPr>
        <w:t xml:space="preserve">Atividade: </w:t>
      </w:r>
      <w:r>
        <w:rPr>
          <w:rFonts w:ascii="Arial" w:hAnsi="Arial" w:cs="Arial"/>
          <w:b/>
          <w:sz w:val="24"/>
          <w:szCs w:val="24"/>
          <w:lang w:eastAsia="pt-BR"/>
        </w:rPr>
        <w:t>09.122.0024.2.111</w:t>
      </w:r>
      <w:r>
        <w:rPr>
          <w:rFonts w:ascii="Arial" w:hAnsi="Arial" w:cs="Arial"/>
          <w:bCs/>
          <w:sz w:val="24"/>
          <w:szCs w:val="24"/>
          <w:lang w:eastAsia="pt-BR"/>
        </w:rPr>
        <w:t xml:space="preserve"> - Manutenção dos Serviços Administrativos do IPG</w:t>
      </w:r>
    </w:p>
    <w:p w14:paraId="7946B9C5">
      <w:pPr>
        <w:pStyle w:val="16"/>
        <w:ind w:left="0"/>
        <w:jc w:val="both"/>
        <w:rPr>
          <w:rFonts w:ascii="Arial" w:hAnsi="Arial" w:cs="Arial"/>
          <w:sz w:val="24"/>
          <w:szCs w:val="24"/>
        </w:rPr>
      </w:pPr>
    </w:p>
    <w:p w14:paraId="6306F4D5">
      <w:pPr>
        <w:pStyle w:val="2"/>
        <w:numPr>
          <w:ilvl w:val="0"/>
          <w:numId w:val="2"/>
        </w:numPr>
        <w:tabs>
          <w:tab w:val="left" w:pos="0"/>
        </w:tabs>
        <w:spacing w:before="1" w:after="120" w:afterLines="50"/>
        <w:ind w:left="0" w:firstLine="0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LOCAL, DATA E MODALIDADE DO EVENTO</w:t>
      </w:r>
    </w:p>
    <w:p w14:paraId="36457969">
      <w:pPr>
        <w:pStyle w:val="16"/>
        <w:numPr>
          <w:ilvl w:val="0"/>
          <w:numId w:val="3"/>
        </w:numPr>
        <w:spacing w:before="100" w:beforeAutospacing="1" w:after="100" w:afterAutospacing="1"/>
        <w:ind w:left="426"/>
        <w:rPr>
          <w:rFonts w:ascii="Arial" w:hAnsi="Arial" w:eastAsia="Times New Roman" w:cs="Arial"/>
          <w:sz w:val="24"/>
          <w:szCs w:val="24"/>
          <w:lang w:eastAsia="pt-BR"/>
        </w:rPr>
      </w:pPr>
      <w:r>
        <w:rPr>
          <w:rFonts w:ascii="Arial" w:hAnsi="Arial" w:eastAsia="Times New Roman" w:cs="Arial"/>
          <w:b/>
          <w:bCs/>
          <w:sz w:val="24"/>
          <w:szCs w:val="24"/>
          <w:lang w:val="en-US" w:eastAsia="pt-BR"/>
        </w:rPr>
        <w:t>Evento</w:t>
      </w:r>
      <w:r>
        <w:rPr>
          <w:rFonts w:ascii="Arial" w:hAnsi="Arial" w:eastAsia="Times New Roman" w:cs="Arial"/>
          <w:b/>
          <w:bCs/>
          <w:sz w:val="24"/>
          <w:szCs w:val="24"/>
          <w:lang w:eastAsia="pt-BR"/>
        </w:rPr>
        <w:t>: Regime Previdenciário do Servidor Público – Calculo de Aposentadorias e Pensões</w:t>
      </w:r>
      <w:r>
        <w:rPr>
          <w:rFonts w:ascii="Arial" w:hAnsi="Arial" w:eastAsia="Times New Roman" w:cs="Arial"/>
          <w:sz w:val="24"/>
          <w:szCs w:val="24"/>
          <w:lang w:val="en-US" w:eastAsia="pt-BR"/>
        </w:rPr>
        <w:t>;</w:t>
      </w:r>
    </w:p>
    <w:p w14:paraId="5E4D5113">
      <w:pPr>
        <w:pStyle w:val="16"/>
        <w:numPr>
          <w:ilvl w:val="0"/>
          <w:numId w:val="3"/>
        </w:numPr>
        <w:spacing w:before="100" w:beforeAutospacing="1" w:after="100" w:afterAutospacing="1"/>
        <w:ind w:left="426"/>
        <w:rPr>
          <w:rFonts w:ascii="Arial" w:hAnsi="Arial" w:eastAsia="Times New Roman" w:cs="Arial"/>
          <w:sz w:val="24"/>
          <w:szCs w:val="24"/>
          <w:lang w:eastAsia="pt-BR"/>
        </w:rPr>
      </w:pPr>
      <w:r>
        <w:rPr>
          <w:rFonts w:ascii="Arial" w:hAnsi="Arial" w:eastAsia="Times New Roman" w:cs="Arial"/>
          <w:b/>
          <w:bCs/>
          <w:sz w:val="24"/>
          <w:szCs w:val="24"/>
          <w:lang w:eastAsia="pt-BR"/>
        </w:rPr>
        <w:t>Data:</w:t>
      </w:r>
      <w:r>
        <w:rPr>
          <w:rFonts w:ascii="Arial" w:hAnsi="Arial" w:eastAsia="Times New Roman" w:cs="Arial"/>
          <w:b/>
          <w:bCs/>
          <w:sz w:val="24"/>
          <w:szCs w:val="24"/>
          <w:lang w:val="en-US" w:eastAsia="pt-BR"/>
        </w:rPr>
        <w:t xml:space="preserve"> </w:t>
      </w:r>
      <w:r>
        <w:rPr>
          <w:rFonts w:ascii="Arial" w:hAnsi="Arial" w:eastAsia="Times New Roman" w:cs="Arial"/>
          <w:sz w:val="24"/>
          <w:szCs w:val="24"/>
          <w:lang w:val="en-US" w:eastAsia="pt-BR"/>
        </w:rPr>
        <w:t>07 a 10 de outubro de 2025</w:t>
      </w:r>
    </w:p>
    <w:p w14:paraId="206E2346">
      <w:pPr>
        <w:pStyle w:val="16"/>
        <w:numPr>
          <w:ilvl w:val="0"/>
          <w:numId w:val="3"/>
        </w:numPr>
        <w:spacing w:before="100" w:beforeAutospacing="1" w:after="100" w:afterAutospacing="1"/>
        <w:ind w:left="426"/>
        <w:rPr>
          <w:rFonts w:ascii="Arial" w:hAnsi="Arial" w:eastAsia="Times New Roman" w:cs="Arial"/>
          <w:sz w:val="24"/>
          <w:szCs w:val="24"/>
          <w:lang w:eastAsia="pt-BR"/>
        </w:rPr>
      </w:pPr>
      <w:r>
        <w:rPr>
          <w:rFonts w:ascii="Arial" w:hAnsi="Arial" w:eastAsia="Times New Roman" w:cs="Arial"/>
          <w:b/>
          <w:bCs/>
          <w:sz w:val="24"/>
          <w:szCs w:val="24"/>
          <w:lang w:eastAsia="pt-BR"/>
        </w:rPr>
        <w:t>Local:</w:t>
      </w:r>
      <w:r>
        <w:rPr>
          <w:rFonts w:ascii="Arial" w:hAnsi="Arial" w:eastAsia="Times New Roman" w:cs="Arial"/>
          <w:sz w:val="24"/>
          <w:szCs w:val="24"/>
          <w:lang w:eastAsia="pt-BR"/>
        </w:rPr>
        <w:t xml:space="preserve"> Av. João Maurício, 255 - Manaíra - João Pessoa, PB</w:t>
      </w:r>
    </w:p>
    <w:p w14:paraId="5B3EB14B">
      <w:pPr>
        <w:pStyle w:val="16"/>
        <w:numPr>
          <w:ilvl w:val="0"/>
          <w:numId w:val="3"/>
        </w:numPr>
        <w:spacing w:before="100" w:beforeAutospacing="1" w:after="100" w:afterAutospacing="1"/>
        <w:ind w:left="426"/>
        <w:rPr>
          <w:rFonts w:ascii="Arial" w:hAnsi="Arial" w:eastAsia="Times New Roman" w:cs="Arial"/>
          <w:sz w:val="24"/>
          <w:szCs w:val="24"/>
          <w:lang w:eastAsia="pt-BR"/>
        </w:rPr>
      </w:pPr>
      <w:r>
        <w:rPr>
          <w:rFonts w:ascii="Arial" w:hAnsi="Arial" w:eastAsia="Times New Roman" w:cs="Arial"/>
          <w:b/>
          <w:bCs/>
          <w:sz w:val="24"/>
          <w:szCs w:val="24"/>
          <w:lang w:eastAsia="pt-BR"/>
        </w:rPr>
        <w:t>Modalidade:</w:t>
      </w:r>
      <w:r>
        <w:rPr>
          <w:rFonts w:ascii="Arial" w:hAnsi="Arial" w:eastAsia="Times New Roman" w:cs="Arial"/>
          <w:sz w:val="24"/>
          <w:szCs w:val="24"/>
          <w:lang w:eastAsia="pt-BR"/>
        </w:rPr>
        <w:t xml:space="preserve"> Presencia</w:t>
      </w:r>
      <w:r>
        <w:rPr>
          <w:rFonts w:ascii="Arial" w:hAnsi="Arial" w:eastAsia="Times New Roman" w:cs="Arial"/>
          <w:sz w:val="24"/>
          <w:szCs w:val="24"/>
          <w:lang w:val="en-US" w:eastAsia="pt-BR"/>
        </w:rPr>
        <w:t>l.</w:t>
      </w:r>
    </w:p>
    <w:p w14:paraId="2A5DC786">
      <w:pPr>
        <w:pStyle w:val="16"/>
        <w:ind w:left="0"/>
        <w:jc w:val="both"/>
        <w:rPr>
          <w:rFonts w:ascii="Arial" w:hAnsi="Arial" w:cs="Arial"/>
          <w:sz w:val="24"/>
          <w:szCs w:val="24"/>
        </w:rPr>
      </w:pPr>
    </w:p>
    <w:p w14:paraId="2C51B90E">
      <w:pPr>
        <w:pStyle w:val="2"/>
        <w:numPr>
          <w:ilvl w:val="0"/>
          <w:numId w:val="2"/>
        </w:numPr>
        <w:tabs>
          <w:tab w:val="left" w:pos="0"/>
        </w:tabs>
        <w:spacing w:before="1" w:after="120" w:afterLines="50"/>
        <w:ind w:left="0" w:firstLine="0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DAS OBRIGAÇÕES DA CONTRATADA</w:t>
      </w:r>
    </w:p>
    <w:p w14:paraId="6AAF81F3">
      <w:pPr>
        <w:pStyle w:val="16"/>
        <w:spacing w:before="240" w:after="24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A Contratada deverá assumir todas as despesas referentes a ministração do curso, encargos sociais, fiscais, trabalhistas e previdenciários da equipe de instrutores.</w:t>
      </w:r>
    </w:p>
    <w:p w14:paraId="0174CD5A">
      <w:pPr>
        <w:spacing w:before="240" w:after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A Contratada deverá estar ciente de que quaisquer entendimentos com o Contratante serão feitos por escrito, não sendo consideradas quaisquer alegações com fundamento em ordens ou declarações verbais.</w:t>
      </w:r>
    </w:p>
    <w:p w14:paraId="0DBDE3A8">
      <w:pPr>
        <w:spacing w:before="240" w:after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9.3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A Contratada prestará todos os esclarecimentos que forem solicitados pela Contratante, sempre por escrito, cujas reclamações atinentes a quaisquer aspectos da execução contratual se obriga prontamente a atender.</w:t>
      </w:r>
    </w:p>
    <w:p w14:paraId="5C00E803">
      <w:pPr>
        <w:spacing w:before="240" w:after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9.4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A Contratada deverá facilitar as ações do Fiscal, fornecendo informações ou promovendo acesso à documentação dos serviços em execução, atendendo prontamente às observações e exigências por eles apresentadas.</w:t>
      </w:r>
    </w:p>
    <w:p w14:paraId="4FAC18CA">
      <w:pPr>
        <w:spacing w:before="240" w:after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9.5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A Contratada se responsabilizará pela idoneidade e pelo comportamento de seus profissionais, prepostos ou subordinados, e, ainda, por quaisquer prejuízos que sejam causados à Contratante.</w:t>
      </w:r>
    </w:p>
    <w:p w14:paraId="76193FB7">
      <w:pPr>
        <w:spacing w:before="240" w:after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9.6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A Contratada se responsabilizará pela permanente manutenção de validade da documentação: Jurídica, Fiscal, Técnica e Econômico-Financeira da empresa assim como pela atualização da formação técnica de seus profissionais.</w:t>
      </w:r>
    </w:p>
    <w:p w14:paraId="7438FB76">
      <w:pPr>
        <w:spacing w:before="240" w:after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9.7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À Contratada serão vedados, sob pena de rescisão e aplicação de qualquer outra penalidade cabível, a divulgação e o fornecimento de dados e informações referentes à prestação de serviços objeto desta contratação.</w:t>
      </w:r>
    </w:p>
    <w:p w14:paraId="32599F3C">
      <w:pPr>
        <w:spacing w:before="240" w:after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9.8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São de exclusiva responsabilidade da Contratada todas as despesas com custos diretos e indiretos requeridos para a execução dos serviços objeto da contratação.</w:t>
      </w:r>
    </w:p>
    <w:p w14:paraId="5CB76D8C">
      <w:pPr>
        <w:spacing w:before="240" w:after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9.9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A Contratada deverá executar serviços com alto padrão de qualidade, de modo a atender as exigências da Contratante, utilizando profissionais especializados, cabendo-lhe total e exclusiva responsabilidade pelo integral atendimento de toda legislação que rege a execução da contratação, com ênfase na constitucional, tributária, civil, previdenciária e trabalhista.</w:t>
      </w:r>
    </w:p>
    <w:p w14:paraId="55AD2539">
      <w:pPr>
        <w:pStyle w:val="2"/>
        <w:numPr>
          <w:ilvl w:val="0"/>
          <w:numId w:val="2"/>
        </w:numPr>
        <w:spacing w:before="1"/>
        <w:ind w:left="0" w:firstLine="0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DAS OBRIGAÇÕES DO CONTRATANTE</w:t>
      </w:r>
    </w:p>
    <w:p w14:paraId="3317DE05">
      <w:pPr>
        <w:spacing w:before="240" w:after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10.1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Proporcionar todas as facilidades para que a Contratada possa cumprir suas obrigações dentro das normas e condições previstas.</w:t>
      </w:r>
    </w:p>
    <w:p w14:paraId="347BC557">
      <w:pPr>
        <w:spacing w:before="240" w:after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10.2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Efetuar os pagamentos devidos nas condições estabelecidas e prazos acordados.</w:t>
      </w:r>
    </w:p>
    <w:p w14:paraId="5C17BF67">
      <w:pPr>
        <w:spacing w:before="240" w:after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10.3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Exigir o cumprimento de todos os compromissos assumidos pela empresa de acordo com os termos da sua proposta.</w:t>
      </w:r>
    </w:p>
    <w:p w14:paraId="7938C182">
      <w:pPr>
        <w:spacing w:before="240" w:after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10.4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Notificar a empresa contratada sobre imperfeições, falhas ou irregularidades constatadas na prestação dos serviços, para que sejam adotadas as medidas cabíveis.</w:t>
      </w:r>
    </w:p>
    <w:p w14:paraId="7B154BF2">
      <w:pPr>
        <w:spacing w:before="240" w:after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10.5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Exigir comprovantes e certificados, que demonstrem a sua capacidade técnica e experiência profissional e, em caso de substituição, apresentar profissional de igual capacidade técnica. </w:t>
      </w:r>
    </w:p>
    <w:p w14:paraId="6F498CCF">
      <w:pPr>
        <w:spacing w:before="240" w:after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10.6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Efetuar o pagamento devido à Contratada pela execução dos serviços prestados, nos termos e prazos previstos neste Termo de Referência, após terem sido devidamente atestados pela Contratante, de acordo com a norma de contratação.</w:t>
      </w:r>
    </w:p>
    <w:p w14:paraId="7E3EF6CE">
      <w:pPr>
        <w:pStyle w:val="2"/>
        <w:numPr>
          <w:ilvl w:val="0"/>
          <w:numId w:val="2"/>
        </w:numPr>
        <w:ind w:left="0" w:firstLine="0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DAS MEDIDAS ACAUTELADORAS</w:t>
      </w:r>
    </w:p>
    <w:p w14:paraId="58FE45DB">
      <w:pPr>
        <w:pStyle w:val="11"/>
        <w:widowControl w:val="0"/>
        <w:autoSpaceDE w:val="0"/>
        <w:autoSpaceDN w:val="0"/>
        <w:spacing w:before="240" w:after="240"/>
        <w:ind w:right="113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Consoante o artigo 45 da Lei nº 9.784, de 1999, a Administração Pública poderá, sem a prévia</w:t>
      </w:r>
      <w:r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>manifestação</w:t>
      </w:r>
      <w:r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>do</w:t>
      </w:r>
      <w:r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>interessado,</w:t>
      </w:r>
      <w:r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>motivadamente,</w:t>
      </w:r>
      <w:r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>adotar</w:t>
      </w:r>
      <w:r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>providências</w:t>
      </w:r>
      <w:r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>acauteladoras,</w:t>
      </w:r>
      <w:r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>inclusive</w:t>
      </w:r>
      <w:r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>retendo</w:t>
      </w:r>
      <w:r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>o</w:t>
      </w:r>
      <w:r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>pagamento,</w:t>
      </w:r>
      <w:r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>em</w:t>
      </w:r>
      <w:r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>caso</w:t>
      </w:r>
      <w:r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>de</w:t>
      </w:r>
      <w:r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>risco</w:t>
      </w:r>
      <w:r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>iminente,</w:t>
      </w:r>
      <w:r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>como</w:t>
      </w:r>
      <w:r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>forma</w:t>
      </w:r>
      <w:r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>de</w:t>
      </w:r>
      <w:r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>prevenir</w:t>
      </w:r>
      <w:r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>a</w:t>
      </w:r>
      <w:r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>ocorrência</w:t>
      </w:r>
      <w:r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>de</w:t>
      </w:r>
      <w:r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>dano</w:t>
      </w:r>
      <w:r>
        <w:rPr>
          <w:rFonts w:ascii="Arial" w:hAnsi="Arial" w:cs="Arial"/>
          <w:spacing w:val="-57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>de difícil ou impossível reparação.</w:t>
      </w:r>
    </w:p>
    <w:p w14:paraId="292429D1">
      <w:pPr>
        <w:pStyle w:val="2"/>
        <w:numPr>
          <w:ilvl w:val="0"/>
          <w:numId w:val="2"/>
        </w:numPr>
        <w:spacing w:before="1"/>
        <w:ind w:left="0" w:firstLine="0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 DAS INFRAÇÕES E DAS SANÇÕES ADMINISTRATIVAS</w:t>
      </w:r>
    </w:p>
    <w:p w14:paraId="4691D309">
      <w:pPr>
        <w:pStyle w:val="11"/>
        <w:widowControl w:val="0"/>
        <w:autoSpaceDE w:val="0"/>
        <w:autoSpaceDN w:val="0"/>
        <w:spacing w:before="240" w:after="240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Na hipótese da ocorrência de quaisquer infrações contratuais ou legais, especialmente de inadimplemento de obrigação pela Contratada, esta estará sujeita às sanções previstas nos artigos 155 e 156, ambos da Lei nº 14.133, de 1º de abril de 2021:</w:t>
      </w:r>
    </w:p>
    <w:p w14:paraId="3A146929">
      <w:pPr>
        <w:tabs>
          <w:tab w:val="left" w:pos="1800"/>
        </w:tabs>
        <w:spacing w:line="312" w:lineRule="auto"/>
        <w:ind w:left="2800" w:leftChars="1400" w:right="11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Art. 155.</w:t>
      </w:r>
      <w:r>
        <w:rPr>
          <w:rFonts w:ascii="Arial" w:hAnsi="Arial" w:cs="Arial"/>
          <w:sz w:val="24"/>
          <w:szCs w:val="24"/>
        </w:rPr>
        <w:t xml:space="preserve"> O licitante ou o contratado será responsabilizado administrativamente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pelas seguintes infrações:</w:t>
      </w:r>
    </w:p>
    <w:p w14:paraId="241941B5">
      <w:pPr>
        <w:pStyle w:val="16"/>
        <w:numPr>
          <w:ilvl w:val="0"/>
          <w:numId w:val="4"/>
        </w:numPr>
        <w:tabs>
          <w:tab w:val="left" w:pos="1800"/>
          <w:tab w:val="left" w:pos="2420"/>
          <w:tab w:val="clear" w:pos="454"/>
        </w:tabs>
        <w:ind w:left="2800" w:leftChars="1400" w:firstLine="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dar causa à inexecução parcial do contrato;</w:t>
      </w:r>
    </w:p>
    <w:p w14:paraId="5AD9980A">
      <w:pPr>
        <w:pStyle w:val="16"/>
        <w:numPr>
          <w:ilvl w:val="0"/>
          <w:numId w:val="4"/>
        </w:numPr>
        <w:tabs>
          <w:tab w:val="left" w:pos="1800"/>
          <w:tab w:val="left" w:pos="2420"/>
          <w:tab w:val="clear" w:pos="454"/>
        </w:tabs>
        <w:ind w:left="2800" w:leftChars="1400" w:firstLine="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dar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causa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à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inexecução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parcial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contrato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que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cause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grave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dano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à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Administração, ao funcionamento dos serviços públicos ou ao interesse coletivo;</w:t>
      </w:r>
    </w:p>
    <w:p w14:paraId="58080212">
      <w:pPr>
        <w:pStyle w:val="16"/>
        <w:numPr>
          <w:ilvl w:val="0"/>
          <w:numId w:val="4"/>
        </w:numPr>
        <w:tabs>
          <w:tab w:val="left" w:pos="1600"/>
          <w:tab w:val="clear" w:pos="454"/>
        </w:tabs>
        <w:ind w:left="2800" w:leftChars="1400" w:firstLine="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dar causa à inexecução total do contrato;</w:t>
      </w:r>
    </w:p>
    <w:p w14:paraId="7746B71C">
      <w:pPr>
        <w:pStyle w:val="16"/>
        <w:numPr>
          <w:ilvl w:val="0"/>
          <w:numId w:val="4"/>
        </w:numPr>
        <w:tabs>
          <w:tab w:val="left" w:pos="1600"/>
          <w:tab w:val="clear" w:pos="454"/>
        </w:tabs>
        <w:ind w:left="2800" w:leftChars="1400" w:firstLine="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deixar de entregar a documentação exigida para o certame;</w:t>
      </w:r>
    </w:p>
    <w:p w14:paraId="348ED444">
      <w:pPr>
        <w:pStyle w:val="16"/>
        <w:numPr>
          <w:ilvl w:val="0"/>
          <w:numId w:val="4"/>
        </w:numPr>
        <w:tabs>
          <w:tab w:val="left" w:pos="1600"/>
          <w:tab w:val="clear" w:pos="454"/>
        </w:tabs>
        <w:ind w:left="2800" w:leftChars="1400" w:firstLine="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não</w:t>
      </w:r>
      <w:r>
        <w:rPr>
          <w:rFonts w:ascii="Arial" w:hAnsi="Arial" w:cs="Arial"/>
          <w:spacing w:val="2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manter</w:t>
      </w:r>
      <w:r>
        <w:rPr>
          <w:rFonts w:ascii="Arial" w:hAnsi="Arial" w:cs="Arial"/>
          <w:spacing w:val="2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pacing w:val="2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proposta,</w:t>
      </w:r>
      <w:r>
        <w:rPr>
          <w:rFonts w:ascii="Arial" w:hAnsi="Arial" w:cs="Arial"/>
          <w:spacing w:val="2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salvo</w:t>
      </w:r>
      <w:r>
        <w:rPr>
          <w:rFonts w:ascii="Arial" w:hAnsi="Arial" w:cs="Arial"/>
          <w:spacing w:val="2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em</w:t>
      </w:r>
      <w:r>
        <w:rPr>
          <w:rFonts w:ascii="Arial" w:hAnsi="Arial" w:cs="Arial"/>
          <w:spacing w:val="2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decorrência</w:t>
      </w:r>
      <w:r>
        <w:rPr>
          <w:rFonts w:ascii="Arial" w:hAnsi="Arial" w:cs="Arial"/>
          <w:spacing w:val="2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pacing w:val="2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fato</w:t>
      </w:r>
      <w:r>
        <w:rPr>
          <w:rFonts w:ascii="Arial" w:hAnsi="Arial" w:cs="Arial"/>
          <w:spacing w:val="2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superveniente</w:t>
      </w:r>
      <w:r>
        <w:rPr>
          <w:rFonts w:ascii="Arial" w:hAnsi="Arial" w:cs="Arial"/>
          <w:spacing w:val="-4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devidamente justificado;</w:t>
      </w:r>
    </w:p>
    <w:p w14:paraId="0E1AC67E">
      <w:pPr>
        <w:pStyle w:val="16"/>
        <w:numPr>
          <w:ilvl w:val="0"/>
          <w:numId w:val="4"/>
        </w:numPr>
        <w:tabs>
          <w:tab w:val="left" w:pos="1600"/>
          <w:tab w:val="clear" w:pos="454"/>
        </w:tabs>
        <w:ind w:left="2800" w:leftChars="1400" w:firstLine="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não</w:t>
      </w:r>
      <w:r>
        <w:rPr>
          <w:rFonts w:ascii="Arial" w:hAnsi="Arial" w:cs="Arial"/>
          <w:spacing w:val="3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celebrar</w:t>
      </w:r>
      <w:r>
        <w:rPr>
          <w:rFonts w:ascii="Arial" w:hAnsi="Arial" w:cs="Arial"/>
          <w:spacing w:val="3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pacing w:val="3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contrato</w:t>
      </w:r>
      <w:r>
        <w:rPr>
          <w:rFonts w:ascii="Arial" w:hAnsi="Arial" w:cs="Arial"/>
          <w:spacing w:val="3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ou</w:t>
      </w:r>
      <w:r>
        <w:rPr>
          <w:rFonts w:ascii="Arial" w:hAnsi="Arial" w:cs="Arial"/>
          <w:spacing w:val="3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não</w:t>
      </w:r>
      <w:r>
        <w:rPr>
          <w:rFonts w:ascii="Arial" w:hAnsi="Arial" w:cs="Arial"/>
          <w:spacing w:val="3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entregar</w:t>
      </w:r>
      <w:r>
        <w:rPr>
          <w:rFonts w:ascii="Arial" w:hAnsi="Arial" w:cs="Arial"/>
          <w:spacing w:val="3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pacing w:val="3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documentação</w:t>
      </w:r>
      <w:r>
        <w:rPr>
          <w:rFonts w:ascii="Arial" w:hAnsi="Arial" w:cs="Arial"/>
          <w:spacing w:val="3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exigida</w:t>
      </w:r>
      <w:r>
        <w:rPr>
          <w:rFonts w:ascii="Arial" w:hAnsi="Arial" w:cs="Arial"/>
          <w:spacing w:val="3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para</w:t>
      </w:r>
      <w:r>
        <w:rPr>
          <w:rFonts w:ascii="Arial" w:hAnsi="Arial" w:cs="Arial"/>
          <w:spacing w:val="3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pacing w:val="-4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contratação, quando convocado dentro do prazo de validade de sua proposta;</w:t>
      </w:r>
    </w:p>
    <w:p w14:paraId="392D57AD">
      <w:pPr>
        <w:pStyle w:val="16"/>
        <w:numPr>
          <w:ilvl w:val="0"/>
          <w:numId w:val="4"/>
        </w:numPr>
        <w:tabs>
          <w:tab w:val="left" w:pos="1600"/>
          <w:tab w:val="clear" w:pos="454"/>
        </w:tabs>
        <w:ind w:left="2800" w:leftChars="1400" w:firstLine="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ensejar</w:t>
      </w:r>
      <w:r>
        <w:rPr>
          <w:rFonts w:ascii="Arial" w:hAnsi="Arial" w:cs="Arial"/>
          <w:spacing w:val="2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pacing w:val="2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retardamento</w:t>
      </w:r>
      <w:r>
        <w:rPr>
          <w:rFonts w:ascii="Arial" w:hAnsi="Arial" w:cs="Arial"/>
          <w:spacing w:val="2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</w:t>
      </w:r>
      <w:r>
        <w:rPr>
          <w:rFonts w:ascii="Arial" w:hAnsi="Arial" w:cs="Arial"/>
          <w:spacing w:val="2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execução</w:t>
      </w:r>
      <w:r>
        <w:rPr>
          <w:rFonts w:ascii="Arial" w:hAnsi="Arial" w:cs="Arial"/>
          <w:spacing w:val="2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ou</w:t>
      </w:r>
      <w:r>
        <w:rPr>
          <w:rFonts w:ascii="Arial" w:hAnsi="Arial" w:cs="Arial"/>
          <w:spacing w:val="2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</w:t>
      </w:r>
      <w:r>
        <w:rPr>
          <w:rFonts w:ascii="Arial" w:hAnsi="Arial" w:cs="Arial"/>
          <w:spacing w:val="2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entrega</w:t>
      </w:r>
      <w:r>
        <w:rPr>
          <w:rFonts w:ascii="Arial" w:hAnsi="Arial" w:cs="Arial"/>
          <w:spacing w:val="2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</w:t>
      </w:r>
      <w:r>
        <w:rPr>
          <w:rFonts w:ascii="Arial" w:hAnsi="Arial" w:cs="Arial"/>
          <w:spacing w:val="2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objeto</w:t>
      </w:r>
      <w:r>
        <w:rPr>
          <w:rFonts w:ascii="Arial" w:hAnsi="Arial" w:cs="Arial"/>
          <w:spacing w:val="2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</w:t>
      </w:r>
      <w:r>
        <w:rPr>
          <w:rFonts w:ascii="Arial" w:hAnsi="Arial" w:cs="Arial"/>
          <w:spacing w:val="2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licitação</w:t>
      </w:r>
      <w:r>
        <w:rPr>
          <w:rFonts w:ascii="Arial" w:hAnsi="Arial" w:cs="Arial"/>
          <w:spacing w:val="-4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sem motivo justificado;</w:t>
      </w:r>
    </w:p>
    <w:p w14:paraId="045C0CCF">
      <w:pPr>
        <w:pStyle w:val="16"/>
        <w:numPr>
          <w:ilvl w:val="0"/>
          <w:numId w:val="4"/>
        </w:numPr>
        <w:tabs>
          <w:tab w:val="left" w:pos="1600"/>
          <w:tab w:val="clear" w:pos="454"/>
        </w:tabs>
        <w:ind w:left="2800" w:leftChars="1400" w:firstLine="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apresentar</w:t>
      </w:r>
      <w:r>
        <w:rPr>
          <w:rFonts w:ascii="Arial" w:hAnsi="Arial" w:cs="Arial"/>
          <w:spacing w:val="2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declaração</w:t>
      </w:r>
      <w:r>
        <w:rPr>
          <w:rFonts w:ascii="Arial" w:hAnsi="Arial" w:cs="Arial"/>
          <w:spacing w:val="2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ou</w:t>
      </w:r>
      <w:r>
        <w:rPr>
          <w:rFonts w:ascii="Arial" w:hAnsi="Arial" w:cs="Arial"/>
          <w:spacing w:val="2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documentação</w:t>
      </w:r>
      <w:r>
        <w:rPr>
          <w:rFonts w:ascii="Arial" w:hAnsi="Arial" w:cs="Arial"/>
          <w:spacing w:val="2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falsa</w:t>
      </w:r>
      <w:r>
        <w:rPr>
          <w:rFonts w:ascii="Arial" w:hAnsi="Arial" w:cs="Arial"/>
          <w:spacing w:val="2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exigida</w:t>
      </w:r>
      <w:r>
        <w:rPr>
          <w:rFonts w:ascii="Arial" w:hAnsi="Arial" w:cs="Arial"/>
          <w:spacing w:val="2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para</w:t>
      </w:r>
      <w:r>
        <w:rPr>
          <w:rFonts w:ascii="Arial" w:hAnsi="Arial" w:cs="Arial"/>
          <w:spacing w:val="2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pacing w:val="2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certame</w:t>
      </w:r>
      <w:r>
        <w:rPr>
          <w:rFonts w:ascii="Arial" w:hAnsi="Arial" w:cs="Arial"/>
          <w:spacing w:val="2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ou</w:t>
      </w:r>
      <w:r>
        <w:rPr>
          <w:rFonts w:ascii="Arial" w:hAnsi="Arial" w:cs="Arial"/>
          <w:spacing w:val="-4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prestar declaração falsa durante a licitação ou a execução do contrato;</w:t>
      </w:r>
    </w:p>
    <w:p w14:paraId="1BABC61E">
      <w:pPr>
        <w:pStyle w:val="16"/>
        <w:numPr>
          <w:ilvl w:val="0"/>
          <w:numId w:val="4"/>
        </w:numPr>
        <w:tabs>
          <w:tab w:val="left" w:pos="1600"/>
          <w:tab w:val="clear" w:pos="454"/>
        </w:tabs>
        <w:ind w:left="2800" w:leftChars="1400" w:firstLine="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fraudar a licitação ou praticar ato fraudulento na execução do contrato;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</w:p>
    <w:p w14:paraId="724159C1">
      <w:pPr>
        <w:pStyle w:val="16"/>
        <w:numPr>
          <w:ilvl w:val="0"/>
          <w:numId w:val="4"/>
        </w:numPr>
        <w:tabs>
          <w:tab w:val="left" w:pos="1600"/>
          <w:tab w:val="clear" w:pos="454"/>
        </w:tabs>
        <w:ind w:left="2800" w:leftChars="1400" w:firstLine="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comportar-se de modo inidôneo ou cometer fraude de qualquer natureza;</w:t>
      </w:r>
    </w:p>
    <w:p w14:paraId="51617229">
      <w:pPr>
        <w:pStyle w:val="16"/>
        <w:numPr>
          <w:ilvl w:val="0"/>
          <w:numId w:val="4"/>
        </w:numPr>
        <w:tabs>
          <w:tab w:val="left" w:pos="1600"/>
          <w:tab w:val="clear" w:pos="454"/>
        </w:tabs>
        <w:ind w:left="2800" w:leftChars="1400" w:firstLine="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praticar atos ilícitos com vistas a frustrar os objetivos da licitação;</w:t>
      </w:r>
    </w:p>
    <w:p w14:paraId="3F2FFDE2">
      <w:pPr>
        <w:pStyle w:val="16"/>
        <w:numPr>
          <w:ilvl w:val="0"/>
          <w:numId w:val="4"/>
        </w:numPr>
        <w:tabs>
          <w:tab w:val="left" w:pos="1600"/>
          <w:tab w:val="clear" w:pos="454"/>
        </w:tabs>
        <w:ind w:left="2800" w:leftChars="1400" w:firstLine="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praticar</w:t>
      </w:r>
      <w:r>
        <w:rPr>
          <w:rFonts w:ascii="Arial" w:hAnsi="Arial" w:cs="Arial"/>
          <w:spacing w:val="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ato</w:t>
      </w:r>
      <w:r>
        <w:rPr>
          <w:rFonts w:ascii="Arial" w:hAnsi="Arial" w:cs="Arial"/>
          <w:spacing w:val="1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lesivo</w:t>
      </w:r>
      <w:r>
        <w:rPr>
          <w:rFonts w:ascii="Arial" w:hAnsi="Arial" w:cs="Arial"/>
          <w:spacing w:val="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previsto</w:t>
      </w:r>
      <w:r>
        <w:rPr>
          <w:rFonts w:ascii="Arial" w:hAnsi="Arial" w:cs="Arial"/>
          <w:spacing w:val="1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no</w:t>
      </w:r>
      <w:r>
        <w:rPr>
          <w:rFonts w:ascii="Arial" w:hAnsi="Arial" w:cs="Arial"/>
          <w:spacing w:val="1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art.</w:t>
      </w:r>
      <w:r>
        <w:rPr>
          <w:rFonts w:ascii="Arial" w:hAnsi="Arial" w:cs="Arial"/>
          <w:spacing w:val="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5º</w:t>
      </w:r>
      <w:r>
        <w:rPr>
          <w:rFonts w:ascii="Arial" w:hAnsi="Arial" w:cs="Arial"/>
          <w:spacing w:val="1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</w:t>
      </w:r>
      <w:r>
        <w:rPr>
          <w:rFonts w:ascii="Arial" w:hAnsi="Arial" w:cs="Arial"/>
          <w:spacing w:val="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Lei</w:t>
      </w:r>
      <w:r>
        <w:rPr>
          <w:rFonts w:ascii="Arial" w:hAnsi="Arial" w:cs="Arial"/>
          <w:spacing w:val="1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nº</w:t>
      </w:r>
      <w:r>
        <w:rPr>
          <w:rFonts w:ascii="Arial" w:hAnsi="Arial" w:cs="Arial"/>
          <w:spacing w:val="1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12.846,</w:t>
      </w:r>
      <w:r>
        <w:rPr>
          <w:rFonts w:ascii="Arial" w:hAnsi="Arial" w:cs="Arial"/>
          <w:spacing w:val="1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pacing w:val="1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1º</w:t>
      </w:r>
      <w:r>
        <w:rPr>
          <w:rFonts w:ascii="Arial" w:hAnsi="Arial" w:cs="Arial"/>
          <w:spacing w:val="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pacing w:val="1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agosto</w:t>
      </w:r>
      <w:r>
        <w:rPr>
          <w:rFonts w:ascii="Arial" w:hAnsi="Arial" w:cs="Arial"/>
          <w:spacing w:val="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pacing w:val="-4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2013.</w:t>
      </w:r>
    </w:p>
    <w:p w14:paraId="2DD90CD4">
      <w:pPr>
        <w:pStyle w:val="16"/>
        <w:tabs>
          <w:tab w:val="left" w:pos="454"/>
          <w:tab w:val="left" w:pos="1600"/>
        </w:tabs>
        <w:ind w:left="280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6FD3BAE3">
      <w:pPr>
        <w:tabs>
          <w:tab w:val="left" w:pos="1800"/>
        </w:tabs>
        <w:spacing w:line="324" w:lineRule="auto"/>
        <w:ind w:left="2800" w:leftChars="140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Art.</w:t>
      </w:r>
      <w:r>
        <w:rPr>
          <w:rFonts w:ascii="Arial" w:hAnsi="Arial" w:cs="Arial"/>
          <w:b/>
          <w:bCs/>
          <w:spacing w:val="4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156.</w:t>
      </w:r>
      <w:r>
        <w:rPr>
          <w:rFonts w:ascii="Arial" w:hAnsi="Arial" w:cs="Arial"/>
          <w:b/>
          <w:bCs/>
          <w:spacing w:val="4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Serão</w:t>
      </w:r>
      <w:r>
        <w:rPr>
          <w:rFonts w:ascii="Arial" w:hAnsi="Arial" w:cs="Arial"/>
          <w:spacing w:val="4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aplicadas</w:t>
      </w:r>
      <w:r>
        <w:rPr>
          <w:rFonts w:ascii="Arial" w:hAnsi="Arial" w:cs="Arial"/>
          <w:spacing w:val="4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ao</w:t>
      </w:r>
      <w:r>
        <w:rPr>
          <w:rFonts w:ascii="Arial" w:hAnsi="Arial" w:cs="Arial"/>
          <w:spacing w:val="4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responsável</w:t>
      </w:r>
      <w:r>
        <w:rPr>
          <w:rFonts w:ascii="Arial" w:hAnsi="Arial" w:cs="Arial"/>
          <w:spacing w:val="4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pelas</w:t>
      </w:r>
      <w:r>
        <w:rPr>
          <w:rFonts w:ascii="Arial" w:hAnsi="Arial" w:cs="Arial"/>
          <w:spacing w:val="4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infrações</w:t>
      </w:r>
      <w:r>
        <w:rPr>
          <w:rFonts w:ascii="Arial" w:hAnsi="Arial" w:cs="Arial"/>
          <w:spacing w:val="4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administrativas</w:t>
      </w:r>
      <w:r>
        <w:rPr>
          <w:rFonts w:ascii="Arial" w:hAnsi="Arial" w:cs="Arial"/>
          <w:spacing w:val="-4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previstas nesta Lei as seguintes sanções:</w:t>
      </w:r>
    </w:p>
    <w:p w14:paraId="46E6496A">
      <w:pPr>
        <w:numPr>
          <w:ilvl w:val="0"/>
          <w:numId w:val="5"/>
        </w:numPr>
        <w:tabs>
          <w:tab w:val="left" w:pos="1800"/>
        </w:tabs>
        <w:spacing w:line="324" w:lineRule="auto"/>
        <w:ind w:left="2800" w:leftChars="1400" w:firstLine="0"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>- advertência;</w:t>
      </w:r>
    </w:p>
    <w:p w14:paraId="48A5D6DC">
      <w:pPr>
        <w:numPr>
          <w:ilvl w:val="0"/>
          <w:numId w:val="5"/>
        </w:numPr>
        <w:tabs>
          <w:tab w:val="left" w:pos="1800"/>
        </w:tabs>
        <w:spacing w:line="324" w:lineRule="auto"/>
        <w:ind w:left="2800" w:leftChars="1400" w:firstLine="0"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>- multa;</w:t>
      </w:r>
    </w:p>
    <w:p w14:paraId="3F895225">
      <w:pPr>
        <w:numPr>
          <w:ilvl w:val="0"/>
          <w:numId w:val="5"/>
        </w:numPr>
        <w:tabs>
          <w:tab w:val="left" w:pos="1800"/>
        </w:tabs>
        <w:spacing w:line="324" w:lineRule="auto"/>
        <w:ind w:left="2800" w:leftChars="1400" w:firstLine="0"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>- impedimento de licitar e contratar;</w:t>
      </w:r>
    </w:p>
    <w:p w14:paraId="57978A52">
      <w:pPr>
        <w:numPr>
          <w:ilvl w:val="0"/>
          <w:numId w:val="5"/>
        </w:numPr>
        <w:tabs>
          <w:tab w:val="left" w:pos="1800"/>
        </w:tabs>
        <w:spacing w:line="324" w:lineRule="auto"/>
        <w:ind w:left="2800" w:leftChars="1400" w:firstLine="0"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>- declaração de inidoneidade para licitar ou contratar.</w:t>
      </w:r>
    </w:p>
    <w:p w14:paraId="4CC519E1">
      <w:pPr>
        <w:tabs>
          <w:tab w:val="left" w:pos="1800"/>
        </w:tabs>
        <w:spacing w:line="324" w:lineRule="auto"/>
        <w:ind w:left="2800" w:leftChars="140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§ 1º </w:t>
      </w:r>
      <w:r>
        <w:rPr>
          <w:rFonts w:ascii="Arial" w:hAnsi="Arial" w:cs="Arial"/>
          <w:sz w:val="24"/>
          <w:szCs w:val="24"/>
        </w:rPr>
        <w:t xml:space="preserve">Na aplicação das sanções serão considerados: </w:t>
      </w:r>
    </w:p>
    <w:p w14:paraId="0CAF106B">
      <w:pPr>
        <w:tabs>
          <w:tab w:val="left" w:pos="1800"/>
        </w:tabs>
        <w:spacing w:line="324" w:lineRule="auto"/>
        <w:ind w:left="2800" w:leftChars="140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I.</w:t>
      </w:r>
      <w:r>
        <w:rPr>
          <w:rFonts w:ascii="Arial" w:hAnsi="Arial" w:cs="Arial"/>
          <w:sz w:val="24"/>
          <w:szCs w:val="24"/>
        </w:rPr>
        <w:t xml:space="preserve"> a natureza e a gravidade da infração cometida; </w:t>
      </w:r>
    </w:p>
    <w:p w14:paraId="771D17D0">
      <w:pPr>
        <w:tabs>
          <w:tab w:val="left" w:pos="1800"/>
        </w:tabs>
        <w:spacing w:line="324" w:lineRule="auto"/>
        <w:ind w:left="2800" w:leftChars="140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II. </w:t>
      </w:r>
      <w:r>
        <w:rPr>
          <w:rFonts w:ascii="Arial" w:hAnsi="Arial" w:cs="Arial"/>
          <w:sz w:val="24"/>
          <w:szCs w:val="24"/>
        </w:rPr>
        <w:t>as peculiaridades do caso concreto;</w:t>
      </w:r>
    </w:p>
    <w:p w14:paraId="03DDE4F0">
      <w:pPr>
        <w:tabs>
          <w:tab w:val="left" w:pos="1800"/>
        </w:tabs>
        <w:spacing w:line="324" w:lineRule="auto"/>
        <w:ind w:left="2800" w:leftChars="140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III.</w:t>
      </w:r>
      <w:r>
        <w:rPr>
          <w:rFonts w:ascii="Arial" w:hAnsi="Arial" w:cs="Arial"/>
          <w:sz w:val="24"/>
          <w:szCs w:val="24"/>
        </w:rPr>
        <w:t xml:space="preserve"> as circunstâncias agravantes ou atenuantes;</w:t>
      </w:r>
    </w:p>
    <w:p w14:paraId="3C35397E">
      <w:pPr>
        <w:tabs>
          <w:tab w:val="left" w:pos="1800"/>
        </w:tabs>
        <w:spacing w:line="324" w:lineRule="auto"/>
        <w:ind w:left="2800" w:leftChars="140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IV.</w:t>
      </w:r>
      <w:r>
        <w:rPr>
          <w:rFonts w:ascii="Arial" w:hAnsi="Arial" w:cs="Arial"/>
          <w:sz w:val="24"/>
          <w:szCs w:val="24"/>
        </w:rPr>
        <w:t xml:space="preserve"> os danos que dela provierem para a Administração Pública;</w:t>
      </w:r>
    </w:p>
    <w:p w14:paraId="20DF72AF">
      <w:pPr>
        <w:tabs>
          <w:tab w:val="left" w:pos="1800"/>
        </w:tabs>
        <w:spacing w:line="324" w:lineRule="auto"/>
        <w:ind w:left="2800" w:leftChars="140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V.</w:t>
      </w:r>
      <w:r>
        <w:rPr>
          <w:rFonts w:ascii="Arial" w:hAnsi="Arial" w:cs="Arial"/>
          <w:sz w:val="24"/>
          <w:szCs w:val="24"/>
        </w:rPr>
        <w:t xml:space="preserve"> a implantação ou o aperfeiçoamento de programa de integridade, conforme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normas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 orientações dos órgãos de controle.</w:t>
      </w:r>
    </w:p>
    <w:p w14:paraId="34D146A5">
      <w:pPr>
        <w:tabs>
          <w:tab w:val="left" w:pos="1800"/>
        </w:tabs>
        <w:spacing w:line="324" w:lineRule="auto"/>
        <w:ind w:left="2800" w:leftChars="1400" w:right="11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</w:t>
      </w:r>
      <w:r>
        <w:rPr>
          <w:rFonts w:ascii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2º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sanção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prevista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inciso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caput</w:t>
      </w:r>
      <w:r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deste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artigo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será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aplicada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exclusivamente pela infração administrativa prevista no inciso I do </w:t>
      </w:r>
      <w:r>
        <w:rPr>
          <w:rFonts w:ascii="Arial" w:hAnsi="Arial" w:cs="Arial"/>
          <w:b/>
          <w:sz w:val="24"/>
          <w:szCs w:val="24"/>
        </w:rPr>
        <w:t xml:space="preserve">caput </w:t>
      </w:r>
      <w:r>
        <w:rPr>
          <w:rFonts w:ascii="Arial" w:hAnsi="Arial" w:cs="Arial"/>
          <w:sz w:val="24"/>
          <w:szCs w:val="24"/>
        </w:rPr>
        <w:t>do art.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155 desta Lei, quando não se justificar a imposição de penalidade mais grave.</w:t>
      </w:r>
    </w:p>
    <w:p w14:paraId="212C585A">
      <w:pPr>
        <w:tabs>
          <w:tab w:val="left" w:pos="1800"/>
        </w:tabs>
        <w:spacing w:line="324" w:lineRule="auto"/>
        <w:ind w:left="2800" w:leftChars="1400" w:right="11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§ 3º </w:t>
      </w:r>
      <w:r>
        <w:rPr>
          <w:rFonts w:ascii="Arial" w:hAnsi="Arial" w:cs="Arial"/>
          <w:sz w:val="24"/>
          <w:szCs w:val="24"/>
        </w:rPr>
        <w:t xml:space="preserve">A sanção prevista no inciso II do </w:t>
      </w:r>
      <w:r>
        <w:rPr>
          <w:rFonts w:ascii="Arial" w:hAnsi="Arial" w:cs="Arial"/>
          <w:b/>
          <w:sz w:val="24"/>
          <w:szCs w:val="24"/>
        </w:rPr>
        <w:t xml:space="preserve">caput </w:t>
      </w:r>
      <w:r>
        <w:rPr>
          <w:rFonts w:ascii="Arial" w:hAnsi="Arial" w:cs="Arial"/>
          <w:sz w:val="24"/>
          <w:szCs w:val="24"/>
        </w:rPr>
        <w:t>deste artigo, calculada na forma do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edital ou do contrato, não poderá ser inferior a 0,5% (cinco décimos por cento)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nem superior a 30% (trinta por cento) do valor do contrato licitado ou celebrado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com contratação direta e será aplicada ao responsável por qualquer das infrações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administrativas previstas no art. 155 desta Lei.</w:t>
      </w:r>
    </w:p>
    <w:p w14:paraId="22A7F861">
      <w:pPr>
        <w:tabs>
          <w:tab w:val="left" w:pos="1800"/>
        </w:tabs>
        <w:spacing w:line="228" w:lineRule="exact"/>
        <w:ind w:left="2800" w:leftChars="140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(...)</w:t>
      </w:r>
    </w:p>
    <w:p w14:paraId="0F3BCDBB">
      <w:pPr>
        <w:tabs>
          <w:tab w:val="left" w:pos="1800"/>
        </w:tabs>
        <w:spacing w:line="228" w:lineRule="exact"/>
        <w:jc w:val="both"/>
        <w:rPr>
          <w:rFonts w:ascii="Arial" w:hAnsi="Arial" w:cs="Arial"/>
          <w:sz w:val="24"/>
          <w:szCs w:val="24"/>
        </w:rPr>
      </w:pPr>
    </w:p>
    <w:p w14:paraId="134189D3">
      <w:pPr>
        <w:pStyle w:val="2"/>
        <w:numPr>
          <w:ilvl w:val="0"/>
          <w:numId w:val="2"/>
        </w:numPr>
        <w:ind w:left="0" w:firstLine="0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EXIGÊNCIAS HABILITATÓRIAS MÍNIMAS</w:t>
      </w:r>
    </w:p>
    <w:p w14:paraId="26B53545">
      <w:pPr>
        <w:pStyle w:val="11"/>
        <w:widowControl w:val="0"/>
        <w:autoSpaceDE w:val="0"/>
        <w:autoSpaceDN w:val="0"/>
        <w:spacing w:before="240" w:after="240"/>
        <w:ind w:right="113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É exigido minimamente a regularidade fiscal com a Fazenda Federal, Estadual e Municipal, INSS e Justiça do Trabalho, conforme incisos III, IV e V do art. 68 da Lei n. 14.133/2021.</w:t>
      </w:r>
    </w:p>
    <w:p w14:paraId="4C9263ED">
      <w:pPr>
        <w:pStyle w:val="2"/>
        <w:numPr>
          <w:ilvl w:val="0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DISPOSIÇÕES GERAIS</w:t>
      </w:r>
    </w:p>
    <w:p w14:paraId="3FFC33E0">
      <w:pPr>
        <w:pStyle w:val="16"/>
        <w:spacing w:before="240" w:after="240"/>
        <w:ind w:left="0"/>
        <w:contextualSpacing w:val="0"/>
        <w:jc w:val="both"/>
        <w:rPr>
          <w:rFonts w:ascii="Arial" w:hAnsi="Arial" w:eastAsia="Times New Roman" w:cs="Arial"/>
          <w:sz w:val="24"/>
          <w:szCs w:val="24"/>
          <w:lang w:eastAsia="pt-BR"/>
        </w:rPr>
      </w:pPr>
      <w:r>
        <w:rPr>
          <w:rFonts w:ascii="Arial" w:hAnsi="Arial" w:eastAsia="Times New Roman" w:cs="Arial"/>
          <w:sz w:val="24"/>
          <w:szCs w:val="24"/>
          <w:lang w:eastAsia="pt-BR"/>
        </w:rPr>
        <w:t xml:space="preserve">A presente contratação direta, por inexigibilidade de licitação, fundamenta-se no art. 74, inciso III, alínea “f”, da Lei Federal nº 14.133/2021, estando plenamente justificada diante da inviabilidade de competição, da singularidade do objeto e da notória especialização da instituição promotora do </w:t>
      </w:r>
      <w:r>
        <w:rPr>
          <w:rFonts w:ascii="Arial" w:hAnsi="Arial" w:eastAsia="Times New Roman" w:cs="Arial"/>
          <w:sz w:val="24"/>
          <w:szCs w:val="24"/>
          <w:lang w:val="en-US" w:eastAsia="pt-BR"/>
        </w:rPr>
        <w:t>curso</w:t>
      </w:r>
      <w:r>
        <w:rPr>
          <w:rFonts w:ascii="Arial" w:hAnsi="Arial" w:eastAsia="Times New Roman" w:cs="Arial"/>
          <w:sz w:val="24"/>
          <w:szCs w:val="24"/>
          <w:lang w:eastAsia="pt-BR"/>
        </w:rPr>
        <w:t>.</w:t>
      </w:r>
    </w:p>
    <w:p w14:paraId="68D27FC3">
      <w:pPr>
        <w:pStyle w:val="16"/>
        <w:spacing w:before="240" w:after="240"/>
        <w:ind w:left="0"/>
        <w:contextualSpacing w:val="0"/>
        <w:jc w:val="both"/>
        <w:rPr>
          <w:rFonts w:ascii="Arial" w:hAnsi="Arial" w:eastAsia="Times New Roman" w:cs="Arial"/>
          <w:sz w:val="24"/>
          <w:szCs w:val="24"/>
          <w:lang w:eastAsia="pt-BR"/>
        </w:rPr>
      </w:pPr>
      <w:r>
        <w:rPr>
          <w:rFonts w:ascii="Arial" w:hAnsi="Arial" w:eastAsia="Times New Roman" w:cs="Arial"/>
          <w:sz w:val="24"/>
          <w:szCs w:val="24"/>
          <w:lang w:eastAsia="pt-BR"/>
        </w:rPr>
        <w:t xml:space="preserve">A participação de representantes do Instituto de Previdência dos Servidores do Município de Guarapari/ES–IPG </w:t>
      </w:r>
      <w:r>
        <w:rPr>
          <w:rFonts w:ascii="Arial" w:hAnsi="Arial" w:eastAsia="Times New Roman" w:cs="Arial"/>
          <w:sz w:val="24"/>
          <w:szCs w:val="24"/>
          <w:lang w:val="en-US" w:eastAsia="pt-BR"/>
        </w:rPr>
        <w:t xml:space="preserve">no evento Curso sobre o Regime Previdenciário do Servidor Público: Cálculo de Aposentadorias e Pensões” </w:t>
      </w:r>
      <w:r>
        <w:rPr>
          <w:rFonts w:ascii="Arial" w:hAnsi="Arial" w:eastAsia="Times New Roman" w:cs="Arial"/>
          <w:sz w:val="24"/>
          <w:szCs w:val="24"/>
          <w:lang w:eastAsia="pt-BR"/>
        </w:rPr>
        <w:t>constitui medida de capacitação estratégica e necessária, alinhada às exigências previstas na Portaria MPS nº 1.467/2022, especialmente quanto à qualificação técnica dos agentes responsáveis pela formulação.</w:t>
      </w:r>
    </w:p>
    <w:p w14:paraId="4FCCEDDA">
      <w:pPr>
        <w:pStyle w:val="16"/>
        <w:spacing w:before="240" w:after="240"/>
        <w:ind w:left="0"/>
        <w:contextualSpacing w:val="0"/>
        <w:jc w:val="both"/>
        <w:rPr>
          <w:rFonts w:ascii="Arial" w:hAnsi="Arial" w:eastAsia="Times New Roman" w:cs="Arial"/>
          <w:sz w:val="24"/>
          <w:szCs w:val="24"/>
          <w:lang w:eastAsia="pt-BR"/>
        </w:rPr>
      </w:pPr>
      <w:r>
        <w:rPr>
          <w:rFonts w:ascii="Arial" w:hAnsi="Arial" w:eastAsia="Times New Roman" w:cs="Arial"/>
          <w:sz w:val="24"/>
          <w:szCs w:val="24"/>
          <w:lang w:eastAsia="pt-BR"/>
        </w:rPr>
        <w:t xml:space="preserve">O investimento em capacitação técnica, especialmente em </w:t>
      </w:r>
      <w:r>
        <w:rPr>
          <w:rFonts w:ascii="Arial" w:hAnsi="Arial" w:eastAsia="Times New Roman" w:cs="Arial"/>
          <w:sz w:val="24"/>
          <w:szCs w:val="24"/>
          <w:lang w:val="en-US" w:eastAsia="pt-BR"/>
        </w:rPr>
        <w:t>eventos</w:t>
      </w:r>
      <w:r>
        <w:rPr>
          <w:rFonts w:ascii="Arial" w:hAnsi="Arial" w:eastAsia="Times New Roman" w:cs="Arial"/>
          <w:sz w:val="24"/>
          <w:szCs w:val="24"/>
          <w:lang w:eastAsia="pt-BR"/>
        </w:rPr>
        <w:t xml:space="preserve"> reconhecidos nacionalmente, contribui para o fortalecimento da governança institucional, o aprimoramento do processo decisório e o cumprimento dos princípios da legalidade, eficiência, economicidade e interesse público. Ressalte-se que tais diretrizes também são reforçadas pelas orientações do </w:t>
      </w:r>
      <w:r>
        <w:rPr>
          <w:rFonts w:ascii="Arial" w:hAnsi="Arial" w:eastAsia="Times New Roman" w:cs="Arial"/>
          <w:b/>
          <w:bCs/>
          <w:sz w:val="24"/>
          <w:szCs w:val="24"/>
          <w:lang w:eastAsia="pt-BR"/>
        </w:rPr>
        <w:t>Tribunal de Contas do Estado do Espírito Santo (TCE-ES)</w:t>
      </w:r>
      <w:r>
        <w:rPr>
          <w:rFonts w:ascii="Arial" w:hAnsi="Arial" w:eastAsia="Times New Roman" w:cs="Arial"/>
          <w:sz w:val="24"/>
          <w:szCs w:val="24"/>
          <w:lang w:eastAsia="pt-BR"/>
        </w:rPr>
        <w:t>, que vem reiteradamente enfatizando a importância da capacitação contínua dos gestores, conselheiros e membros de comitês técnicos dos RPPS, como mecanismo de prevenção de irregularidades e de melhoria na qualidade da gestão dos recursos previdenciários.</w:t>
      </w:r>
    </w:p>
    <w:p w14:paraId="0AEB9740">
      <w:pPr>
        <w:pStyle w:val="16"/>
        <w:spacing w:before="240" w:after="240"/>
        <w:ind w:left="0"/>
        <w:contextualSpacing w:val="0"/>
        <w:jc w:val="both"/>
        <w:rPr>
          <w:rFonts w:ascii="Arial" w:hAnsi="Arial" w:eastAsia="Times New Roman" w:cs="Arial"/>
          <w:sz w:val="24"/>
          <w:szCs w:val="24"/>
          <w:lang w:eastAsia="pt-BR"/>
        </w:rPr>
      </w:pPr>
      <w:r>
        <w:rPr>
          <w:rFonts w:ascii="Arial" w:hAnsi="Arial" w:eastAsia="Times New Roman" w:cs="Arial"/>
          <w:sz w:val="24"/>
          <w:szCs w:val="24"/>
          <w:lang w:eastAsia="pt-BR"/>
        </w:rPr>
        <w:t xml:space="preserve">A instrução do presente processo administrativo observa ainda os princípios e normas de </w:t>
      </w:r>
      <w:r>
        <w:rPr>
          <w:rFonts w:ascii="Arial" w:hAnsi="Arial" w:eastAsia="Times New Roman" w:cs="Arial"/>
          <w:b/>
          <w:bCs/>
          <w:sz w:val="24"/>
          <w:szCs w:val="24"/>
          <w:lang w:eastAsia="pt-BR"/>
        </w:rPr>
        <w:t>controle interno preventivo,</w:t>
      </w:r>
      <w:r>
        <w:rPr>
          <w:rFonts w:ascii="Arial" w:hAnsi="Arial" w:eastAsia="Times New Roman" w:cs="Arial"/>
          <w:sz w:val="24"/>
          <w:szCs w:val="24"/>
          <w:lang w:eastAsia="pt-BR"/>
        </w:rPr>
        <w:t xml:space="preserve"> com respaldo nas boas práticas recomendadas pelo TCE-ES, pela Secretaria de Previdência do Ministério da Fazenda e por manuais técnicos como o </w:t>
      </w:r>
      <w:r>
        <w:rPr>
          <w:rFonts w:ascii="Arial" w:hAnsi="Arial" w:eastAsia="Times New Roman" w:cs="Arial"/>
          <w:i/>
          <w:iCs/>
          <w:sz w:val="24"/>
          <w:szCs w:val="24"/>
          <w:lang w:eastAsia="pt-BR"/>
        </w:rPr>
        <w:t>Guia de Boas Práticas de Investimentos dos RPPS</w:t>
      </w:r>
      <w:r>
        <w:rPr>
          <w:rFonts w:ascii="Arial" w:hAnsi="Arial" w:eastAsia="Times New Roman" w:cs="Arial"/>
          <w:sz w:val="24"/>
          <w:szCs w:val="24"/>
          <w:lang w:eastAsia="pt-BR"/>
        </w:rPr>
        <w:t xml:space="preserve"> e a </w:t>
      </w:r>
      <w:r>
        <w:rPr>
          <w:rFonts w:ascii="Arial" w:hAnsi="Arial" w:eastAsia="Times New Roman" w:cs="Arial"/>
          <w:i/>
          <w:iCs/>
          <w:sz w:val="24"/>
          <w:szCs w:val="24"/>
          <w:lang w:eastAsia="pt-BR"/>
        </w:rPr>
        <w:t>Cartilha de Boas Práticas de Governança Previdenciária</w:t>
      </w:r>
      <w:r>
        <w:rPr>
          <w:rFonts w:ascii="Arial" w:hAnsi="Arial" w:eastAsia="Times New Roman" w:cs="Arial"/>
          <w:sz w:val="24"/>
          <w:szCs w:val="24"/>
          <w:lang w:eastAsia="pt-BR"/>
        </w:rPr>
        <w:t>, os quais reforçam a necessidade de adoção de mecanismos formais de capacitação, como requisito essencial à boa governança e à mitigação de riscos na gestão previdenciária.</w:t>
      </w:r>
    </w:p>
    <w:p w14:paraId="19216551">
      <w:pPr>
        <w:pStyle w:val="16"/>
        <w:spacing w:before="240" w:after="240"/>
        <w:ind w:left="0"/>
        <w:contextualSpacing w:val="0"/>
        <w:jc w:val="both"/>
        <w:rPr>
          <w:rFonts w:ascii="Arial" w:hAnsi="Arial" w:eastAsia="Times New Roman" w:cs="Arial"/>
          <w:sz w:val="24"/>
          <w:szCs w:val="24"/>
          <w:lang w:eastAsia="pt-BR"/>
        </w:rPr>
      </w:pPr>
      <w:r>
        <w:rPr>
          <w:rFonts w:ascii="Arial" w:hAnsi="Arial" w:eastAsia="Times New Roman" w:cs="Arial"/>
          <w:sz w:val="24"/>
          <w:szCs w:val="24"/>
          <w:lang w:eastAsia="pt-BR"/>
        </w:rPr>
        <w:t xml:space="preserve">Diante disso, a contratação aqui proposta revela-se </w:t>
      </w:r>
      <w:r>
        <w:rPr>
          <w:rFonts w:ascii="Arial" w:hAnsi="Arial" w:eastAsia="Times New Roman" w:cs="Arial"/>
          <w:b/>
          <w:bCs/>
          <w:sz w:val="24"/>
          <w:szCs w:val="24"/>
          <w:lang w:eastAsia="pt-BR"/>
        </w:rPr>
        <w:t>legal, legítima, vantajosa e compatível com os princípios da administração pública</w:t>
      </w:r>
      <w:r>
        <w:rPr>
          <w:rFonts w:ascii="Arial" w:hAnsi="Arial" w:eastAsia="Times New Roman" w:cs="Arial"/>
          <w:sz w:val="24"/>
          <w:szCs w:val="24"/>
          <w:lang w:eastAsia="pt-BR"/>
        </w:rPr>
        <w:t>, representando ação estratégica para o cumprimento das obrigações legais, para o fortalecimento institucional do IPG e, sobretudo, para a promoção da sustentabilidade atuarial e financeira do Regime Próprio de Previdência Social do Município de Guarapari/ES.</w:t>
      </w:r>
    </w:p>
    <w:p w14:paraId="28E5302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Guarapari/ES, </w:t>
      </w:r>
      <w:r>
        <w:rPr>
          <w:rFonts w:ascii="Arial" w:hAnsi="Arial" w:cs="Arial"/>
          <w:sz w:val="24"/>
          <w:szCs w:val="24"/>
          <w:lang w:val="pt-BR"/>
        </w:rPr>
        <w:t>30</w:t>
      </w:r>
      <w:r>
        <w:rPr>
          <w:rFonts w:ascii="Arial" w:hAnsi="Arial" w:cs="Arial"/>
          <w:sz w:val="24"/>
          <w:szCs w:val="24"/>
        </w:rPr>
        <w:t xml:space="preserve"> de julho de 2025.</w:t>
      </w:r>
    </w:p>
    <w:p w14:paraId="59166EEE">
      <w:pPr>
        <w:rPr>
          <w:rFonts w:ascii="Arial" w:hAnsi="Arial" w:cs="Arial"/>
          <w:sz w:val="24"/>
          <w:szCs w:val="24"/>
        </w:rPr>
      </w:pPr>
    </w:p>
    <w:p w14:paraId="5D296B2B">
      <w:pPr>
        <w:rPr>
          <w:rFonts w:ascii="Arial" w:hAnsi="Arial" w:cs="Arial"/>
          <w:sz w:val="24"/>
          <w:szCs w:val="24"/>
        </w:rPr>
      </w:pPr>
    </w:p>
    <w:p w14:paraId="3A9AC456">
      <w:pPr>
        <w:rPr>
          <w:rFonts w:ascii="Arial" w:hAnsi="Arial" w:cs="Arial"/>
          <w:sz w:val="24"/>
          <w:szCs w:val="24"/>
        </w:rPr>
      </w:pPr>
    </w:p>
    <w:p w14:paraId="267DF0D5">
      <w:pPr>
        <w:rPr>
          <w:rFonts w:ascii="Arial" w:hAnsi="Arial" w:cs="Arial"/>
          <w:sz w:val="24"/>
          <w:szCs w:val="24"/>
        </w:rPr>
      </w:pPr>
    </w:p>
    <w:p w14:paraId="0028B338">
      <w:pPr>
        <w:jc w:val="center"/>
        <w:rPr>
          <w:rFonts w:ascii="Arial" w:hAnsi="Arial" w:cs="Arial"/>
          <w:sz w:val="24"/>
          <w:szCs w:val="24"/>
        </w:rPr>
      </w:pPr>
    </w:p>
    <w:p w14:paraId="7BD5B089">
      <w:pPr>
        <w:pStyle w:val="5"/>
        <w:numPr>
          <w:ilvl w:val="0"/>
          <w:numId w:val="6"/>
        </w:numPr>
        <w:ind w:left="0" w:firstLine="0"/>
        <w:jc w:val="center"/>
        <w:rPr>
          <w:iCs/>
          <w:sz w:val="24"/>
          <w:szCs w:val="24"/>
        </w:rPr>
      </w:pPr>
      <w:r>
        <w:rPr>
          <w:i w:val="0"/>
          <w:iCs/>
          <w:sz w:val="24"/>
          <w:szCs w:val="24"/>
          <w:lang w:val="pt-BR"/>
        </w:rPr>
        <w:t>PAULA PIMENT DE CARVALHO FURTADO</w:t>
      </w:r>
    </w:p>
    <w:p w14:paraId="2D946147">
      <w:pPr>
        <w:pStyle w:val="5"/>
        <w:numPr>
          <w:ilvl w:val="0"/>
          <w:numId w:val="6"/>
        </w:numPr>
        <w:ind w:left="0" w:firstLine="0"/>
        <w:jc w:val="center"/>
        <w:rPr>
          <w:iCs/>
          <w:sz w:val="24"/>
          <w:szCs w:val="24"/>
        </w:rPr>
      </w:pPr>
      <w:r>
        <w:rPr>
          <w:iCs/>
          <w:sz w:val="24"/>
          <w:szCs w:val="24"/>
          <w:lang w:val="pt-BR"/>
        </w:rPr>
        <w:t xml:space="preserve">Controladora </w:t>
      </w:r>
      <w:r>
        <w:rPr>
          <w:iCs/>
          <w:sz w:val="24"/>
          <w:szCs w:val="24"/>
        </w:rPr>
        <w:t>do</w:t>
      </w:r>
      <w:r>
        <w:rPr>
          <w:iCs/>
          <w:color w:val="000000"/>
          <w:sz w:val="24"/>
          <w:szCs w:val="24"/>
        </w:rPr>
        <w:t xml:space="preserve"> Instituto de Previdência</w:t>
      </w:r>
    </w:p>
    <w:p w14:paraId="2E7427D2">
      <w:pPr>
        <w:pStyle w:val="5"/>
        <w:numPr>
          <w:ilvl w:val="0"/>
          <w:numId w:val="6"/>
        </w:numPr>
        <w:ind w:left="0" w:firstLine="0"/>
        <w:jc w:val="center"/>
        <w:rPr>
          <w:sz w:val="24"/>
          <w:szCs w:val="24"/>
        </w:rPr>
      </w:pPr>
      <w:r>
        <w:rPr>
          <w:iCs/>
          <w:color w:val="000000"/>
          <w:sz w:val="24"/>
          <w:szCs w:val="24"/>
        </w:rPr>
        <w:t xml:space="preserve">dos </w:t>
      </w:r>
      <w:r>
        <w:rPr>
          <w:bCs/>
          <w:iCs/>
          <w:color w:val="000000"/>
          <w:sz w:val="24"/>
          <w:szCs w:val="24"/>
        </w:rPr>
        <w:t>Servidores do Município de Guarapari/ES – IPG</w:t>
      </w:r>
    </w:p>
    <w:sectPr>
      <w:headerReference r:id="rId3" w:type="default"/>
      <w:footerReference r:id="rId4" w:type="default"/>
      <w:pgSz w:w="11906" w:h="16838"/>
      <w:pgMar w:top="1240" w:right="1306" w:bottom="1598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BA38D8">
    <w:pPr>
      <w:jc w:val="center"/>
      <w:rPr>
        <w:rFonts w:ascii="Arial" w:hAnsi="Arial" w:cs="Arial"/>
        <w:sz w:val="16"/>
        <w:szCs w:val="16"/>
      </w:rPr>
    </w:pPr>
    <w:r>
      <w:rPr>
        <w:sz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289CDAB">
                          <w:pPr>
                            <w:pStyle w:val="14"/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</w:rPr>
                            <w:fldChar w:fldCharType="begin"/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</w:rPr>
                            <w:fldChar w:fldCharType="separate"/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</w:rPr>
                            <w:t>1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CzSVju0AAAAAUBAAAP&#10;AAAAAAAAAAEAIAAAACIAAABkcnMvZG93bnJldi54bWxQSwECFAAUAAAACACHTuJABloZHSACAABa&#10;BAAADgAAAAAAAAABACAAAAAfAQAAZHJzL2Uyb0RvYy54bWxQSwUGAAAAAAYABgBZAQAAs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289CDAB">
                    <w:pPr>
                      <w:pStyle w:val="14"/>
                    </w:pPr>
                    <w:r>
                      <w:rPr>
                        <w:rFonts w:ascii="Arial" w:hAnsi="Arial" w:cs="Arial"/>
                        <w:b/>
                        <w:bCs/>
                      </w:rPr>
                      <w:fldChar w:fldCharType="begin"/>
                    </w:r>
                    <w:r>
                      <w:rPr>
                        <w:rFonts w:ascii="Arial" w:hAnsi="Arial" w:cs="Arial"/>
                        <w:b/>
                        <w:bCs/>
                      </w:rPr>
                      <w:instrText xml:space="preserve"> PAGE  \* MERGEFORMAT </w:instrText>
                    </w:r>
                    <w:r>
                      <w:rPr>
                        <w:rFonts w:ascii="Arial" w:hAnsi="Arial" w:cs="Arial"/>
                        <w:b/>
                        <w:bCs/>
                      </w:rPr>
                      <w:fldChar w:fldCharType="separate"/>
                    </w:r>
                    <w:r>
                      <w:rPr>
                        <w:rFonts w:ascii="Arial" w:hAnsi="Arial" w:cs="Arial"/>
                        <w:b/>
                        <w:bCs/>
                      </w:rPr>
                      <w:t>1</w:t>
                    </w:r>
                    <w:r>
                      <w:rPr>
                        <w:rFonts w:ascii="Arial" w:hAnsi="Arial" w:cs="Arial"/>
                        <w:b/>
                        <w:bCs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sz w:val="16"/>
        <w:szCs w:val="16"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-285115</wp:posOffset>
          </wp:positionH>
          <wp:positionV relativeFrom="paragraph">
            <wp:posOffset>31115</wp:posOffset>
          </wp:positionV>
          <wp:extent cx="428625" cy="349250"/>
          <wp:effectExtent l="0" t="0" r="9525" b="12700"/>
          <wp:wrapNone/>
          <wp:docPr id="4" name="Imagem 3" descr="Logotipo, nome da empres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Logotipo, nome da empresa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28625" cy="349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 w:cs="Arial"/>
        <w:sz w:val="16"/>
        <w:szCs w:val="16"/>
        <w:lang w:eastAsia="pt-B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-285115</wp:posOffset>
          </wp:positionH>
          <wp:positionV relativeFrom="paragraph">
            <wp:posOffset>31115</wp:posOffset>
          </wp:positionV>
          <wp:extent cx="428625" cy="349250"/>
          <wp:effectExtent l="0" t="0" r="9525" b="12700"/>
          <wp:wrapNone/>
          <wp:docPr id="3" name="Imagem 2" descr="Logotipo, nome da empres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Logotipo, nome da empresa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28625" cy="349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 w:cs="Arial"/>
        <w:sz w:val="16"/>
        <w:szCs w:val="16"/>
      </w:rPr>
      <w:t>Av. Mar do Norte, 202 – Bairro Praia do Morro – CEP.: 29217-080 – Guarapari – ES</w:t>
    </w:r>
  </w:p>
  <w:p w14:paraId="4A236434">
    <w:pPr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Telefones (27) 3361 - 8200</w:t>
    </w:r>
  </w:p>
  <w:p w14:paraId="353B92E5">
    <w:pPr>
      <w:pStyle w:val="14"/>
      <w:jc w:val="center"/>
      <w:rPr>
        <w:sz w:val="16"/>
        <w:szCs w:val="16"/>
      </w:rPr>
    </w:pPr>
    <w:r>
      <w:fldChar w:fldCharType="begin"/>
    </w:r>
    <w:r>
      <w:instrText xml:space="preserve"> HYPERLINK "http://www.ipg-guarapari.org.br/" </w:instrText>
    </w:r>
    <w:r>
      <w:fldChar w:fldCharType="separate"/>
    </w:r>
    <w:r>
      <w:rPr>
        <w:rStyle w:val="10"/>
        <w:rFonts w:ascii="Arial" w:hAnsi="Arial" w:cs="Arial"/>
        <w:sz w:val="16"/>
        <w:szCs w:val="16"/>
      </w:rPr>
      <w:t>www.ipg-guarapari.org.br</w:t>
    </w:r>
    <w:r>
      <w:rPr>
        <w:rStyle w:val="10"/>
        <w:rFonts w:ascii="Arial" w:hAnsi="Arial" w:cs="Arial"/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 xml:space="preserve"> –  e-mail : </w:t>
    </w:r>
    <w:r>
      <w:fldChar w:fldCharType="begin"/>
    </w:r>
    <w:r>
      <w:instrText xml:space="preserve"> HYPERLINK "mailto:ipg@ipg-guarapari.org.br" </w:instrText>
    </w:r>
    <w:r>
      <w:fldChar w:fldCharType="separate"/>
    </w:r>
    <w:r>
      <w:rPr>
        <w:rStyle w:val="10"/>
        <w:rFonts w:ascii="Arial" w:hAnsi="Arial" w:cs="Arial"/>
        <w:sz w:val="16"/>
        <w:szCs w:val="16"/>
      </w:rPr>
      <w:t>ipg@ipg-guarapari.org.br</w:t>
    </w:r>
    <w:r>
      <w:rPr>
        <w:rStyle w:val="10"/>
        <w:rFonts w:ascii="Arial" w:hAnsi="Arial" w:cs="Arial"/>
        <w:sz w:val="16"/>
        <w:szCs w:val="16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A49F51">
    <w:pPr>
      <w:pStyle w:val="13"/>
      <w:jc w:val="center"/>
      <w:rPr>
        <w:rFonts w:ascii="Arial" w:hAnsi="Arial" w:cs="Arial"/>
        <w:b/>
        <w:sz w:val="24"/>
        <w:szCs w:val="24"/>
      </w:rPr>
    </w:pPr>
    <w: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2454910</wp:posOffset>
          </wp:positionH>
          <wp:positionV relativeFrom="paragraph">
            <wp:posOffset>93980</wp:posOffset>
          </wp:positionV>
          <wp:extent cx="713105" cy="658495"/>
          <wp:effectExtent l="0" t="0" r="10795" b="825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105" cy="65849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14:paraId="475928F5">
    <w:pPr>
      <w:jc w:val="center"/>
      <w:rPr>
        <w:rFonts w:ascii="Arial" w:hAnsi="Arial" w:cs="Arial"/>
        <w:b/>
        <w:sz w:val="24"/>
        <w:szCs w:val="24"/>
      </w:rPr>
    </w:pPr>
  </w:p>
  <w:p w14:paraId="2BE2C7CF">
    <w:pPr>
      <w:jc w:val="center"/>
      <w:rPr>
        <w:rFonts w:ascii="Arial" w:hAnsi="Arial" w:cs="Arial"/>
        <w:b/>
        <w:sz w:val="24"/>
        <w:szCs w:val="24"/>
      </w:rPr>
    </w:pPr>
  </w:p>
  <w:p w14:paraId="7B18BEA4">
    <w:pPr>
      <w:jc w:val="center"/>
      <w:rPr>
        <w:rFonts w:ascii="Arial" w:hAnsi="Arial" w:cs="Arial"/>
        <w:b/>
        <w:sz w:val="24"/>
        <w:szCs w:val="24"/>
      </w:rPr>
    </w:pPr>
  </w:p>
  <w:p w14:paraId="634B74B2">
    <w:pPr>
      <w:jc w:val="center"/>
      <w:rPr>
        <w:rFonts w:ascii="Arial" w:hAnsi="Arial" w:cs="Arial"/>
        <w:b/>
        <w:sz w:val="24"/>
        <w:szCs w:val="24"/>
      </w:rPr>
    </w:pPr>
  </w:p>
  <w:p w14:paraId="72135431">
    <w:pPr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>INSTITUTO DE PREVIDÊNCIA DOS SERVIDORES</w:t>
    </w:r>
  </w:p>
  <w:p w14:paraId="7CC377FE">
    <w:pPr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>DO MUNICÍPIO DE GUARAPARI/ES – IPG</w:t>
    </w:r>
  </w:p>
  <w:p w14:paraId="0AC00C4F">
    <w:pPr>
      <w:pStyle w:val="1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01807E8"/>
    <w:multiLevelType w:val="singleLevel"/>
    <w:tmpl w:val="E01807E8"/>
    <w:lvl w:ilvl="0" w:tentative="0">
      <w:start w:val="1"/>
      <w:numFmt w:val="upperRoman"/>
      <w:suff w:val="space"/>
      <w:lvlText w:val="%1."/>
      <w:lvlJc w:val="left"/>
      <w:pPr>
        <w:ind w:left="454" w:hanging="454"/>
      </w:pPr>
      <w:rPr>
        <w:rFonts w:hint="default"/>
        <w:b/>
        <w:bCs/>
      </w:rPr>
    </w:lvl>
  </w:abstractNum>
  <w:abstractNum w:abstractNumId="1">
    <w:nsid w:val="00000002"/>
    <w:multiLevelType w:val="multilevel"/>
    <w:tmpl w:val="00000002"/>
    <w:lvl w:ilvl="0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432" w:hanging="432"/>
      </w:pPr>
      <w:rPr>
        <w:rFonts w:ascii="Arial" w:hAnsi="Arial" w:cs="Arial"/>
        <w:b/>
        <w:szCs w:val="24"/>
      </w:rPr>
    </w:lvl>
    <w:lvl w:ilvl="1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 w:tentative="0">
      <w:start w:val="1"/>
      <w:numFmt w:val="none"/>
      <w:pStyle w:val="4"/>
      <w:suff w:val="nothing"/>
      <w:lvlText w:val=""/>
      <w:lvlJc w:val="left"/>
      <w:pPr>
        <w:tabs>
          <w:tab w:val="left" w:pos="0"/>
        </w:tabs>
        <w:ind w:left="720" w:hanging="720"/>
      </w:pPr>
    </w:lvl>
    <w:lvl w:ilvl="3" w:tentative="0">
      <w:start w:val="1"/>
      <w:numFmt w:val="none"/>
      <w:pStyle w:val="5"/>
      <w:suff w:val="nothing"/>
      <w:lvlText w:val=""/>
      <w:lvlJc w:val="left"/>
      <w:pPr>
        <w:tabs>
          <w:tab w:val="left" w:pos="0"/>
        </w:tabs>
        <w:ind w:left="864" w:hanging="864"/>
      </w:pPr>
    </w:lvl>
    <w:lvl w:ilvl="4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008" w:hanging="1008"/>
      </w:pPr>
    </w:lvl>
    <w:lvl w:ilvl="5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152" w:hanging="1152"/>
      </w:pPr>
    </w:lvl>
    <w:lvl w:ilvl="6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296" w:hanging="1296"/>
      </w:pPr>
    </w:lvl>
    <w:lvl w:ilvl="7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440" w:hanging="1440"/>
      </w:pPr>
    </w:lvl>
    <w:lvl w:ilvl="8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584" w:hanging="1584"/>
      </w:pPr>
    </w:lvl>
  </w:abstractNum>
  <w:abstractNum w:abstractNumId="2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 w:cs="Arial"/>
        <w:b/>
        <w:bCs/>
      </w:rPr>
    </w:lvl>
    <w:lvl w:ilvl="1" w:tentative="0">
      <w:start w:val="1"/>
      <w:numFmt w:val="decimal"/>
      <w:lvlText w:val="%1.%2."/>
      <w:lvlJc w:val="left"/>
      <w:pPr>
        <w:ind w:left="1080" w:hanging="720"/>
      </w:pPr>
      <w:rPr>
        <w:b/>
        <w:bCs/>
        <w:sz w:val="24"/>
      </w:rPr>
    </w:lvl>
    <w:lvl w:ilvl="2" w:tentative="0">
      <w:start w:val="1"/>
      <w:numFmt w:val="decimal"/>
      <w:lvlText w:val="%1.%2.%3."/>
      <w:lvlJc w:val="left"/>
      <w:pPr>
        <w:ind w:left="1080" w:hanging="720"/>
      </w:pPr>
    </w:lvl>
    <w:lvl w:ilvl="3" w:tentative="0">
      <w:start w:val="1"/>
      <w:numFmt w:val="decimal"/>
      <w:lvlText w:val="%1.%2.%3.%4."/>
      <w:lvlJc w:val="left"/>
      <w:pPr>
        <w:ind w:left="1440" w:hanging="1080"/>
      </w:pPr>
    </w:lvl>
    <w:lvl w:ilvl="4" w:tentative="0">
      <w:start w:val="1"/>
      <w:numFmt w:val="decimal"/>
      <w:lvlText w:val="%1.%2.%3.%4.%5."/>
      <w:lvlJc w:val="left"/>
      <w:pPr>
        <w:ind w:left="1440" w:hanging="1080"/>
      </w:pPr>
    </w:lvl>
    <w:lvl w:ilvl="5" w:tentative="0">
      <w:start w:val="1"/>
      <w:numFmt w:val="decimal"/>
      <w:lvlText w:val="%1.%2.%3.%4.%5.%6."/>
      <w:lvlJc w:val="left"/>
      <w:pPr>
        <w:ind w:left="1800" w:hanging="1440"/>
      </w:pPr>
    </w:lvl>
    <w:lvl w:ilvl="6" w:tentative="0">
      <w:start w:val="1"/>
      <w:numFmt w:val="decimal"/>
      <w:lvlText w:val="%1.%2.%3.%4.%5.%6.%7."/>
      <w:lvlJc w:val="left"/>
      <w:pPr>
        <w:ind w:left="1800" w:hanging="1440"/>
      </w:pPr>
    </w:lvl>
    <w:lvl w:ilvl="7" w:tentative="0">
      <w:start w:val="1"/>
      <w:numFmt w:val="decimal"/>
      <w:lvlText w:val="%1.%2.%3.%4.%5.%6.%7.%8."/>
      <w:lvlJc w:val="left"/>
      <w:pPr>
        <w:ind w:left="2160" w:hanging="1800"/>
      </w:pPr>
    </w:lvl>
    <w:lvl w:ilvl="8" w:tentative="0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3">
    <w:nsid w:val="156C7446"/>
    <w:multiLevelType w:val="singleLevel"/>
    <w:tmpl w:val="156C7446"/>
    <w:lvl w:ilvl="0" w:tentative="0">
      <w:start w:val="1"/>
      <w:numFmt w:val="upperRoman"/>
      <w:lvlText w:val="%1."/>
      <w:lvlJc w:val="left"/>
      <w:pPr>
        <w:tabs>
          <w:tab w:val="left" w:pos="454"/>
        </w:tabs>
        <w:ind w:left="454" w:hanging="454"/>
      </w:pPr>
      <w:rPr>
        <w:rFonts w:hint="default"/>
        <w:b/>
      </w:rPr>
    </w:lvl>
  </w:abstractNum>
  <w:abstractNum w:abstractNumId="4">
    <w:nsid w:val="4F773F41"/>
    <w:multiLevelType w:val="multilevel"/>
    <w:tmpl w:val="4F773F41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7C7031F5"/>
    <w:multiLevelType w:val="multilevel"/>
    <w:tmpl w:val="7C7031F5"/>
    <w:lvl w:ilvl="0" w:tentative="0">
      <w:start w:val="1"/>
      <w:numFmt w:val="none"/>
      <w:suff w:val="nothing"/>
      <w:lvlText w:val=""/>
      <w:lvlJc w:val="left"/>
      <w:pPr>
        <w:ind w:left="432" w:hanging="432"/>
      </w:pPr>
      <w:rPr>
        <w:rFonts w:cs="Arial"/>
        <w:b/>
        <w:szCs w:val="24"/>
      </w:rPr>
    </w:lvl>
    <w:lvl w:ilvl="1" w:tentative="0">
      <w:start w:val="1"/>
      <w:numFmt w:val="none"/>
      <w:suff w:val="nothing"/>
      <w:lvlText w:val=""/>
      <w:lvlJc w:val="left"/>
      <w:pPr>
        <w:ind w:left="0" w:firstLine="0"/>
      </w:pPr>
    </w:lvl>
    <w:lvl w:ilvl="2" w:tentative="0">
      <w:start w:val="1"/>
      <w:numFmt w:val="none"/>
      <w:suff w:val="nothing"/>
      <w:lvlText w:val=""/>
      <w:lvlJc w:val="left"/>
      <w:pPr>
        <w:ind w:left="720" w:hanging="720"/>
      </w:pPr>
    </w:lvl>
    <w:lvl w:ilvl="3" w:tentative="0">
      <w:start w:val="1"/>
      <w:numFmt w:val="none"/>
      <w:suff w:val="nothing"/>
      <w:lvlText w:val=""/>
      <w:lvlJc w:val="left"/>
      <w:pPr>
        <w:ind w:left="864" w:hanging="864"/>
      </w:pPr>
    </w:lvl>
    <w:lvl w:ilvl="4" w:tentative="0">
      <w:start w:val="1"/>
      <w:numFmt w:val="none"/>
      <w:suff w:val="nothing"/>
      <w:lvlText w:val=""/>
      <w:lvlJc w:val="left"/>
      <w:pPr>
        <w:ind w:left="0" w:firstLine="0"/>
      </w:pPr>
    </w:lvl>
    <w:lvl w:ilvl="5" w:tentative="0">
      <w:start w:val="1"/>
      <w:numFmt w:val="none"/>
      <w:suff w:val="nothing"/>
      <w:lvlText w:val=""/>
      <w:lvlJc w:val="left"/>
      <w:pPr>
        <w:ind w:left="0" w:firstLine="0"/>
      </w:pPr>
    </w:lvl>
    <w:lvl w:ilvl="6" w:tentative="0">
      <w:start w:val="1"/>
      <w:numFmt w:val="none"/>
      <w:suff w:val="nothing"/>
      <w:lvlText w:val=""/>
      <w:lvlJc w:val="left"/>
      <w:pPr>
        <w:ind w:left="0" w:firstLine="0"/>
      </w:pPr>
    </w:lvl>
    <w:lvl w:ilvl="7" w:tentative="0">
      <w:start w:val="1"/>
      <w:numFmt w:val="none"/>
      <w:suff w:val="nothing"/>
      <w:lvlText w:val=""/>
      <w:lvlJc w:val="left"/>
      <w:pPr>
        <w:ind w:left="0" w:firstLine="0"/>
      </w:pPr>
    </w:lvl>
    <w:lvl w:ilvl="8" w:tentative="0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74948"/>
    <w:rsid w:val="00137715"/>
    <w:rsid w:val="00172A27"/>
    <w:rsid w:val="0022366C"/>
    <w:rsid w:val="002508D5"/>
    <w:rsid w:val="002640DE"/>
    <w:rsid w:val="002935B2"/>
    <w:rsid w:val="0036019F"/>
    <w:rsid w:val="00483EC1"/>
    <w:rsid w:val="00532CE7"/>
    <w:rsid w:val="00554BF3"/>
    <w:rsid w:val="005739EE"/>
    <w:rsid w:val="00586D57"/>
    <w:rsid w:val="007C0E7C"/>
    <w:rsid w:val="007D12EA"/>
    <w:rsid w:val="00845CDB"/>
    <w:rsid w:val="00873DF4"/>
    <w:rsid w:val="008A6B86"/>
    <w:rsid w:val="008C000D"/>
    <w:rsid w:val="009310D6"/>
    <w:rsid w:val="00992CEF"/>
    <w:rsid w:val="00A96FBB"/>
    <w:rsid w:val="00AF573B"/>
    <w:rsid w:val="00B54298"/>
    <w:rsid w:val="00BC0AE0"/>
    <w:rsid w:val="00BF285C"/>
    <w:rsid w:val="00C40B63"/>
    <w:rsid w:val="00C57B9D"/>
    <w:rsid w:val="00C74496"/>
    <w:rsid w:val="00CD67CC"/>
    <w:rsid w:val="00CE2A59"/>
    <w:rsid w:val="00D22CC6"/>
    <w:rsid w:val="00D2547D"/>
    <w:rsid w:val="00DE50A8"/>
    <w:rsid w:val="00E45FE0"/>
    <w:rsid w:val="00F34C9D"/>
    <w:rsid w:val="00F57903"/>
    <w:rsid w:val="05D9557C"/>
    <w:rsid w:val="0A5B342D"/>
    <w:rsid w:val="1109172B"/>
    <w:rsid w:val="126D6B7C"/>
    <w:rsid w:val="13332983"/>
    <w:rsid w:val="13CC6129"/>
    <w:rsid w:val="14191867"/>
    <w:rsid w:val="16CC4760"/>
    <w:rsid w:val="1A5A671D"/>
    <w:rsid w:val="1B7B4DFF"/>
    <w:rsid w:val="20055691"/>
    <w:rsid w:val="20B85D33"/>
    <w:rsid w:val="23E65D48"/>
    <w:rsid w:val="2882406E"/>
    <w:rsid w:val="29317A8E"/>
    <w:rsid w:val="2C101B42"/>
    <w:rsid w:val="2E1133FE"/>
    <w:rsid w:val="2EDC4505"/>
    <w:rsid w:val="353D602F"/>
    <w:rsid w:val="39623E90"/>
    <w:rsid w:val="398E557D"/>
    <w:rsid w:val="3C5A09C4"/>
    <w:rsid w:val="3C747014"/>
    <w:rsid w:val="42A1091A"/>
    <w:rsid w:val="431A795E"/>
    <w:rsid w:val="432F394C"/>
    <w:rsid w:val="435E4835"/>
    <w:rsid w:val="48E96331"/>
    <w:rsid w:val="4A927D65"/>
    <w:rsid w:val="4BF4712C"/>
    <w:rsid w:val="4DA561B5"/>
    <w:rsid w:val="50DD1AC5"/>
    <w:rsid w:val="51F167CE"/>
    <w:rsid w:val="524943F2"/>
    <w:rsid w:val="528563AE"/>
    <w:rsid w:val="5A812F96"/>
    <w:rsid w:val="5D68667F"/>
    <w:rsid w:val="5ECB4174"/>
    <w:rsid w:val="61E6713E"/>
    <w:rsid w:val="6CD16F99"/>
    <w:rsid w:val="707976E8"/>
    <w:rsid w:val="728B4730"/>
    <w:rsid w:val="72F0192D"/>
    <w:rsid w:val="787D7060"/>
    <w:rsid w:val="7B8539A3"/>
    <w:rsid w:val="7B9836C6"/>
    <w:rsid w:val="7F920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pt-BR" w:eastAsia="zh-CN" w:bidi="ar-SA"/>
    </w:rPr>
  </w:style>
  <w:style w:type="paragraph" w:styleId="2">
    <w:name w:val="heading 1"/>
    <w:basedOn w:val="1"/>
    <w:next w:val="1"/>
    <w:qFormat/>
    <w:uiPriority w:val="1"/>
    <w:pPr>
      <w:ind w:left="480" w:hanging="360"/>
      <w:outlineLvl w:val="0"/>
    </w:pPr>
    <w:rPr>
      <w:rFonts w:ascii="Times New Roman" w:hAnsi="Times New Roman" w:eastAsia="Times New Roman" w:cs="Times New Roman"/>
      <w:b/>
      <w:bCs/>
      <w:sz w:val="24"/>
      <w:szCs w:val="24"/>
      <w:lang w:val="pt-PT" w:eastAsia="en-US"/>
    </w:rPr>
  </w:style>
  <w:style w:type="paragraph" w:styleId="3">
    <w:name w:val="heading 2"/>
    <w:basedOn w:val="1"/>
    <w:next w:val="1"/>
    <w:link w:val="17"/>
    <w:semiHidden/>
    <w:unhideWhenUsed/>
    <w:qFormat/>
    <w:uiPriority w:val="0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paragraph" w:styleId="4">
    <w:name w:val="heading 3"/>
    <w:basedOn w:val="1"/>
    <w:next w:val="1"/>
    <w:qFormat/>
    <w:uiPriority w:val="0"/>
    <w:pPr>
      <w:keepNext/>
      <w:numPr>
        <w:ilvl w:val="2"/>
        <w:numId w:val="1"/>
      </w:numPr>
      <w:jc w:val="both"/>
      <w:outlineLvl w:val="2"/>
    </w:pPr>
    <w:rPr>
      <w:rFonts w:ascii="Arial" w:hAnsi="Arial" w:eastAsia="Times New Roman" w:cs="Arial"/>
      <w:b/>
      <w:i/>
      <w:sz w:val="24"/>
    </w:rPr>
  </w:style>
  <w:style w:type="paragraph" w:styleId="5">
    <w:name w:val="heading 4"/>
    <w:basedOn w:val="1"/>
    <w:next w:val="1"/>
    <w:qFormat/>
    <w:uiPriority w:val="0"/>
    <w:pPr>
      <w:keepNext/>
      <w:numPr>
        <w:ilvl w:val="3"/>
        <w:numId w:val="1"/>
      </w:numPr>
      <w:jc w:val="both"/>
      <w:outlineLvl w:val="3"/>
    </w:pPr>
    <w:rPr>
      <w:rFonts w:ascii="Arial" w:hAnsi="Arial" w:eastAsia="Times New Roman" w:cs="Arial"/>
      <w:b/>
      <w:sz w:val="2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6"/>
    <w:qFormat/>
    <w:uiPriority w:val="22"/>
    <w:rPr>
      <w:b/>
      <w:bCs/>
    </w:rPr>
  </w:style>
  <w:style w:type="character" w:styleId="9">
    <w:name w:val="Emphasis"/>
    <w:basedOn w:val="6"/>
    <w:qFormat/>
    <w:uiPriority w:val="20"/>
    <w:rPr>
      <w:i/>
      <w:iCs/>
    </w:rPr>
  </w:style>
  <w:style w:type="character" w:styleId="10">
    <w:name w:val="Hyperlink"/>
    <w:basedOn w:val="6"/>
    <w:qFormat/>
    <w:uiPriority w:val="0"/>
    <w:rPr>
      <w:color w:val="0000FF"/>
      <w:u w:val="single"/>
    </w:rPr>
  </w:style>
  <w:style w:type="paragraph" w:styleId="11">
    <w:name w:val="Body Text"/>
    <w:basedOn w:val="1"/>
    <w:qFormat/>
    <w:uiPriority w:val="1"/>
    <w:rPr>
      <w:rFonts w:ascii="Times New Roman" w:hAnsi="Times New Roman" w:eastAsia="Times New Roman" w:cs="Times New Roman"/>
      <w:sz w:val="24"/>
      <w:szCs w:val="24"/>
      <w:lang w:val="pt-PT" w:eastAsia="en-US"/>
    </w:rPr>
  </w:style>
  <w:style w:type="paragraph" w:styleId="12">
    <w:name w:val="Normal (Web)"/>
    <w:qFormat/>
    <w:uiPriority w:val="99"/>
    <w:pPr>
      <w:spacing w:beforeAutospacing="1" w:afterAutospacing="1"/>
    </w:pPr>
    <w:rPr>
      <w:rFonts w:ascii="Times New Roman" w:hAnsi="Times New Roman" w:eastAsia="SimSun" w:cs="Times New Roman"/>
      <w:szCs w:val="24"/>
      <w:lang w:val="en-US" w:eastAsia="zh-CN" w:bidi="ar-SA"/>
    </w:rPr>
  </w:style>
  <w:style w:type="paragraph" w:styleId="13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14">
    <w:name w:val="footer"/>
    <w:basedOn w:val="1"/>
    <w:qFormat/>
    <w:uiPriority w:val="99"/>
    <w:pPr>
      <w:tabs>
        <w:tab w:val="center" w:pos="4252"/>
        <w:tab w:val="right" w:pos="8504"/>
      </w:tabs>
    </w:pPr>
  </w:style>
  <w:style w:type="table" w:styleId="15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6">
    <w:name w:val="List Paragraph"/>
    <w:basedOn w:val="1"/>
    <w:qFormat/>
    <w:uiPriority w:val="0"/>
    <w:pPr>
      <w:ind w:left="720"/>
      <w:contextualSpacing/>
    </w:pPr>
  </w:style>
  <w:style w:type="character" w:customStyle="1" w:styleId="17">
    <w:name w:val="Título 2 Char"/>
    <w:basedOn w:val="6"/>
    <w:link w:val="3"/>
    <w:semiHidden/>
    <w:qFormat/>
    <w:uiPriority w:val="0"/>
    <w:rPr>
      <w:rFonts w:asciiTheme="majorHAnsi" w:hAnsiTheme="majorHAnsi" w:eastAsiaTheme="majorEastAsia" w:cstheme="majorBidi"/>
      <w:color w:val="2E75B6" w:themeColor="accent1" w:themeShade="BF"/>
      <w:sz w:val="26"/>
      <w:szCs w:val="26"/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2017</Words>
  <Characters>11940</Characters>
  <Lines>98</Lines>
  <Paragraphs>27</Paragraphs>
  <TotalTime>127</TotalTime>
  <ScaleCrop>false</ScaleCrop>
  <LinksUpToDate>false</LinksUpToDate>
  <CharactersWithSpaces>13860</CharactersWithSpaces>
  <Application>WPS Office_12.2.0.22222_F1E327BC-269C-435d-A152-05C5408002CA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2024-02-14T16:29:00Z</dcterms:created>
  <dc:creator>juliana.ribeiro</dc:creator>
  <cp:lastModifiedBy>fabricio.jesus</cp:lastModifiedBy>
  <cp:lastPrinted>2025-08-14T12:44:00Z</cp:lastPrinted>
  <dcterms:modified xsi:type="dcterms:W3CDTF">2025-08-20T19:29:08Z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1046-12.2.0.22222</vt:lpwstr>
  </property>
  <property fmtid="{D5CDD505-2E9C-101B-9397-08002B2CF9AE}" pid="3" name="ICV">
    <vt:lpwstr>12080AA1B2FF4E9782483AF69B70154C_13</vt:lpwstr>
  </property>
</Properties>
</file>