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center"/>
      </w:pPr>
      <w:bookmarkStart w:name="body" w:id="0"/>
      <w:bookmarkStart w:name="contents" w:id="1"/>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MODELO DE TERMO DE REFERÊNCIA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COMPRA DIRETA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(MATERIAIS – SEM CONTRATO – LEI 14.133/2021)</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center"/>
      </w:pP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2024/20610/000007</w:t>
      </w:r>
      <w:r>
        <w:rPr>
          <w:rFonts w:hint="default" w:ascii="Arial" w:hAnsi="Arial"/>
          <w:b/>
          <w:i w:val="false"/>
          <w:color w:val="000000"/>
          <w:sz w:val="20"/>
        </w:rPr>
        <w:t xml:space="preserve"/>
      </w:r>
    </w:p>
    <w:p>
      <w:pPr>
        <w:spacing w:before="0" w:after="0" w:line="360"/>
        <w:ind w:left="0"/>
        <w:jc w:val="both"/>
      </w:pPr>
    </w:p>
    <w:p>
      <w:pPr>
        <w:spacing w:before="0" w:after="0" w:line="360"/>
        <w:ind w:left="0"/>
        <w:jc w:val="center"/>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w:t>
      </w:r>
      <w:r>
        <w:rPr>
          <w:rFonts w:hint="default" w:ascii="Arial" w:hAnsi="Arial"/>
          <w:b w:val="false"/>
          <w:i w:val="false"/>
          <w:color w:val="000000"/>
          <w:sz w:val="20"/>
        </w:rPr>
        <w:t>-Aquisiçã</w:t>
      </w:r>
      <w:r>
        <w:rPr>
          <w:rFonts w:hint="default" w:ascii="Arial" w:hAnsi="Arial"/>
          <w:b w:val="false"/>
          <w:i w:val="false"/>
          <w:color w:val="000000"/>
          <w:sz w:val="20"/>
        </w:rPr>
        <w:t xml:space="preserve"> </w:t>
      </w:r>
      <w:r>
        <w:rPr>
          <w:rFonts w:hint="default" w:ascii="Arial" w:hAnsi="Arial"/>
          <w:b w:val="false"/>
          <w:i w:val="false"/>
          <w:color w:val="000000"/>
          <w:sz w:val="20"/>
        </w:rPr>
        <w:t xml:space="preserve">de </w:t>
      </w:r>
      <w:r>
        <w:rPr>
          <w:rFonts w:hint="default" w:ascii="Arial" w:hAnsi="Arial"/>
          <w:b w:val="false"/>
          <w:i w:val="false"/>
          <w:color w:val="000000"/>
          <w:sz w:val="20"/>
        </w:rPr>
        <w:t>Contratação de empresa especializada para aquisição de gêneros alimentícios para esta agência.</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visando atender as necessidades da(o) </w:t>
      </w:r>
      <w:r>
        <w:rPr>
          <w:rFonts w:hint="default" w:ascii="Arial" w:hAnsi="Arial"/>
          <w:b w:val="false"/>
          <w:i w:val="false"/>
          <w:color w:val="000000"/>
          <w:sz w:val="20"/>
        </w:rPr>
        <w:t>Agência de Metrologia, Avaliação da Conformidade, Inovação e Tecnologia do Estado do Tocantins</w:t>
      </w:r>
      <w:r>
        <w:rPr>
          <w:rFonts w:hint="default" w:ascii="Arial" w:hAnsi="Arial"/>
          <w:b w:val="false"/>
          <w:i w:val="false"/>
          <w:color w:val="000000"/>
          <w:sz w:val="20"/>
        </w:rPr>
        <w:t xml:space="preserve"> - </w:t>
      </w:r>
      <w:r>
        <w:rPr>
          <w:rFonts w:hint="default" w:ascii="Arial" w:hAnsi="Arial"/>
          <w:b w:val="false"/>
          <w:i w:val="false"/>
          <w:color w:val="000000"/>
          <w:sz w:val="20"/>
        </w:rPr>
        <w:t>AEM</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A contratação solicitada é legitima, a julgar pela natureza essencial que lhe é conferida. Sendo assim, a necessidade de aquisição desses gêneros alimentícios é de suma importância para atender a demanda desta agência.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3.1 - A aquisição em tela tem amparo nas leis que fundamentam a modalidade de licitação dispensável, nos limites dos Incisos I e II do art. 75 da lei 14133/2021, através do SISTEMA DE COMPRA DIRETA, tais como: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a) </w:t>
      </w:r>
      <w:hyperlink r:id="rId4">
        <w:r>
          <w:rPr>
            <w:rStyle w:val="Hyperlink"/>
            <w:rFonts w:hint="default" w:ascii="Arial" w:hAnsi="Arial"/>
            <w:b w:val="false"/>
            <w:i w:val="false"/>
            <w:color w:val="0000ff"/>
            <w:sz w:val="20"/>
            <w:u w:val="single"/>
          </w:rPr>
          <w:t/>
        </w:r>
        <w:r>
          <w:rPr>
            <w:rFonts w:hint="default" w:ascii="Arial" w:hAnsi="Arial"/>
            <w:b/>
            <w:i w:val="false"/>
            <w:color w:val="0000ff"/>
            <w:sz w:val="20"/>
          </w:rPr>
          <w:t>Lei Federal nº 14.133/2021</w:t>
        </w:r>
        <w:r>
          <w:rPr>
            <w:rFonts w:hint="default" w:ascii="Arial" w:hAnsi="Arial"/>
            <w:b w:val="false"/>
            <w:i w:val="false"/>
            <w:color w:val="0000ff"/>
            <w:sz w:val="20"/>
            <w:u w:val="single"/>
          </w:rPr>
          <w:t xml:space="preserve"> </w:t>
        </w:r>
      </w:hyperlink>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b) </w:t>
      </w:r>
      <w:hyperlink r:id="rId5">
        <w:r>
          <w:rPr>
            <w:rStyle w:val="Hyperlink"/>
            <w:rFonts w:hint="default" w:ascii="Arial" w:hAnsi="Arial"/>
            <w:b w:val="false"/>
            <w:i w:val="false"/>
            <w:color w:val="0000ff"/>
            <w:sz w:val="20"/>
            <w:u w:val="single"/>
          </w:rPr>
          <w:t/>
        </w:r>
        <w:r>
          <w:rPr>
            <w:rFonts w:hint="default" w:ascii="Arial" w:hAnsi="Arial"/>
            <w:b/>
            <w:i w:val="false"/>
            <w:color w:val="0000ff"/>
            <w:sz w:val="20"/>
          </w:rPr>
          <w:t>Lei Complementar nº 123/2006</w:t>
        </w:r>
        <w:r>
          <w:rPr>
            <w:rFonts w:hint="default" w:ascii="Arial" w:hAnsi="Arial"/>
            <w:b w:val="false"/>
            <w:i w:val="false"/>
            <w:color w:val="0000ff"/>
            <w:sz w:val="20"/>
            <w:u w:val="single"/>
          </w:rPr>
          <w:t xml:space="preserve"> </w:t>
        </w:r>
      </w:hyperlink>
      <w:r>
        <w:rPr>
          <w:rFonts w:hint="default" w:ascii="Arial" w:hAnsi="Arial"/>
          <w:b w:val="false"/>
          <w:i w:val="false"/>
          <w:color w:val="000000"/>
          <w:sz w:val="20"/>
        </w:rPr>
        <w:t>- Institui o Estatuto Nacional da Microempresa e da Empresa de Pequeno Porte.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c) </w:t>
      </w:r>
      <w:hyperlink r:id="rId6">
        <w:r>
          <w:rPr>
            <w:rStyle w:val="Hyperlink"/>
            <w:rFonts w:hint="default" w:ascii="Arial" w:hAnsi="Arial"/>
            <w:b w:val="false"/>
            <w:i w:val="false"/>
            <w:color w:val="0000ff"/>
            <w:sz w:val="20"/>
            <w:u w:val="single"/>
          </w:rPr>
          <w:t/>
        </w:r>
        <w:r>
          <w:rPr>
            <w:rFonts w:hint="default" w:ascii="Arial" w:hAnsi="Arial"/>
            <w:b/>
            <w:i w:val="false"/>
            <w:color w:val="0000ff"/>
            <w:sz w:val="20"/>
          </w:rPr>
          <w:t>Decreto 6.084, de 14 de abril de 2020</w:t>
        </w:r>
        <w:r>
          <w:rPr>
            <w:rFonts w:hint="default" w:ascii="Arial" w:hAnsi="Arial"/>
            <w:b w:val="false"/>
            <w:i w:val="false"/>
            <w:color w:val="0000ff"/>
            <w:sz w:val="20"/>
            <w:u w:val="single"/>
          </w:rPr>
          <w:t xml:space="preserve"> </w:t>
        </w:r>
      </w:hyperlink>
      <w:r>
        <w:rPr>
          <w:rFonts w:hint="default" w:ascii="Arial" w:hAnsi="Arial"/>
          <w:b w:val="false"/>
          <w:i w:val="false"/>
          <w:color w:val="000000"/>
          <w:sz w:val="20"/>
        </w:rPr>
        <w:t xml:space="preserve">- Institui o Sistema Integrado de Gestão Administrativa do Estado do Tocantins - SIGA-TO, e adota outras providências.</w:t>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d)</w:t>
      </w:r>
      <w:r>
        <w:rPr>
          <w:rFonts w:hint="default" w:ascii="Arial" w:hAnsi="Arial"/>
          <w:b/>
          <w:i w:val="false"/>
          <w:color w:val="000000"/>
          <w:sz w:val="20"/>
        </w:rPr>
        <w:t xml:space="preserve"> </w:t>
      </w:r>
      <w:r>
        <w:rPr>
          <w:rFonts w:hint="default" w:ascii="Arial" w:hAnsi="Arial"/>
          <w:b/>
          <w:i w:val="false"/>
          <w:color w:val="0000ff"/>
          <w:sz w:val="20"/>
        </w:rPr>
        <w:t>Portaria SEFAZ nº 507/2020/GABSEC de 03/06/2020</w:t>
      </w:r>
      <w:r>
        <w:rPr>
          <w:rFonts w:hint="default" w:ascii="Arial" w:hAnsi="Arial"/>
          <w:b w:val="false"/>
          <w:i w:val="false"/>
          <w:color w:val="0000ff"/>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e) </w:t>
      </w:r>
      <w:r>
        <w:rPr>
          <w:rFonts w:hint="default" w:ascii="Arial" w:hAnsi="Arial"/>
          <w:b/>
          <w:i w:val="false"/>
          <w:color w:val="0000ff"/>
          <w:sz w:val="20"/>
        </w:rPr>
        <w:t>Portaria SEFAZ Nº 235/2021/GABSEC</w:t>
      </w:r>
      <w:r>
        <w:rPr>
          <w:rFonts w:hint="default" w:ascii="Arial" w:hAnsi="Arial"/>
          <w:b w:val="false"/>
          <w:i w:val="false"/>
          <w:color w:val="0000ff"/>
          <w:sz w:val="20"/>
        </w:rPr>
        <w:t xml:space="preserve"> </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5.1 - O prazo de entrega será de </w:t>
      </w:r>
      <w:r>
        <w:rPr>
          <w:rFonts w:hint="default" w:ascii="Arial" w:hAnsi="Arial"/>
          <w:b w:val="false"/>
          <w:i w:val="false"/>
          <w:color w:val="000000"/>
          <w:sz w:val="20"/>
        </w:rPr>
        <w:t>15 dias</w:t>
      </w:r>
      <w:r>
        <w:rPr>
          <w:rFonts w:hint="default" w:ascii="Arial" w:hAnsi="Arial"/>
          <w:b w:val="false"/>
          <w:i w:val="false"/>
          <w:color w:val="000000"/>
          <w:sz w:val="20"/>
        </w:rPr>
        <w:t xml:space="preserve"> dias corridos, contados do recebimento da Nota de Empenho.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5.2 - A entrega dos referidos materiais será efetuada em horário de expediente, no seguinte endereço: </w:t>
      </w:r>
      <w:r>
        <w:rPr>
          <w:rFonts w:hint="default" w:ascii="Arial" w:hAnsi="Arial"/>
          <w:b w:val="false"/>
          <w:i w:val="false"/>
          <w:color w:val="000000"/>
          <w:sz w:val="20"/>
        </w:rPr>
        <w:t>Almoxerifado da AEM TO</w:t>
      </w:r>
      <w:r>
        <w:rPr>
          <w:rFonts w:hint="default" w:ascii="Arial" w:hAnsi="Arial"/>
          <w:b w:val="false"/>
          <w:i w:val="false"/>
          <w:color w:val="000000"/>
          <w:sz w:val="20"/>
        </w:rPr>
        <w:t xml:space="preserve"> na presença de servidor devidamente autorizado que terá o prazo de até 05 (cinco) dias corridos para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5.3 - A responsabilidade pelo recebimento do material ficará a cargo de servidor designado formalmente pela </w:t>
      </w:r>
      <w:r>
        <w:rPr>
          <w:rFonts w:hint="default" w:ascii="Arial" w:hAnsi="Arial"/>
          <w:b w:val="false"/>
          <w:i w:val="false"/>
          <w:color w:val="000000"/>
          <w:sz w:val="20"/>
        </w:rPr>
        <w:t>AEM</w:t>
      </w:r>
      <w:r>
        <w:rPr>
          <w:rFonts w:hint="default" w:ascii="Arial" w:hAnsi="Arial"/>
          <w:b w:val="false"/>
          <w:i w:val="false"/>
          <w:color w:val="000000"/>
          <w:sz w:val="20"/>
        </w:rPr>
        <w:t>, o qual deverá proceder ao atesto da(s) nota(s) fiscal(is).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DO FORNECIMENTO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6.1 - </w:t>
      </w:r>
      <w:r>
        <w:rPr>
          <w:rFonts w:hint="default" w:ascii="Arial" w:hAnsi="Arial"/>
          <w:b w:val="false"/>
          <w:i w:val="false"/>
          <w:color w:val="000000"/>
          <w:sz w:val="20"/>
        </w:rPr>
        <w:t xml:space="preserve">A presente contratação de dispensa será realizada por meio de cotação eletrônica, do tipo “MENOR PREÇO UNITÁRIO” ou “MENOR PREÇO TOTAL POR ITEM OU GRUPO”, realizada através de Sistema Eletrônico, no Portal de Compras do Governo Estadual,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7.1 </w:t>
      </w:r>
      <w:r>
        <w:rPr>
          <w:rFonts w:hint="default" w:ascii="Arial" w:hAnsi="Arial"/>
          <w:b w:val="false"/>
          <w:i w:val="false"/>
          <w:color w:val="000000"/>
          <w:sz w:val="20"/>
        </w:rPr>
        <w:t xml:space="preserve">- Os bens serão recebidos provisoriamente no prazo de ..... (.....) dias, pelo(a) responsável pelo acompanhamento e fiscalização do contrato, para efeito de posterior verificação de sua conformidade com as especificações constantes neste Termo de Referência e na proposta.</w:t>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no prazo de .... (...) dias, a contar da notificação da contratada, às suas custas, sem prejuízo da aplicação das penalidades.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7.3 - Os bens serão recebidos definitivamente no prazo de ...... (.....) dias, contados do recebimento provisório, após a verificação da qualidade e quantidade do material e consequente aceitação mediante termo circunstanciado.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7.5 - O recebimento provisório ou definitivo do objeto não exclui a responsabilidade da contratada pelos prejuízos resultantes da incorreta execução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8.</w:t>
      </w:r>
      <w:r>
        <w:rPr>
          <w:rFonts w:hint="default" w:ascii="Arial" w:hAnsi="Arial"/>
          <w:b/>
          <w:i w:val="false"/>
          <w:color w:val="000000"/>
          <w:sz w:val="20"/>
        </w:rPr>
        <w:t xml:space="preserve"> </w:t>
      </w:r>
      <w:r>
        <w:rPr>
          <w:rFonts w:hint="default" w:ascii="Arial" w:hAnsi="Arial"/>
          <w:b/>
          <w:i w:val="false"/>
          <w:color w:val="000000"/>
          <w:sz w:val="20"/>
        </w:rPr>
        <w:t>DA GARANTIA E ASSISTÊNCIA TÉCNICA, se houver</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8.1 - Os materiais deverão possuir garantia mínima de ........ (.....) meses, contados da data de recebimento definitiva dos mesmos.</w:t>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8.2 - O(s) (INDICAR O Nº DO ITEM) deverá(ão) possuir assistência técnica autorizada, credenciada ou disponibilizada (LOCAL).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9.</w:t>
      </w:r>
      <w:r>
        <w:rPr>
          <w:rFonts w:hint="default" w:ascii="Arial" w:hAnsi="Arial"/>
          <w:b/>
          <w:i w:val="false"/>
          <w:color w:val="000000"/>
          <w:sz w:val="20"/>
        </w:rPr>
        <w:t xml:space="preserve"> </w:t>
      </w:r>
      <w:r>
        <w:rPr>
          <w:rFonts w:hint="default" w:ascii="Arial" w:hAnsi="Arial"/>
          <w:b/>
          <w:i w:val="false"/>
          <w:color w:val="000000"/>
          <w:sz w:val="20"/>
        </w:rPr>
        <w:t>DO CONTROLE E FISCALIZAÇÃO DA EXECUÇÃO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10.</w:t>
      </w:r>
      <w:r>
        <w:rPr>
          <w:rFonts w:hint="default" w:ascii="Arial" w:hAnsi="Arial"/>
          <w:b/>
          <w:i w:val="false"/>
          <w:color w:val="000000"/>
          <w:sz w:val="20"/>
        </w:rPr>
        <w:t xml:space="preserve"> </w:t>
      </w:r>
      <w:r>
        <w:rPr>
          <w:rFonts w:hint="default" w:ascii="Arial" w:hAnsi="Arial"/>
          <w:b/>
          <w:i w:val="false"/>
          <w:color w:val="000000"/>
          <w:sz w:val="20"/>
        </w:rPr>
        <w:t>DA CLASSIFICAÇÃO ORCAMENTÁRIA</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10.1 - As despesas decorrentes da aquisição do objeto correrão por conta da seguinte classificação orçamentária: ("DOTAÇÃO”).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11.</w:t>
      </w:r>
      <w:r>
        <w:rPr>
          <w:rFonts w:hint="default" w:ascii="Arial" w:hAnsi="Arial"/>
          <w:b/>
          <w:i w:val="false"/>
          <w:color w:val="000000"/>
          <w:sz w:val="20"/>
        </w:rPr>
        <w:t xml:space="preserve"> </w:t>
      </w:r>
      <w:r>
        <w:rPr>
          <w:rFonts w:hint="default" w:ascii="Arial" w:hAnsi="Arial"/>
          <w:b/>
          <w:i w:val="false"/>
          <w:color w:val="000000"/>
          <w:sz w:val="20"/>
        </w:rPr>
        <w:t>DO PAGAMENTO</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12.</w:t>
      </w:r>
      <w:r>
        <w:rPr>
          <w:rFonts w:hint="default" w:ascii="Arial" w:hAnsi="Arial"/>
          <w:b/>
          <w:i w:val="false"/>
          <w:color w:val="000000"/>
          <w:sz w:val="20"/>
        </w:rPr>
        <w:t xml:space="preserve"> </w:t>
      </w:r>
      <w:r>
        <w:rPr>
          <w:rFonts w:hint="default" w:ascii="Arial" w:hAnsi="Arial"/>
          <w:b/>
          <w:i w:val="false"/>
          <w:color w:val="000000"/>
          <w:sz w:val="20"/>
        </w:rPr>
        <w:t>DAS AMOSTRAS</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12.1 - O órgão requisitante poderá solicitar amostra e as empresas deverão apresentá-las no </w:t>
      </w:r>
      <w:r>
        <w:rPr>
          <w:rFonts w:hint="default" w:ascii="Arial" w:hAnsi="Arial"/>
          <w:b w:val="false"/>
          <w:i w:val="false"/>
          <w:color w:val="000000"/>
          <w:sz w:val="20"/>
        </w:rPr>
        <w:t>AEM</w:t>
      </w:r>
      <w:r>
        <w:rPr>
          <w:rFonts w:hint="default" w:ascii="Arial" w:hAnsi="Arial"/>
          <w:b w:val="false"/>
          <w:i w:val="false"/>
          <w:color w:val="000000"/>
          <w:sz w:val="20"/>
        </w:rPr>
        <w:t xml:space="preserve"> no prazo máximo de 72 (setenta e duas horas) horas após a convocação através de ofício, encaminhado via email. As demais empresas, caso necessário, serão convocadas em ordem de classificação e deverão apresentar as amostras no mesmo prazo.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12.2 - A não apresentação da amostra no prazo estabelecido implicará em desclassificação da empresa e convocação das demais licitantes, em ordem de classificação. A amostra deverá estar devidamente identificada com nome da empresa, nº do edital e do item.</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13.</w:t>
      </w:r>
      <w:r>
        <w:rPr>
          <w:rFonts w:hint="default" w:ascii="Arial" w:hAnsi="Arial"/>
          <w:b/>
          <w:i w:val="false"/>
          <w:color w:val="000000"/>
          <w:sz w:val="20"/>
        </w:rPr>
        <w:t xml:space="preserve"> </w:t>
      </w:r>
      <w:r>
        <w:rPr>
          <w:rFonts w:hint="default" w:ascii="Arial" w:hAnsi="Arial"/>
          <w:b/>
          <w:i w:val="false"/>
          <w:color w:val="000000"/>
          <w:sz w:val="20"/>
        </w:rPr>
        <w:t>DOS PRAZOS PARA APRESENTAÇÃO DA DOCUMENTAÇÃO EXIGIDA</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13.1 - Os documentos de habilitação e os complementares à proposta deverão ser encaminhados pelo vencedor, no prazo de xx (horas), contado da solicitação do órgão requisitante, sob pena de inabilitação/desclassificação conforme o caso.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13.2 - As microempresas e empresas de pequeno porte deverão apresentar toda a documentação exigida para efeito de comprovação da documentação solicitada, mesmo que esta apresente alguma restrição, sob pena de inabilitação.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13.2.1 -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14.</w:t>
      </w:r>
      <w:r>
        <w:rPr>
          <w:rFonts w:hint="default" w:ascii="Arial" w:hAnsi="Arial"/>
          <w:b/>
          <w:i w:val="false"/>
          <w:color w:val="000000"/>
          <w:sz w:val="20"/>
        </w:rPr>
        <w:t xml:space="preserve"> </w:t>
      </w:r>
      <w:r>
        <w:rPr>
          <w:rFonts w:hint="default" w:ascii="Arial" w:hAnsi="Arial"/>
          <w:b/>
          <w:i w:val="false"/>
          <w:color w:val="000000"/>
          <w:sz w:val="20"/>
        </w:rPr>
        <w:t>DOS DOCUMENTOS A SEREM ENCAMINHADOS JUNTAMENTE COM A PROPOSTA</w:t>
      </w:r>
      <w:r>
        <w:rPr>
          <w:rFonts w:hint="default" w:ascii="Arial" w:hAnsi="Arial"/>
          <w:b/>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14.1 - Apresentar Declaração de Ciência do Termo de Referência.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bookmarkEnd w:id="1"/>
    <w:bookmarkEnd w:id="0"/>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2977"/>
      <w:gridCol w:w="1358"/>
    </w:tblGrid>
    <w:tr>
      <w:trPr>
        <w:trHeight w:val="210" w:hRule="atLeast"/>
      </w:trPr>
      <w:tc>
        <w:tcPr>
          <w:tcW w:w="2977"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Governo do Estado do Tocantins</w:t>
          </w:r>
        </w:p>
      </w:tc>
      <w:tc>
        <w:tcPr>
          <w:tcW w:w="1358"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 xml:space="preserve">Pág. </w:t>
          </w:r>
          <w:r>
            <w:rPr>
              <w:rFonts w:hint="default" w:ascii="Arial" w:hAnsi="Arial"/>
              <w:b w:val="false"/>
              <w:i w:val="false"/>
              <w:color w:val="000000"/>
              <w:sz w:val="16"/>
            </w:rPr>
            <w:t>{{page}}</w:t>
          </w:r>
        </w:p>
      </w:tc>
    </w:tr>
  </w:tbl>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10274"/>
      <w:gridCol w:w="440"/>
    </w:tblGrid>
    <w:tr>
      <w:trPr>
        <w:trHeight w:val="1050" w:hRule="atLeast"/>
      </w:trPr>
      <w:tc>
        <w:tcPr>
          <w:tcW w:w="10274" w:type="dxa"/>
          <w:tcBorders/>
          <w:tcMar>
            <w:top w:w="15" w:type="dxa"/>
            <w:left w:w="15" w:type="dxa"/>
            <w:bottom w:w="15" w:type="dxa"/>
            <w:right w:w="15" w:type="dxa"/>
          </w:tcMar>
          <w:vAlign w:val="center"/>
        </w:tcPr>
        <w:p>
          <w:pPr>
            <w:spacing w:before="0" w:after="0"/>
            <w:ind w:left="135"/>
            <w:jc w:val="right"/>
          </w:pPr>
          <w:r>
            <w:rPr>
              <w:rFonts w:hint="default" w:ascii="Arial" w:hAnsi="Arial"/>
              <w:b/>
              <w:i w:val="false"/>
              <w:color w:val="000000"/>
              <w:sz w:val="18"/>
            </w:rPr>
            <w:t xml:space="preserve"> Agência de Metrologia, Avaliação da Conformidade, Inovação e Tecnologia do Estado do Tocantins </w:t>
          </w:r>
        </w:p>
      </w:tc>
      <w:tc>
        <w:tcPr>
          <w:tcW w:w="440" w:type="dxa"/>
          <w:tcBorders/>
          <w:tcMar>
            <w:top w:w="15" w:type="dxa"/>
            <w:left w:w="150" w:type="dxa"/>
            <w:bottom w:w="15" w:type="dxa"/>
            <w:right w:w="150" w:type="dxa"/>
          </w:tcMar>
          <w:vAlign w:val="center"/>
        </w:tcPr>
        <w:p>
          <w:r>
            <w:drawing>
              <wp:inline distT="0" distB="0" distL="0" distR="0">
                <wp:extent cx="1611610" cy="6667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611610" cy="66675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