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9865">
      <w:pPr>
        <w:jc w:val="center"/>
        <w:rPr>
          <w:i/>
          <w:iCs/>
          <w:sz w:val="24"/>
          <w:szCs w:val="24"/>
          <w:highlight w:val="yellow"/>
        </w:rPr>
      </w:pPr>
      <w:r>
        <w:rPr>
          <w:i/>
          <w:iCs/>
          <w:sz w:val="24"/>
          <w:szCs w:val="24"/>
        </w:rPr>
        <mc:AlternateContent>
          <mc:Choice Requires="wps">
            <w:drawing>
              <wp:anchor distT="0" distB="0" distL="114300" distR="114300" simplePos="0" relativeHeight="251659264" behindDoc="0" locked="0" layoutInCell="1" allowOverlap="1">
                <wp:simplePos x="0" y="0"/>
                <wp:positionH relativeFrom="column">
                  <wp:posOffset>-204470</wp:posOffset>
                </wp:positionH>
                <wp:positionV relativeFrom="paragraph">
                  <wp:posOffset>0</wp:posOffset>
                </wp:positionV>
                <wp:extent cx="6216015" cy="8952865"/>
                <wp:effectExtent l="5080" t="4445" r="8255" b="15240"/>
                <wp:wrapNone/>
                <wp:docPr id="1" name="Rectángulo 1"/>
                <wp:cNvGraphicFramePr/>
                <a:graphic xmlns:a="http://schemas.openxmlformats.org/drawingml/2006/main">
                  <a:graphicData uri="http://schemas.microsoft.com/office/word/2010/wordprocessingShape">
                    <wps:wsp>
                      <wps:cNvSpPr/>
                      <wps:spPr>
                        <a:xfrm>
                          <a:off x="0" y="0"/>
                          <a:ext cx="6216015" cy="8952865"/>
                        </a:xfrm>
                        <a:prstGeom prst="rect">
                          <a:avLst/>
                        </a:prstGeom>
                        <a:noFill/>
                        <a:ln w="6350" cap="flat" cmpd="sng">
                          <a:solidFill>
                            <a:srgbClr val="000000"/>
                          </a:solidFill>
                          <a:prstDash val="solid"/>
                          <a:miter/>
                          <a:headEnd type="none" w="med" len="med"/>
                          <a:tailEnd type="none" w="med" len="med"/>
                        </a:ln>
                      </wps:spPr>
                      <wps:bodyPr anchor="ctr" anchorCtr="0" upright="1"/>
                    </wps:wsp>
                  </a:graphicData>
                </a:graphic>
              </wp:anchor>
            </w:drawing>
          </mc:Choice>
          <mc:Fallback>
            <w:pict>
              <v:rect id="Rectángulo 1" o:spid="_x0000_s1026" o:spt="1" style="position:absolute;left:0pt;margin-left:-16.1pt;margin-top:0pt;height:704.95pt;width:489.45pt;z-index:251659264;v-text-anchor:middle;mso-width-relative:page;mso-height-relative:page;" filled="f" stroked="t" coordsize="21600,21600" o:gfxdata="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f2wUHXAAAACQEAAA8AAAAAAAAAAQAgAAAAIgAAAGRycy9kb3du&#10;cmV2LnhtbFBLAQIUABQAAAAIAIdO4kB7uXXTAAIAABYEAAAOAAAAAAAAAAEAIAAAACYBAABkcnMv&#10;ZTJvRG9jLnhtbFBLBQYAAAAABgAGAFkBAACYBQAAAAA=&#10;">
                <v:fill on="f" focussize="0,0"/>
                <v:stroke weight="0.5pt" color="#000000" joinstyle="miter"/>
                <v:imagedata o:title=""/>
                <o:lock v:ext="edit" aspectratio="f"/>
              </v:rect>
            </w:pict>
          </mc:Fallback>
        </mc:AlternateContent>
      </w:r>
    </w:p>
    <w:p w14:paraId="597EEB6E">
      <w:pPr>
        <w:jc w:val="center"/>
        <w:rPr>
          <w:b/>
          <w:i/>
          <w:iCs/>
          <w:sz w:val="24"/>
          <w:szCs w:val="24"/>
        </w:rPr>
      </w:pPr>
      <w:r>
        <w:rPr>
          <w:b/>
          <w:i/>
          <w:iCs/>
          <w:sz w:val="24"/>
          <w:szCs w:val="24"/>
        </w:rPr>
        <w:t>BRASIL</w:t>
      </w:r>
    </w:p>
    <w:p w14:paraId="147DF8FC">
      <w:pPr>
        <w:jc w:val="center"/>
        <w:rPr>
          <w:b/>
          <w:bCs/>
          <w:sz w:val="24"/>
          <w:szCs w:val="24"/>
        </w:rPr>
      </w:pPr>
      <w:r>
        <w:rPr>
          <w:b/>
          <w:bCs/>
          <w:sz w:val="24"/>
          <w:szCs w:val="24"/>
        </w:rPr>
        <w:t>PREFEITURA MUNICIPAL DE DOURADOS/MS</w:t>
      </w:r>
    </w:p>
    <w:p w14:paraId="6BA9D02E">
      <w:pPr>
        <w:jc w:val="center"/>
        <w:rPr>
          <w:b/>
          <w:bCs/>
          <w:sz w:val="24"/>
          <w:szCs w:val="24"/>
        </w:rPr>
      </w:pPr>
      <w:r>
        <w:rPr>
          <w:b/>
          <w:bCs/>
          <w:sz w:val="24"/>
          <w:szCs w:val="24"/>
        </w:rPr>
        <w:t>PROGRAMA DESENVOLVE DOURADOS</w:t>
      </w:r>
    </w:p>
    <w:p w14:paraId="494FED3B">
      <w:pPr>
        <w:jc w:val="center"/>
        <w:rPr>
          <w:b/>
          <w:bCs/>
          <w:sz w:val="24"/>
          <w:szCs w:val="24"/>
        </w:rPr>
      </w:pPr>
      <w:r>
        <w:rPr>
          <w:b/>
          <w:bCs/>
          <w:sz w:val="24"/>
          <w:szCs w:val="24"/>
        </w:rPr>
        <w:t xml:space="preserve">FONPLATA, BANCO DE DESENVOLVIMENTO </w:t>
      </w:r>
    </w:p>
    <w:p w14:paraId="1C8B2E70">
      <w:pPr>
        <w:jc w:val="center"/>
        <w:rPr>
          <w:b/>
          <w:bCs/>
          <w:sz w:val="24"/>
          <w:szCs w:val="24"/>
        </w:rPr>
      </w:pPr>
    </w:p>
    <w:p w14:paraId="7B83E24B">
      <w:pPr>
        <w:jc w:val="center"/>
        <w:rPr>
          <w:b/>
          <w:bCs/>
          <w:sz w:val="24"/>
          <w:szCs w:val="24"/>
        </w:rPr>
      </w:pPr>
      <w:r>
        <w:rPr>
          <w:b/>
          <w:bCs/>
          <w:sz w:val="24"/>
          <w:szCs w:val="24"/>
        </w:rPr>
        <w:t xml:space="preserve">LICITAÇÃO PÚBLICA NACIONAL (LPN) </w:t>
      </w:r>
      <w:r>
        <w:rPr>
          <w:rFonts w:hint="default"/>
          <w:b/>
          <w:bCs/>
          <w:sz w:val="24"/>
          <w:szCs w:val="24"/>
        </w:rPr>
        <w:t>PARA EXECUÇÃO DAS OBRAS DE REFORMA E AMPLIAÇÃO DO CENTRO SOCIAL RURAL DO DISTRITO INDÁPOLIS, NO MUNICÍPIO DE DOURADOS/MS</w:t>
      </w:r>
      <w:r>
        <w:rPr>
          <w:b/>
          <w:sz w:val="24"/>
        </w:rPr>
        <w:t>.</w:t>
      </w:r>
    </w:p>
    <w:p w14:paraId="702A09F9">
      <w:pPr>
        <w:jc w:val="center"/>
      </w:pPr>
    </w:p>
    <w:p w14:paraId="65732BA1">
      <w:pPr>
        <w:jc w:val="center"/>
        <w:rPr>
          <w:rFonts w:hint="default"/>
          <w:b/>
          <w:bCs/>
          <w:color w:val="auto"/>
          <w:sz w:val="24"/>
          <w:szCs w:val="24"/>
          <w:lang w:val="pt-BR"/>
        </w:rPr>
      </w:pPr>
      <w:r>
        <w:rPr>
          <w:b/>
          <w:bCs/>
          <w:sz w:val="24"/>
          <w:szCs w:val="24"/>
        </w:rPr>
        <w:t xml:space="preserve">EMPREITADA POR PREÇOS UNITÁRIOS – </w:t>
      </w:r>
      <w:r>
        <w:rPr>
          <w:b/>
          <w:bCs/>
          <w:color w:val="auto"/>
          <w:sz w:val="24"/>
          <w:szCs w:val="24"/>
        </w:rPr>
        <w:t xml:space="preserve">MENOR PREÇO POR </w:t>
      </w:r>
      <w:r>
        <w:rPr>
          <w:rFonts w:hint="default"/>
          <w:b/>
          <w:bCs/>
          <w:color w:val="auto"/>
          <w:sz w:val="24"/>
          <w:szCs w:val="24"/>
          <w:lang w:val="pt-BR"/>
        </w:rPr>
        <w:t>GLOBAL</w:t>
      </w:r>
    </w:p>
    <w:p w14:paraId="3772B014">
      <w:pPr>
        <w:jc w:val="center"/>
        <w:rPr>
          <w:rFonts w:hint="default"/>
          <w:b/>
          <w:bCs/>
          <w:sz w:val="24"/>
          <w:szCs w:val="24"/>
          <w:lang w:val="pt-BR"/>
        </w:rPr>
      </w:pPr>
      <w:r>
        <w:rPr>
          <w:rFonts w:hint="default"/>
          <w:b/>
          <w:bCs/>
          <w:sz w:val="24"/>
          <w:szCs w:val="24"/>
        </w:rPr>
        <w:t>EDITAL DE LICITAÇÃO</w:t>
      </w:r>
      <w:r>
        <w:rPr>
          <w:rFonts w:hint="default"/>
          <w:b/>
          <w:bCs/>
          <w:sz w:val="24"/>
          <w:szCs w:val="24"/>
          <w:lang w:val="pt-BR"/>
        </w:rPr>
        <w:t xml:space="preserve"> PROCESSO Nº 076/2025                  </w:t>
      </w:r>
    </w:p>
    <w:p w14:paraId="6B753FFA">
      <w:pPr>
        <w:jc w:val="center"/>
        <w:rPr>
          <w:rFonts w:hint="default"/>
          <w:b/>
          <w:bCs/>
          <w:sz w:val="24"/>
          <w:szCs w:val="24"/>
        </w:rPr>
      </w:pPr>
      <w:r>
        <w:rPr>
          <w:rFonts w:hint="default"/>
          <w:b/>
          <w:bCs/>
          <w:sz w:val="24"/>
          <w:szCs w:val="24"/>
        </w:rPr>
        <w:t>CONCORRÊNCIA N</w:t>
      </w:r>
      <w:r>
        <w:rPr>
          <w:rFonts w:hint="default"/>
          <w:b/>
          <w:bCs/>
          <w:sz w:val="24"/>
          <w:szCs w:val="24"/>
          <w:lang w:val="pt-BR"/>
        </w:rPr>
        <w:t>º</w:t>
      </w:r>
      <w:r>
        <w:rPr>
          <w:rFonts w:hint="default"/>
          <w:b/>
          <w:bCs/>
          <w:sz w:val="24"/>
          <w:szCs w:val="24"/>
        </w:rPr>
        <w:t>: 0</w:t>
      </w:r>
      <w:r>
        <w:rPr>
          <w:rFonts w:hint="default"/>
          <w:b/>
          <w:bCs/>
          <w:sz w:val="24"/>
          <w:szCs w:val="24"/>
          <w:lang w:val="pt-BR"/>
        </w:rPr>
        <w:t>14</w:t>
      </w:r>
      <w:r>
        <w:rPr>
          <w:rFonts w:hint="default"/>
          <w:b/>
          <w:bCs/>
          <w:sz w:val="24"/>
          <w:szCs w:val="24"/>
        </w:rPr>
        <w:t>/2025</w:t>
      </w:r>
    </w:p>
    <w:p w14:paraId="5AAC36D6">
      <w:pPr>
        <w:jc w:val="center"/>
        <w:rPr>
          <w:b/>
          <w:bCs/>
          <w:sz w:val="24"/>
          <w:szCs w:val="24"/>
        </w:rPr>
      </w:pPr>
      <w:r>
        <w:rPr>
          <w:rFonts w:hint="default"/>
          <w:b/>
          <w:bCs/>
          <w:sz w:val="24"/>
          <w:szCs w:val="24"/>
          <w:lang w:val="pt-BR"/>
        </w:rPr>
        <w:t xml:space="preserve"> C</w:t>
      </w:r>
      <w:r>
        <w:rPr>
          <w:rFonts w:hint="default"/>
          <w:b/>
          <w:bCs/>
          <w:sz w:val="24"/>
          <w:szCs w:val="24"/>
        </w:rPr>
        <w:t>om Inversão de Fase</w:t>
      </w:r>
    </w:p>
    <w:p w14:paraId="4EA6E2FD">
      <w:pPr>
        <w:jc w:val="center"/>
      </w:pPr>
    </w:p>
    <w:p w14:paraId="2080795E">
      <w:pPr>
        <w:jc w:val="center"/>
        <w:rPr>
          <w:b/>
          <w:bCs/>
          <w:sz w:val="24"/>
          <w:szCs w:val="24"/>
        </w:rPr>
      </w:pPr>
      <w:r>
        <w:rPr>
          <w:b/>
          <w:bCs/>
          <w:sz w:val="24"/>
          <w:szCs w:val="24"/>
        </w:rPr>
        <w:t xml:space="preserve">Contrato de empréstimo: </w:t>
      </w:r>
      <w:r>
        <w:rPr>
          <w:b/>
          <w:bCs/>
          <w:i/>
          <w:iCs/>
          <w:sz w:val="24"/>
          <w:szCs w:val="24"/>
        </w:rPr>
        <w:t>BRA 033/2022</w:t>
      </w:r>
    </w:p>
    <w:p w14:paraId="77BC504F">
      <w:pPr>
        <w:jc w:val="center"/>
      </w:pPr>
    </w:p>
    <w:p w14:paraId="08D8A52B">
      <w:pPr>
        <w:jc w:val="center"/>
      </w:pPr>
      <w:r>
        <w:rPr>
          <w:lang w:eastAsia="pt-BR"/>
        </w:rPr>
        <w:drawing>
          <wp:inline distT="0" distB="0" distL="0" distR="0">
            <wp:extent cx="2108200" cy="1511300"/>
            <wp:effectExtent l="0" t="0" r="6350" b="0"/>
            <wp:docPr id="1752701599"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01599" name="Imagen 1" descr="Logotipo, nombre de la empresa&#10;&#10;Descripción generada automáticament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2117467" cy="1518308"/>
                    </a:xfrm>
                    <a:prstGeom prst="rect">
                      <a:avLst/>
                    </a:prstGeom>
                    <a:noFill/>
                    <a:ln>
                      <a:noFill/>
                    </a:ln>
                  </pic:spPr>
                </pic:pic>
              </a:graphicData>
            </a:graphic>
          </wp:inline>
        </w:drawing>
      </w:r>
    </w:p>
    <w:p w14:paraId="64FC38FF"/>
    <w:p w14:paraId="5E6E7C3D">
      <w:pPr>
        <w:jc w:val="center"/>
        <w:rPr>
          <w:b/>
          <w:bCs/>
        </w:rPr>
      </w:pPr>
      <w:r>
        <w:rPr>
          <w:b/>
          <w:bCs/>
        </w:rPr>
        <w:t>Data de Abertura</w:t>
      </w:r>
    </w:p>
    <w:p w14:paraId="7D63E5A9">
      <w:pPr>
        <w:jc w:val="center"/>
        <w:rPr>
          <w:color w:val="FF0000"/>
          <w:highlight w:val="none"/>
        </w:rPr>
      </w:pPr>
      <w:r>
        <w:rPr>
          <w:rFonts w:hint="default"/>
          <w:b/>
          <w:bCs/>
          <w:i/>
          <w:iCs/>
          <w:color w:val="auto"/>
          <w:highlight w:val="none"/>
          <w:lang w:val="pt-BR"/>
        </w:rPr>
        <w:t>09</w:t>
      </w:r>
      <w:r>
        <w:rPr>
          <w:b/>
          <w:bCs/>
          <w:i/>
          <w:iCs/>
          <w:color w:val="auto"/>
          <w:highlight w:val="none"/>
        </w:rPr>
        <w:t xml:space="preserve"> de </w:t>
      </w:r>
      <w:r>
        <w:rPr>
          <w:rFonts w:hint="default"/>
          <w:b/>
          <w:bCs/>
          <w:i/>
          <w:iCs/>
          <w:color w:val="auto"/>
          <w:highlight w:val="none"/>
          <w:lang w:val="pt-BR"/>
        </w:rPr>
        <w:t>dezembro</w:t>
      </w:r>
      <w:r>
        <w:rPr>
          <w:b/>
          <w:bCs/>
          <w:i/>
          <w:iCs/>
          <w:color w:val="auto"/>
          <w:highlight w:val="none"/>
        </w:rPr>
        <w:t xml:space="preserve"> de 202</w:t>
      </w:r>
      <w:r>
        <w:rPr>
          <w:rFonts w:hint="default"/>
          <w:b/>
          <w:bCs/>
          <w:i/>
          <w:iCs/>
          <w:color w:val="auto"/>
          <w:highlight w:val="none"/>
          <w:lang w:val="pt-BR"/>
        </w:rPr>
        <w:t>5</w:t>
      </w:r>
      <w:r>
        <w:rPr>
          <w:b/>
          <w:bCs/>
          <w:i/>
          <w:iCs/>
          <w:color w:val="auto"/>
          <w:highlight w:val="none"/>
        </w:rPr>
        <w:t xml:space="preserve"> às 09:</w:t>
      </w:r>
      <w:r>
        <w:rPr>
          <w:rFonts w:hint="default"/>
          <w:b/>
          <w:bCs/>
          <w:i/>
          <w:iCs/>
          <w:color w:val="auto"/>
          <w:highlight w:val="none"/>
          <w:lang w:val="pt-BR"/>
        </w:rPr>
        <w:t>00</w:t>
      </w:r>
      <w:r>
        <w:rPr>
          <w:b/>
          <w:bCs/>
          <w:i/>
          <w:iCs/>
          <w:color w:val="auto"/>
          <w:highlight w:val="none"/>
        </w:rPr>
        <w:t xml:space="preserve"> horas</w:t>
      </w:r>
    </w:p>
    <w:p w14:paraId="3BE1D375">
      <w:pPr>
        <w:rPr>
          <w:color w:val="FF0000"/>
          <w:highlight w:val="none"/>
        </w:rPr>
        <w:sectPr>
          <w:headerReference r:id="rId5" w:type="default"/>
          <w:pgSz w:w="11906" w:h="16838"/>
          <w:pgMar w:top="1705" w:right="1440" w:bottom="1440" w:left="1440" w:header="708" w:footer="708" w:gutter="0"/>
          <w:pgBorders>
            <w:top w:val="none" w:sz="0" w:space="0"/>
            <w:left w:val="none" w:sz="0" w:space="0"/>
            <w:bottom w:val="none" w:sz="0" w:space="0"/>
            <w:right w:val="none" w:sz="0" w:space="0"/>
          </w:pgBorders>
          <w:cols w:space="708" w:num="1"/>
          <w:docGrid w:linePitch="360" w:charSpace="0"/>
        </w:sectPr>
      </w:pPr>
    </w:p>
    <w:p w14:paraId="0ABA99E9">
      <w:pPr>
        <w:jc w:val="center"/>
        <w:rPr>
          <w:b/>
        </w:rPr>
      </w:pPr>
      <w:r>
        <w:rPr>
          <w:b/>
        </w:rPr>
        <w:t>CONTEÚDO</w:t>
      </w:r>
    </w:p>
    <w:p w14:paraId="56EBF345">
      <w:pPr>
        <w:rPr>
          <w:b/>
          <w:bCs/>
        </w:rPr>
      </w:pPr>
      <w:r>
        <w:rPr>
          <w:b/>
          <w:bCs/>
        </w:rPr>
        <w:t>PARTE 1 – PROCEDIMENTOS DE LICITAÇÃO</w:t>
      </w:r>
    </w:p>
    <w:p w14:paraId="1D47F515">
      <w:pPr>
        <w:rPr>
          <w:b/>
        </w:rPr>
      </w:pPr>
      <w:r>
        <w:rPr>
          <w:b/>
          <w:bCs/>
        </w:rPr>
        <w:t>Seção 1 - Instruções aos Concorrentes (IAC)</w:t>
      </w:r>
    </w:p>
    <w:p w14:paraId="3964D905">
      <w:pPr>
        <w:jc w:val="both"/>
        <w:rPr>
          <w:i/>
        </w:rPr>
      </w:pPr>
      <w:r>
        <w:rPr>
          <w:bCs/>
          <w:iCs/>
        </w:rPr>
        <w:t>Esta Seção fornece informação relevante para auxiliar os Concorrentes a preparar suas propostas. Contém também informação sobre a apresentação, abertura e avaliação das propostas e adjudicação/homologação de Contratos. Estas Instruções aos Concorrentes (IAC) não devem fazer parte do contrato e deixam de ser válidas após a assinatura do contrato.</w:t>
      </w:r>
    </w:p>
    <w:p w14:paraId="6B1F12D0">
      <w:pPr>
        <w:rPr>
          <w:b/>
        </w:rPr>
      </w:pPr>
      <w:r>
        <w:rPr>
          <w:b/>
          <w:bCs/>
        </w:rPr>
        <w:t>Seção 2 - Dados da Licitação (DDL)</w:t>
      </w:r>
    </w:p>
    <w:p w14:paraId="1E9E5706">
      <w:pPr>
        <w:jc w:val="both"/>
        <w:rPr>
          <w:i/>
        </w:rPr>
      </w:pPr>
      <w:r>
        <w:rPr>
          <w:bCs/>
          <w:iCs/>
        </w:rPr>
        <w:t>Esta Seção consiste de disposições específicas de cada aquisição e suplementam a informação ou requisitos incluídos na Seção 1, Instruções aos Concorrentes (IAC).</w:t>
      </w:r>
      <w:bookmarkStart w:id="0" w:name="_Hlk514418824"/>
    </w:p>
    <w:p w14:paraId="1AA9B8CF">
      <w:pPr>
        <w:rPr>
          <w:b/>
        </w:rPr>
      </w:pPr>
      <w:r>
        <w:rPr>
          <w:b/>
          <w:bCs/>
        </w:rPr>
        <w:t>Seção 3 – Requisitos de Elegibilidade e Qualificação</w:t>
      </w:r>
    </w:p>
    <w:p w14:paraId="48003A1D">
      <w:pPr>
        <w:jc w:val="both"/>
        <w:rPr>
          <w:i/>
        </w:rPr>
      </w:pPr>
      <w:r>
        <w:rPr>
          <w:bCs/>
          <w:iCs/>
        </w:rPr>
        <w:t xml:space="preserve">Esta Seção estabelece os critérios de elegibilidade e qualificação dos </w:t>
      </w:r>
      <w:r>
        <w:t>Concorrentes</w:t>
      </w:r>
      <w:r>
        <w:rPr>
          <w:bCs/>
          <w:iCs/>
        </w:rPr>
        <w:t>.</w:t>
      </w:r>
      <w:bookmarkEnd w:id="0"/>
    </w:p>
    <w:p w14:paraId="7D217493">
      <w:pPr>
        <w:rPr>
          <w:b/>
        </w:rPr>
      </w:pPr>
      <w:r>
        <w:rPr>
          <w:b/>
          <w:bCs/>
        </w:rPr>
        <w:t>Seção 4 - Formulários da Proposta</w:t>
      </w:r>
    </w:p>
    <w:p w14:paraId="59182127">
      <w:pPr>
        <w:jc w:val="both"/>
        <w:rPr>
          <w:i/>
        </w:rPr>
      </w:pPr>
      <w:r>
        <w:rPr>
          <w:bCs/>
          <w:iCs/>
        </w:rPr>
        <w:t>Esta Seção contém os formulários a serem preenchidos pelo Concorrente e apresentados como parte da Proposta.</w:t>
      </w:r>
    </w:p>
    <w:p w14:paraId="3A4B18D1">
      <w:pPr>
        <w:rPr>
          <w:b/>
        </w:rPr>
      </w:pPr>
      <w:r>
        <w:rPr>
          <w:b/>
          <w:bCs/>
        </w:rPr>
        <w:t>Seção 5 - Países Elegíveis</w:t>
      </w:r>
    </w:p>
    <w:p w14:paraId="677E878D">
      <w:pPr>
        <w:jc w:val="both"/>
        <w:rPr>
          <w:i/>
        </w:rPr>
      </w:pPr>
      <w:r>
        <w:rPr>
          <w:bCs/>
          <w:iCs/>
        </w:rPr>
        <w:t>Esta Seção contém informação sobre os países elegíveis.</w:t>
      </w:r>
      <w:bookmarkStart w:id="1" w:name="_Toc438366662"/>
      <w:bookmarkStart w:id="2" w:name="_Toc438270255"/>
      <w:bookmarkStart w:id="3" w:name="_Toc438267875"/>
    </w:p>
    <w:p w14:paraId="09CEF156">
      <w:pPr>
        <w:rPr>
          <w:b/>
          <w:bCs/>
        </w:rPr>
      </w:pPr>
      <w:r>
        <w:rPr>
          <w:b/>
          <w:bCs/>
        </w:rPr>
        <w:t>PARTE 2 – REQUISITOS DAS OBRAS</w:t>
      </w:r>
      <w:bookmarkEnd w:id="1"/>
      <w:bookmarkEnd w:id="2"/>
      <w:bookmarkEnd w:id="3"/>
    </w:p>
    <w:p w14:paraId="2928D5F7">
      <w:pPr>
        <w:rPr>
          <w:b/>
          <w:bCs/>
        </w:rPr>
      </w:pPr>
      <w:r>
        <w:rPr>
          <w:b/>
          <w:bCs/>
        </w:rPr>
        <w:t>Seção 6–Requisitos das Obras</w:t>
      </w:r>
    </w:p>
    <w:p w14:paraId="6CC645CD">
      <w:pPr>
        <w:jc w:val="both"/>
      </w:pPr>
      <w:r>
        <w:t>Esta Seção contém:</w:t>
      </w:r>
    </w:p>
    <w:p w14:paraId="76145EA8">
      <w:pPr>
        <w:jc w:val="both"/>
        <w:rPr>
          <w:bCs/>
        </w:rPr>
      </w:pPr>
      <w:r>
        <w:rPr>
          <w:bCs/>
        </w:rPr>
        <w:t>(a) as Especificações Técnicas;</w:t>
      </w:r>
    </w:p>
    <w:p w14:paraId="32B7FA7A">
      <w:pPr>
        <w:jc w:val="both"/>
        <w:rPr>
          <w:bCs/>
        </w:rPr>
      </w:pPr>
      <w:r>
        <w:rPr>
          <w:bCs/>
        </w:rPr>
        <w:t>(b) a relação das Plantas e Desenhos;</w:t>
      </w:r>
    </w:p>
    <w:p w14:paraId="3FD553F5">
      <w:pPr>
        <w:jc w:val="both"/>
        <w:rPr>
          <w:bCs/>
        </w:rPr>
      </w:pPr>
      <w:r>
        <w:rPr>
          <w:bCs/>
        </w:rPr>
        <w:t>(c) a situação das Licenças Ambientais; e</w:t>
      </w:r>
    </w:p>
    <w:p w14:paraId="343513A1">
      <w:pPr>
        <w:jc w:val="both"/>
        <w:rPr>
          <w:bCs/>
        </w:rPr>
      </w:pPr>
      <w:r>
        <w:rPr>
          <w:bCs/>
        </w:rPr>
        <w:t>(d) a Informação Suplementar</w:t>
      </w:r>
      <w:r>
        <w:t>, que descrevem as Obras a serem contratadas.</w:t>
      </w:r>
    </w:p>
    <w:p w14:paraId="6D893FEC">
      <w:pPr>
        <w:rPr>
          <w:b/>
          <w:bCs/>
        </w:rPr>
      </w:pPr>
      <w:r>
        <w:rPr>
          <w:b/>
          <w:bCs/>
        </w:rPr>
        <w:t>PARTE 3 –CONTRATO</w:t>
      </w:r>
    </w:p>
    <w:p w14:paraId="160BEC17">
      <w:pPr>
        <w:rPr>
          <w:b/>
        </w:rPr>
      </w:pPr>
      <w:r>
        <w:rPr>
          <w:b/>
          <w:bCs/>
        </w:rPr>
        <w:t>Seção 7 - Condições Gerais do Contrato (CGC)</w:t>
      </w:r>
    </w:p>
    <w:p w14:paraId="5FE7F810">
      <w:pPr>
        <w:rPr>
          <w:i/>
        </w:rPr>
      </w:pPr>
      <w:r>
        <w:rPr>
          <w:bCs/>
          <w:iCs/>
        </w:rPr>
        <w:t>Esta Seção contém as cláusulas gerais a serem aplicadas em todos os contratos.</w:t>
      </w:r>
    </w:p>
    <w:p w14:paraId="51385B84">
      <w:pPr>
        <w:rPr>
          <w:b/>
        </w:rPr>
      </w:pPr>
      <w:r>
        <w:rPr>
          <w:b/>
          <w:bCs/>
        </w:rPr>
        <w:t>Seção 8–Dados do Contrato (DDC)</w:t>
      </w:r>
    </w:p>
    <w:p w14:paraId="444B7E51">
      <w:pPr>
        <w:jc w:val="both"/>
      </w:pPr>
      <w:r>
        <w:rPr>
          <w:bCs/>
          <w:iCs/>
        </w:rPr>
        <w:t>Esta Seção inclui cláusulas específicas a cada contrato que modificam ou complementam a Seção 7, Condições Gerais do Contrato (CGC).</w:t>
      </w:r>
    </w:p>
    <w:p w14:paraId="716CDAD4">
      <w:pPr>
        <w:rPr>
          <w:b/>
        </w:rPr>
      </w:pPr>
      <w:r>
        <w:rPr>
          <w:b/>
          <w:bCs/>
        </w:rPr>
        <w:t>Seção 9 - Formulários do Contrato</w:t>
      </w:r>
    </w:p>
    <w:p w14:paraId="01F55B18">
      <w:pPr>
        <w:jc w:val="both"/>
        <w:rPr>
          <w:bCs/>
          <w:iCs/>
        </w:rPr>
      </w:pPr>
      <w:r>
        <w:rPr>
          <w:bCs/>
          <w:iCs/>
        </w:rPr>
        <w:t>Esta seção inclui os formulários do Contrato, o qual, uma vez celebrado, deverá incluir as correções ou modificações da proposta selecionada que são permitidas nos termos das Instruções aos Concorrentes, Condições Gerais do Contrato e Dados do Contrato.</w:t>
      </w:r>
    </w:p>
    <w:p w14:paraId="29F7E547">
      <w:pPr>
        <w:rPr>
          <w:bCs/>
          <w:iCs/>
        </w:rPr>
      </w:pPr>
      <w:r>
        <w:rPr>
          <w:bCs/>
          <w:iCs/>
        </w:rPr>
        <w:t>Inclui:</w:t>
      </w:r>
    </w:p>
    <w:p w14:paraId="40E07E18">
      <w:pPr>
        <w:rPr>
          <w:bCs/>
          <w:i/>
        </w:rPr>
      </w:pPr>
      <w:r>
        <w:rPr>
          <w:bCs/>
        </w:rPr>
        <w:t>(a) A Carta de Aceitação pelo Contratante da proposta do Concorrente selecionado;</w:t>
      </w:r>
    </w:p>
    <w:p w14:paraId="3D08F14D">
      <w:pPr>
        <w:rPr>
          <w:bCs/>
          <w:i/>
        </w:rPr>
      </w:pPr>
      <w:r>
        <w:rPr>
          <w:bCs/>
        </w:rPr>
        <w:t xml:space="preserve">(b) O Termo do Contrato, a ser assinado; </w:t>
      </w:r>
    </w:p>
    <w:p w14:paraId="0D777A74">
      <w:pPr>
        <w:rPr>
          <w:b/>
          <w:bCs/>
        </w:rPr>
      </w:pPr>
      <w:r>
        <w:rPr>
          <w:b/>
          <w:bCs/>
        </w:rPr>
        <w:t>PARTE 4 – ORÇAMENTO</w:t>
      </w:r>
    </w:p>
    <w:p w14:paraId="2A610B82">
      <w:pPr>
        <w:rPr>
          <w:b/>
        </w:rPr>
      </w:pPr>
      <w:r>
        <w:rPr>
          <w:b/>
          <w:bCs/>
        </w:rPr>
        <w:t>Seção 10– Orçamento Base</w:t>
      </w:r>
    </w:p>
    <w:p w14:paraId="7CC5D204">
      <w:pPr>
        <w:rPr>
          <w:i/>
        </w:rPr>
      </w:pPr>
      <w:r>
        <w:rPr>
          <w:bCs/>
          <w:iCs/>
        </w:rPr>
        <w:t>Apresenta o orçamento referencial para a licitação.</w:t>
      </w:r>
    </w:p>
    <w:p w14:paraId="31EDEF7E">
      <w:pPr>
        <w:rPr>
          <w:b/>
          <w:bCs/>
        </w:rPr>
      </w:pPr>
      <w:r>
        <w:rPr>
          <w:b/>
          <w:bCs/>
        </w:rPr>
        <w:t xml:space="preserve">PARTE 5 – ANEXOS </w:t>
      </w:r>
    </w:p>
    <w:p w14:paraId="0C52183C">
      <w:pPr>
        <w:rPr>
          <w:b/>
        </w:rPr>
      </w:pPr>
      <w:r>
        <w:rPr>
          <w:b/>
          <w:bCs/>
        </w:rPr>
        <w:t>Seção 11 - Anexos</w:t>
      </w:r>
    </w:p>
    <w:p w14:paraId="59B417AF">
      <w:pPr>
        <w:rPr>
          <w:bCs/>
          <w:iCs/>
        </w:rPr>
      </w:pPr>
      <w:r>
        <w:rPr>
          <w:bCs/>
          <w:iCs/>
        </w:rPr>
        <w:t>Apresenta documentação relacionada com o Edital.</w:t>
      </w:r>
    </w:p>
    <w:p w14:paraId="10A82391">
      <w:pPr>
        <w:sectPr>
          <w:headerReference r:id="rId6" w:type="default"/>
          <w:footerReference r:id="rId7" w:type="default"/>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pPr>
    </w:p>
    <w:p w14:paraId="7FEE7728">
      <w:pPr>
        <w:jc w:val="center"/>
        <w:rPr>
          <w:b/>
          <w:bCs/>
        </w:rPr>
      </w:pPr>
      <w:r>
        <w:rPr>
          <w:b/>
          <w:bCs/>
        </w:rPr>
        <w:t>SUMÁRIO</w:t>
      </w:r>
    </w:p>
    <w:p w14:paraId="69B8F2F1">
      <w:pPr>
        <w:pStyle w:val="34"/>
        <w:tabs>
          <w:tab w:val="right" w:leader="dot" w:pos="9016"/>
        </w:tabs>
        <w:rPr>
          <w:rFonts w:asciiTheme="minorHAnsi" w:hAnsiTheme="minorHAnsi" w:eastAsiaTheme="minorEastAsia"/>
          <w:sz w:val="24"/>
          <w:szCs w:val="24"/>
          <w:lang w:val="es-BO" w:eastAsia="es-BO"/>
        </w:rPr>
      </w:pPr>
      <w:r>
        <w:rPr>
          <w:b/>
          <w:bCs/>
        </w:rPr>
        <w:fldChar w:fldCharType="begin"/>
      </w:r>
      <w:r>
        <w:rPr>
          <w:b/>
          <w:bCs/>
        </w:rPr>
        <w:instrText xml:space="preserve"> TOC \h \z \t "GRANTITULO11;1" </w:instrText>
      </w:r>
      <w:r>
        <w:rPr>
          <w:b/>
          <w:bCs/>
        </w:rPr>
        <w:fldChar w:fldCharType="separate"/>
      </w:r>
      <w:r>
        <w:fldChar w:fldCharType="begin"/>
      </w:r>
      <w:r>
        <w:instrText xml:space="preserve"> HYPERLINK \l "_Toc174536835" </w:instrText>
      </w:r>
      <w:r>
        <w:fldChar w:fldCharType="separate"/>
      </w:r>
      <w:r>
        <w:rPr>
          <w:rStyle w:val="16"/>
        </w:rPr>
        <w:t>PARTE 1 – PROCEDIMENTOS DE LICITAÇÃO</w:t>
      </w:r>
      <w:r>
        <w:tab/>
      </w:r>
      <w:r>
        <w:fldChar w:fldCharType="begin"/>
      </w:r>
      <w:r>
        <w:instrText xml:space="preserve"> PAGEREF _Toc174536835 \h </w:instrText>
      </w:r>
      <w:r>
        <w:fldChar w:fldCharType="separate"/>
      </w:r>
      <w:r>
        <w:t>1</w:t>
      </w:r>
      <w:r>
        <w:fldChar w:fldCharType="end"/>
      </w:r>
      <w:r>
        <w:fldChar w:fldCharType="end"/>
      </w:r>
    </w:p>
    <w:p w14:paraId="398021D9">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"_Toc174536836" </w:instrText>
      </w:r>
      <w:r>
        <w:fldChar w:fldCharType="separate"/>
      </w:r>
      <w:r>
        <w:rPr>
          <w:rStyle w:val="16"/>
        </w:rPr>
        <w:t>SEÇÃO 1 - INSTRUÇÕES AOS CONCORRENTES (IAC)</w:t>
      </w:r>
      <w:r>
        <w:tab/>
      </w:r>
      <w:r>
        <w:fldChar w:fldCharType="begin"/>
      </w:r>
      <w:r>
        <w:instrText xml:space="preserve"> PAGEREF _Toc174536836 \h </w:instrText>
      </w:r>
      <w:r>
        <w:fldChar w:fldCharType="separate"/>
      </w:r>
      <w:r>
        <w:t>3</w:t>
      </w:r>
      <w:r>
        <w:fldChar w:fldCharType="end"/>
      </w:r>
      <w:r>
        <w:fldChar w:fldCharType="end"/>
      </w:r>
    </w:p>
    <w:p w14:paraId="48498BF0">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"_Toc174536837" </w:instrText>
      </w:r>
      <w:r>
        <w:fldChar w:fldCharType="separate"/>
      </w:r>
      <w:r>
        <w:rPr>
          <w:rStyle w:val="16"/>
        </w:rPr>
        <w:t>SEÇÃO 2 – DADOS DA LICITAÇÃO (DDL)</w:t>
      </w:r>
      <w:r>
        <w:tab/>
      </w:r>
      <w:r>
        <w:fldChar w:fldCharType="begin"/>
      </w:r>
      <w:r>
        <w:instrText xml:space="preserve"> PAGEREF _Toc174536837 \h </w:instrText>
      </w:r>
      <w:r>
        <w:fldChar w:fldCharType="separate"/>
      </w:r>
      <w:r>
        <w:t>35</w:t>
      </w:r>
      <w:r>
        <w:fldChar w:fldCharType="end"/>
      </w:r>
      <w:r>
        <w:fldChar w:fldCharType="end"/>
      </w:r>
    </w:p>
    <w:p w14:paraId="2AAB7832">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"_Toc174536838" </w:instrText>
      </w:r>
      <w:r>
        <w:fldChar w:fldCharType="separate"/>
      </w:r>
      <w:r>
        <w:rPr>
          <w:rStyle w:val="16"/>
        </w:rPr>
        <w:t>SEÇÃO 3 - REQUISITOS DE ELEGIBILIDADE E QUALIFICAÇÃO</w:t>
      </w:r>
      <w:r>
        <w:tab/>
      </w:r>
      <w:r>
        <w:rPr>
          <w:rFonts w:hint="default"/>
          <w:lang w:val="pt-BR"/>
        </w:rPr>
        <w:t>3</w:t>
      </w:r>
      <w:r>
        <w:fldChar w:fldCharType="end"/>
      </w:r>
      <w:r>
        <w:rPr>
          <w:rFonts w:hint="default"/>
          <w:lang w:val="pt-BR"/>
        </w:rPr>
        <w:t>4</w:t>
      </w:r>
    </w:p>
    <w:p w14:paraId="7B42AE6F">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"_Toc174536839" </w:instrText>
      </w:r>
      <w:r>
        <w:fldChar w:fldCharType="separate"/>
      </w:r>
      <w:r>
        <w:rPr>
          <w:rStyle w:val="16"/>
        </w:rPr>
        <w:t>SEÇÃO 4 - FORMULÁRIOS DA PROPOSTA</w:t>
      </w:r>
      <w:r>
        <w:tab/>
      </w:r>
      <w:r>
        <w:fldChar w:fldCharType="begin"/>
      </w:r>
      <w:r>
        <w:instrText xml:space="preserve"> PAGEREF _Toc174536839 \h </w:instrText>
      </w:r>
      <w:r>
        <w:fldChar w:fldCharType="separate"/>
      </w:r>
      <w:r>
        <w:t>6</w:t>
      </w:r>
      <w:r>
        <w:fldChar w:fldCharType="end"/>
      </w:r>
      <w:r>
        <w:fldChar w:fldCharType="end"/>
      </w:r>
      <w:r>
        <w:rPr>
          <w:rFonts w:hint="default"/>
          <w:lang w:val="pt-BR"/>
        </w:rPr>
        <w:t>5</w:t>
      </w:r>
    </w:p>
    <w:p w14:paraId="19CBC38D">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"_Toc174536840" </w:instrText>
      </w:r>
      <w:r>
        <w:fldChar w:fldCharType="separate"/>
      </w:r>
      <w:r>
        <w:rPr>
          <w:rStyle w:val="16"/>
        </w:rPr>
        <w:t>SEÇÃO 5 – PAÍSES ELEGÍVEIS</w:t>
      </w:r>
      <w:r>
        <w:tab/>
      </w:r>
      <w:r>
        <w:rPr>
          <w:rFonts w:hint="default"/>
          <w:lang w:val="pt-BR"/>
        </w:rPr>
        <w:t>7</w:t>
      </w:r>
      <w:r>
        <w:fldChar w:fldCharType="end"/>
      </w:r>
      <w:r>
        <w:rPr>
          <w:rFonts w:hint="default"/>
          <w:lang w:val="pt-BR"/>
        </w:rPr>
        <w:t>9</w:t>
      </w:r>
    </w:p>
    <w:p w14:paraId="6B2C867F">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"_Toc174536841" </w:instrText>
      </w:r>
      <w:r>
        <w:fldChar w:fldCharType="separate"/>
      </w:r>
      <w:r>
        <w:rPr>
          <w:rStyle w:val="16"/>
        </w:rPr>
        <w:t>PARTE 2 – REQUISITOS DAS OBRAS</w:t>
      </w:r>
      <w:r>
        <w:tab/>
      </w:r>
      <w:r>
        <w:fldChar w:fldCharType="begin"/>
      </w:r>
      <w:r>
        <w:instrText xml:space="preserve"> PAGEREF _Toc174536841 \h </w:instrText>
      </w:r>
      <w:r>
        <w:fldChar w:fldCharType="separate"/>
      </w:r>
      <w:r>
        <w:t>85</w:t>
      </w:r>
      <w:r>
        <w:fldChar w:fldCharType="end"/>
      </w:r>
      <w:r>
        <w:fldChar w:fldCharType="end"/>
      </w:r>
    </w:p>
    <w:p w14:paraId="0635E268">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"_Toc174536842" </w:instrText>
      </w:r>
      <w:r>
        <w:fldChar w:fldCharType="separate"/>
      </w:r>
      <w:r>
        <w:rPr>
          <w:rStyle w:val="16"/>
        </w:rPr>
        <w:t>SEÇÃO 6 – REQUISITOS DAS OBRAS</w:t>
      </w:r>
      <w:r>
        <w:tab/>
      </w:r>
      <w:r>
        <w:fldChar w:fldCharType="begin"/>
      </w:r>
      <w:r>
        <w:instrText xml:space="preserve"> PAGEREF _Toc174536842 \h </w:instrText>
      </w:r>
      <w:r>
        <w:fldChar w:fldCharType="separate"/>
      </w:r>
      <w:r>
        <w:t>86</w:t>
      </w:r>
      <w:r>
        <w:fldChar w:fldCharType="end"/>
      </w:r>
      <w:r>
        <w:fldChar w:fldCharType="end"/>
      </w:r>
    </w:p>
    <w:p w14:paraId="1119D3F3">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"_Toc174536843" </w:instrText>
      </w:r>
      <w:r>
        <w:fldChar w:fldCharType="separate"/>
      </w:r>
      <w:r>
        <w:rPr>
          <w:rStyle w:val="16"/>
        </w:rPr>
        <w:t>PARTE 3 - CONTRATO</w:t>
      </w:r>
      <w:r>
        <w:tab/>
      </w:r>
      <w:r>
        <w:fldChar w:fldCharType="begin"/>
      </w:r>
      <w:r>
        <w:instrText xml:space="preserve"> PAGEREF _Toc174536843 \h </w:instrText>
      </w:r>
      <w:r>
        <w:fldChar w:fldCharType="separate"/>
      </w:r>
      <w:r>
        <w:t>88</w:t>
      </w:r>
      <w:r>
        <w:fldChar w:fldCharType="end"/>
      </w:r>
      <w:r>
        <w:fldChar w:fldCharType="end"/>
      </w:r>
      <w:r>
        <w:rPr>
          <w:rFonts w:hint="default"/>
          <w:lang w:val="pt-BR"/>
        </w:rPr>
        <w:t>3</w:t>
      </w:r>
    </w:p>
    <w:p w14:paraId="651717A0">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"_Toc174536844" </w:instrText>
      </w:r>
      <w:r>
        <w:fldChar w:fldCharType="separate"/>
      </w:r>
      <w:r>
        <w:rPr>
          <w:rStyle w:val="16"/>
        </w:rPr>
        <w:t>SEÇÃO 7 - CONDIÇÕES GERAIS DO CONTRATO (CGC)</w:t>
      </w:r>
      <w:r>
        <w:tab/>
      </w:r>
      <w:r>
        <w:rPr>
          <w:rFonts w:hint="default"/>
          <w:lang w:val="pt-BR"/>
        </w:rPr>
        <w:t>8</w:t>
      </w:r>
      <w:r>
        <w:fldChar w:fldCharType="end"/>
      </w:r>
      <w:r>
        <w:rPr>
          <w:rFonts w:hint="default"/>
          <w:lang w:val="pt-BR"/>
        </w:rPr>
        <w:t>4</w:t>
      </w:r>
    </w:p>
    <w:p w14:paraId="3FD2178E">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"_Toc174536845" </w:instrText>
      </w:r>
      <w:r>
        <w:fldChar w:fldCharType="separate"/>
      </w:r>
      <w:r>
        <w:rPr>
          <w:rStyle w:val="16"/>
        </w:rPr>
        <w:t>SEÇÃO 8 – DADOS DO CONTRATO (DDC)</w:t>
      </w:r>
      <w:r>
        <w:tab/>
      </w:r>
      <w:r>
        <w:fldChar w:fldCharType="end"/>
      </w:r>
      <w:r>
        <w:rPr>
          <w:rFonts w:hint="default"/>
          <w:lang w:val="pt-BR"/>
        </w:rPr>
        <w:t>114</w:t>
      </w:r>
    </w:p>
    <w:p w14:paraId="45951AFF">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"_Toc174536846" </w:instrText>
      </w:r>
      <w:r>
        <w:fldChar w:fldCharType="separate"/>
      </w:r>
      <w:r>
        <w:rPr>
          <w:rStyle w:val="16"/>
        </w:rPr>
        <w:t>SEÇÃO 9 - FORMULÁRIOS DO CONTRATO</w:t>
      </w:r>
      <w:r>
        <w:tab/>
      </w:r>
      <w:r>
        <w:fldChar w:fldCharType="end"/>
      </w:r>
      <w:r>
        <w:t>138</w:t>
      </w:r>
    </w:p>
    <w:p w14:paraId="74D9512A">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"_Toc174536847" </w:instrText>
      </w:r>
      <w:r>
        <w:fldChar w:fldCharType="separate"/>
      </w:r>
      <w:r>
        <w:rPr>
          <w:rStyle w:val="16"/>
        </w:rPr>
        <w:t>PARTE 4 – ORÇAMENTO</w:t>
      </w:r>
      <w:r>
        <w:tab/>
      </w:r>
      <w:r>
        <w:t>142</w:t>
      </w:r>
      <w:r>
        <w:fldChar w:fldCharType="end"/>
      </w:r>
    </w:p>
    <w:p w14:paraId="1A456F5D">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"_Toc174536848" </w:instrText>
      </w:r>
      <w:r>
        <w:fldChar w:fldCharType="separate"/>
      </w:r>
      <w:r>
        <w:rPr>
          <w:rStyle w:val="16"/>
        </w:rPr>
        <w:t>SEÇÃO 10 – ORÇAMENTO BASE</w:t>
      </w:r>
      <w:r>
        <w:tab/>
      </w:r>
      <w:r>
        <w:t>143</w:t>
      </w:r>
      <w:r>
        <w:fldChar w:fldCharType="end"/>
      </w:r>
    </w:p>
    <w:p w14:paraId="485F5B9D">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"_Toc174536849" </w:instrText>
      </w:r>
      <w:r>
        <w:fldChar w:fldCharType="separate"/>
      </w:r>
      <w:r>
        <w:rPr>
          <w:rStyle w:val="16"/>
        </w:rPr>
        <w:t>PARTE 5 – ANEXOS</w:t>
      </w:r>
      <w:r>
        <w:tab/>
      </w:r>
      <w:r>
        <w:t>144</w:t>
      </w:r>
      <w:r>
        <w:fldChar w:fldCharType="end"/>
      </w:r>
    </w:p>
    <w:p w14:paraId="52F4B508">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"_Toc174536850" </w:instrText>
      </w:r>
      <w:r>
        <w:fldChar w:fldCharType="separate"/>
      </w:r>
      <w:r>
        <w:rPr>
          <w:rStyle w:val="16"/>
        </w:rPr>
        <w:t>SEÇÃO 11 – ANEXOS</w:t>
      </w:r>
      <w:r>
        <w:tab/>
      </w:r>
      <w:r>
        <w:t>145</w:t>
      </w:r>
      <w:r>
        <w:fldChar w:fldCharType="end"/>
      </w:r>
    </w:p>
    <w:p w14:paraId="64A0F398">
      <w:r>
        <w:rPr>
          <w:b/>
          <w:bCs/>
        </w:rPr>
        <w:fldChar w:fldCharType="end"/>
      </w:r>
    </w:p>
    <w:p w14:paraId="1B2CCF51">
      <w:pPr>
        <w:sectPr>
          <w:headerReference r:id="rId8" w:type="default"/>
          <w:footerReference r:id="rId9" w:type="default"/>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pPr>
    </w:p>
    <w:p w14:paraId="5C0B0BCE">
      <w:pPr>
        <w:pStyle w:val="87"/>
      </w:pPr>
      <w:bookmarkStart w:id="4" w:name="_Toc174536835"/>
      <w:r>
        <w:t>PARTE 1 – PROCEDIMENTOS DE LICITAÇÃO</w:t>
      </w:r>
      <w:bookmarkEnd w:id="4"/>
    </w:p>
    <w:p w14:paraId="5C101848">
      <w:pPr>
        <w:rPr>
          <w:b/>
          <w:bCs/>
          <w:color w:val="auto"/>
        </w:rPr>
      </w:pPr>
    </w:p>
    <w:p w14:paraId="541AC14C">
      <w:pPr>
        <w:numPr>
          <w:ilvl w:val="0"/>
          <w:numId w:val="1"/>
        </w:numPr>
        <w:spacing w:after="0" w:line="240" w:lineRule="auto"/>
        <w:ind w:left="425" w:leftChars="0" w:hanging="425" w:firstLineChars="0"/>
        <w:jc w:val="both"/>
        <w:rPr>
          <w:rFonts w:hint="default" w:ascii="Times New Roman" w:hAnsi="Times New Roman"/>
          <w:bCs/>
          <w:iCs/>
          <w:color w:val="auto"/>
          <w:lang w:val="pt-BR"/>
        </w:rPr>
      </w:pPr>
      <w:r>
        <w:rPr>
          <w:rFonts w:hint="default"/>
          <w:b/>
          <w:bCs/>
          <w:color w:val="auto"/>
          <w:lang w:val="pt-BR"/>
        </w:rPr>
        <w:t>DA INVERSÃO DE FASES</w:t>
      </w:r>
    </w:p>
    <w:p w14:paraId="52FF41AD">
      <w:pPr>
        <w:ind w:left="660" w:leftChars="0" w:hanging="660" w:hangingChars="300"/>
        <w:jc w:val="both"/>
        <w:rPr>
          <w:rFonts w:hint="default" w:ascii="Times New Roman" w:hAnsi="Times New Roman"/>
          <w:bCs/>
          <w:iCs/>
          <w:color w:val="auto"/>
          <w:lang w:val="pt-BR"/>
        </w:rPr>
      </w:pPr>
      <w:r>
        <w:rPr>
          <w:rFonts w:hint="default" w:ascii="Times New Roman" w:hAnsi="Times New Roman"/>
          <w:bCs/>
          <w:iCs/>
          <w:color w:val="auto"/>
          <w:lang w:val="pt-BR"/>
        </w:rPr>
        <w:t>1.1.1</w:t>
      </w:r>
      <w:r>
        <w:rPr>
          <w:rFonts w:hint="default" w:ascii="Times New Roman" w:hAnsi="Times New Roman"/>
          <w:bCs/>
          <w:iCs/>
          <w:color w:val="auto"/>
          <w:lang w:val="pt-BR"/>
        </w:rPr>
        <w:tab/>
      </w:r>
      <w:r>
        <w:rPr>
          <w:rFonts w:hint="default" w:ascii="Times New Roman" w:hAnsi="Times New Roman"/>
          <w:bCs/>
          <w:iCs/>
          <w:color w:val="auto"/>
          <w:lang w:val="pt-BR"/>
        </w:rPr>
        <w:t>A presente licitação será realizada com inversão de fases, permitida em conformidade com o §1º do art. 17 da Lei Federal n.° 14.133/2021, devendo a habilitação das licitantes preceder a fase de apresentação de propostas, lances e de julgamento.</w:t>
      </w:r>
    </w:p>
    <w:p w14:paraId="781EF6B5">
      <w:pPr>
        <w:ind w:left="660" w:leftChars="0" w:hanging="660" w:hangingChars="300"/>
        <w:jc w:val="both"/>
        <w:rPr>
          <w:rFonts w:hint="default" w:ascii="Times New Roman" w:hAnsi="Times New Roman"/>
          <w:bCs/>
          <w:iCs/>
          <w:color w:val="00B050"/>
          <w:lang w:val="pt-BR"/>
        </w:rPr>
      </w:pPr>
      <w:r>
        <w:rPr>
          <w:rFonts w:hint="default" w:ascii="Times New Roman" w:hAnsi="Times New Roman"/>
          <w:bCs/>
          <w:iCs/>
          <w:color w:val="auto"/>
          <w:lang w:val="pt-BR"/>
        </w:rPr>
        <w:t>1.1.2</w:t>
      </w:r>
      <w:r>
        <w:rPr>
          <w:rFonts w:hint="default" w:ascii="Times New Roman" w:hAnsi="Times New Roman"/>
          <w:bCs/>
          <w:iCs/>
          <w:color w:val="auto"/>
          <w:lang w:val="pt-BR"/>
        </w:rPr>
        <w:tab/>
      </w:r>
      <w:r>
        <w:rPr>
          <w:rFonts w:hint="default" w:ascii="Times New Roman" w:hAnsi="Times New Roman"/>
          <w:bCs/>
          <w:iCs/>
          <w:color w:val="auto"/>
          <w:lang w:val="pt-BR"/>
        </w:rPr>
        <w:t>Na presente licitação, a fase de habilitação antecederá as fases de apresentação de propostas, lances e de julgamento, em razão da natureza de seu objeto e por imposição do estabelecido no Decreto n.° 286, de 11 de junho de 2025. Vejamos:</w:t>
      </w:r>
    </w:p>
    <w:p w14:paraId="68BA3B22">
      <w:pPr>
        <w:keepNext w:val="0"/>
        <w:keepLines w:val="0"/>
        <w:pageBreakBefore w:val="0"/>
        <w:widowControl/>
        <w:kinsoku/>
        <w:wordWrap/>
        <w:overflowPunct/>
        <w:topLinePunct w:val="0"/>
        <w:autoSpaceDE/>
        <w:autoSpaceDN/>
        <w:bidi w:val="0"/>
        <w:adjustRightInd/>
        <w:snapToGrid/>
        <w:spacing w:before="0" w:beforeLines="0" w:after="109" w:afterLines="30" w:line="240" w:lineRule="auto"/>
        <w:ind w:left="1100" w:leftChars="500" w:right="1892" w:rightChars="860" w:firstLine="0" w:firstLineChars="0"/>
        <w:jc w:val="both"/>
        <w:textAlignment w:val="auto"/>
        <w:rPr>
          <w:rFonts w:ascii="Times New Roman" w:hAnsi="Times New Roman" w:eastAsia="等线" w:cs="Times New Roman"/>
          <w:i/>
          <w:snapToGrid w:val="0"/>
          <w:spacing w:val="0"/>
          <w:kern w:val="0"/>
          <w:sz w:val="20"/>
          <w:szCs w:val="24"/>
        </w:rPr>
      </w:pPr>
      <w:r>
        <w:rPr>
          <w:rFonts w:ascii="Times New Roman" w:hAnsi="Times New Roman" w:eastAsia="等线" w:cs="Times New Roman"/>
          <w:i/>
          <w:iCs w:val="0"/>
          <w:snapToGrid w:val="0"/>
          <w:spacing w:val="0"/>
          <w:kern w:val="0"/>
          <w:sz w:val="20"/>
          <w:szCs w:val="24"/>
        </w:rPr>
        <w:t xml:space="preserve">Art. </w:t>
      </w:r>
      <w:r>
        <w:rPr>
          <w:rFonts w:ascii="Times New Roman" w:hAnsi="Times New Roman" w:eastAsia="等线" w:cs="Times New Roman"/>
          <w:i/>
          <w:iCs w:val="0"/>
          <w:snapToGrid w:val="0"/>
          <w:spacing w:val="0"/>
          <w:kern w:val="0"/>
          <w:sz w:val="20"/>
          <w:szCs w:val="24"/>
          <w:lang w:val="pt-BR"/>
        </w:rPr>
        <w:t>8</w:t>
      </w:r>
      <w:r>
        <w:rPr>
          <w:rFonts w:ascii="Times New Roman" w:hAnsi="Times New Roman" w:eastAsia="等线" w:cs="Times New Roman"/>
          <w:i/>
          <w:iCs w:val="0"/>
          <w:snapToGrid w:val="0"/>
          <w:spacing w:val="0"/>
          <w:kern w:val="0"/>
          <w:sz w:val="20"/>
          <w:szCs w:val="24"/>
        </w:rPr>
        <w:t>º</w:t>
      </w:r>
      <w:r>
        <w:rPr>
          <w:rFonts w:ascii="Times New Roman" w:hAnsi="Times New Roman" w:eastAsia="等线" w:cs="Times New Roman"/>
          <w:i/>
          <w:iCs w:val="0"/>
          <w:snapToGrid w:val="0"/>
          <w:spacing w:val="0"/>
          <w:kern w:val="0"/>
          <w:sz w:val="20"/>
          <w:szCs w:val="24"/>
          <w:lang w:val="pt-BR"/>
        </w:rPr>
        <w:t>-A</w:t>
      </w:r>
      <w:r>
        <w:rPr>
          <w:rFonts w:ascii="Times New Roman" w:hAnsi="Times New Roman" w:eastAsia="等线" w:cs="Times New Roman"/>
          <w:i/>
          <w:snapToGrid w:val="0"/>
          <w:spacing w:val="0"/>
          <w:kern w:val="0"/>
          <w:sz w:val="20"/>
          <w:szCs w:val="24"/>
          <w:lang w:val="pt-BR"/>
        </w:rPr>
        <w:t>.</w:t>
      </w:r>
      <w:r>
        <w:rPr>
          <w:rFonts w:ascii="Times New Roman" w:hAnsi="Times New Roman" w:eastAsia="等线" w:cs="Times New Roman"/>
          <w:snapToGrid w:val="0"/>
          <w:spacing w:val="0"/>
          <w:kern w:val="0"/>
          <w:sz w:val="20"/>
          <w:szCs w:val="24"/>
        </w:rPr>
        <w:t xml:space="preserve"> </w:t>
      </w:r>
      <w:r>
        <w:rPr>
          <w:rFonts w:hint="default" w:ascii="Times New Roman" w:hAnsi="Times New Roman" w:eastAsia="等线" w:cs="Times New Roman"/>
          <w:i/>
          <w:snapToGrid w:val="0"/>
          <w:spacing w:val="0"/>
          <w:kern w:val="0"/>
          <w:sz w:val="20"/>
          <w:szCs w:val="24"/>
        </w:rPr>
        <w:t>O</w:t>
      </w:r>
      <w:r>
        <w:rPr>
          <w:rFonts w:hint="default" w:ascii="Times New Roman" w:hAnsi="Times New Roman" w:eastAsia="SimSun" w:cs="Times New Roman"/>
          <w:i/>
          <w:iCs/>
          <w:snapToGrid w:val="0"/>
          <w:color w:val="231F20"/>
          <w:kern w:val="0"/>
          <w:sz w:val="20"/>
          <w:szCs w:val="20"/>
          <w:lang w:val="en-US" w:eastAsia="zh-CN" w:bidi="ar"/>
        </w:rPr>
        <w:t xml:space="preserve"> processo de licitação para contratação de obras seguirá as fases previstas na Lei Municipal n° 5.346, de 05 de Junho de 2025, observadas as seguintes disposições</w:t>
      </w:r>
      <w:r>
        <w:rPr>
          <w:rFonts w:ascii="Times New Roman" w:hAnsi="Times New Roman" w:eastAsia="等线" w:cs="Times New Roman"/>
          <w:i/>
          <w:snapToGrid w:val="0"/>
          <w:spacing w:val="0"/>
          <w:kern w:val="0"/>
          <w:sz w:val="20"/>
          <w:szCs w:val="24"/>
        </w:rPr>
        <w:t>:</w:t>
      </w:r>
    </w:p>
    <w:p w14:paraId="4A147544">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ascii="Times New Roman" w:hAnsi="Times New Roman" w:eastAsia="等线" w:cs="Times New Roman"/>
          <w:i/>
          <w:snapToGrid w:val="0"/>
          <w:color w:val="231F20"/>
          <w:kern w:val="0"/>
          <w:sz w:val="20"/>
          <w:szCs w:val="18"/>
          <w:lang w:val="en-US" w:eastAsia="zh-CN" w:bidi="ar"/>
        </w:rPr>
        <w:t>apresentação simultânea pelos licitantes dos documentos de habilitação, exceto os relativos à regularidade fiscal, e das propostas</w:t>
      </w:r>
      <w:r>
        <w:rPr>
          <w:rFonts w:hint="default" w:ascii="Times New Roman" w:hAnsi="Times New Roman" w:eastAsia="等线" w:cs="Times New Roman"/>
          <w:b w:val="0"/>
          <w:bCs w:val="0"/>
          <w:i/>
          <w:iCs/>
          <w:snapToGrid w:val="0"/>
          <w:color w:val="auto"/>
          <w:kern w:val="0"/>
          <w:sz w:val="20"/>
          <w:szCs w:val="20"/>
          <w:lang w:val="pt-BR"/>
        </w:rPr>
        <w:t>;</w:t>
      </w:r>
    </w:p>
    <w:p w14:paraId="6D219F8C">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hint="default" w:ascii="Times New Roman" w:hAnsi="Times New Roman" w:eastAsia="SimSun" w:cs="Times New Roman"/>
          <w:i/>
          <w:iCs/>
          <w:snapToGrid w:val="0"/>
          <w:color w:val="231F20"/>
          <w:kern w:val="0"/>
          <w:sz w:val="20"/>
          <w:szCs w:val="20"/>
          <w:lang w:val="en-US" w:eastAsia="zh-CN" w:bidi="ar"/>
        </w:rPr>
        <w:t>análise dos documentos de habilitação de todos os licitantes</w:t>
      </w:r>
      <w:r>
        <w:rPr>
          <w:rFonts w:hint="default" w:ascii="Times New Roman" w:hAnsi="Times New Roman" w:eastAsia="等线" w:cs="Times New Roman"/>
          <w:b w:val="0"/>
          <w:bCs w:val="0"/>
          <w:i/>
          <w:iCs/>
          <w:snapToGrid w:val="0"/>
          <w:color w:val="auto"/>
          <w:kern w:val="0"/>
          <w:sz w:val="20"/>
          <w:szCs w:val="20"/>
          <w:lang w:val="pt-BR"/>
        </w:rPr>
        <w:t>;</w:t>
      </w:r>
    </w:p>
    <w:p w14:paraId="601437B3">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hint="default" w:ascii="Times New Roman" w:hAnsi="Times New Roman" w:eastAsia="SimSun" w:cs="Times New Roman"/>
          <w:i/>
          <w:iCs/>
          <w:snapToGrid w:val="0"/>
          <w:color w:val="231F20"/>
          <w:kern w:val="0"/>
          <w:sz w:val="20"/>
          <w:szCs w:val="20"/>
          <w:lang w:val="en-US" w:eastAsia="zh-CN" w:bidi="ar"/>
        </w:rPr>
        <w:t>divulgação do resultado da habilitação</w:t>
      </w:r>
      <w:r>
        <w:rPr>
          <w:rFonts w:hint="default" w:ascii="Times New Roman" w:hAnsi="Times New Roman" w:eastAsia="等线" w:cs="Times New Roman"/>
          <w:b w:val="0"/>
          <w:bCs w:val="0"/>
          <w:i/>
          <w:iCs/>
          <w:snapToGrid w:val="0"/>
          <w:color w:val="auto"/>
          <w:kern w:val="0"/>
          <w:sz w:val="20"/>
          <w:szCs w:val="20"/>
          <w:lang w:val="pt-BR"/>
        </w:rPr>
        <w:t>;</w:t>
      </w:r>
    </w:p>
    <w:p w14:paraId="7A8E88EF">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hint="default" w:ascii="Times New Roman" w:hAnsi="Times New Roman" w:eastAsia="SimSun" w:cs="Times New Roman"/>
          <w:i/>
          <w:iCs/>
          <w:snapToGrid w:val="0"/>
          <w:color w:val="231F20"/>
          <w:kern w:val="0"/>
          <w:sz w:val="20"/>
          <w:szCs w:val="20"/>
          <w:lang w:val="en-US" w:eastAsia="zh-CN" w:bidi="ar"/>
        </w:rPr>
        <w:t>análise das propostas e disputa entre os licitantes habilitados</w:t>
      </w:r>
      <w:r>
        <w:rPr>
          <w:rFonts w:hint="default" w:ascii="Times New Roman" w:hAnsi="Times New Roman" w:eastAsia="等线" w:cs="Times New Roman"/>
          <w:b w:val="0"/>
          <w:bCs w:val="0"/>
          <w:i/>
          <w:iCs/>
          <w:snapToGrid w:val="0"/>
          <w:color w:val="auto"/>
          <w:kern w:val="0"/>
          <w:sz w:val="20"/>
          <w:szCs w:val="20"/>
          <w:lang w:val="pt-BR"/>
        </w:rPr>
        <w:t>;</w:t>
      </w:r>
    </w:p>
    <w:p w14:paraId="7A686017">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hint="default" w:ascii="Times New Roman" w:hAnsi="Times New Roman" w:eastAsia="SimSun" w:cs="Times New Roman"/>
          <w:i/>
          <w:iCs/>
          <w:snapToGrid w:val="0"/>
          <w:color w:val="231F20"/>
          <w:kern w:val="0"/>
          <w:sz w:val="20"/>
          <w:szCs w:val="20"/>
          <w:lang w:val="en-US" w:eastAsia="zh-CN" w:bidi="ar"/>
        </w:rPr>
        <w:t>exigência e análise dos documentos relativos à regularidade fiscal apenas do licitante provisoriamente classificado em primeiro lugar</w:t>
      </w:r>
      <w:r>
        <w:rPr>
          <w:rFonts w:hint="default" w:ascii="Times New Roman" w:hAnsi="Times New Roman" w:eastAsia="等线" w:cs="Times New Roman"/>
          <w:b w:val="0"/>
          <w:bCs w:val="0"/>
          <w:i/>
          <w:iCs/>
          <w:snapToGrid w:val="0"/>
          <w:color w:val="auto"/>
          <w:kern w:val="0"/>
          <w:sz w:val="20"/>
          <w:szCs w:val="20"/>
          <w:lang w:val="pt-BR"/>
        </w:rPr>
        <w:t>;</w:t>
      </w:r>
    </w:p>
    <w:p w14:paraId="5AF139E8">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hint="default" w:ascii="Times New Roman" w:hAnsi="Times New Roman" w:eastAsia="SimSun" w:cs="Times New Roman"/>
          <w:i/>
          <w:iCs/>
          <w:snapToGrid w:val="0"/>
          <w:color w:val="231F20"/>
          <w:kern w:val="0"/>
          <w:sz w:val="20"/>
          <w:szCs w:val="20"/>
          <w:lang w:val="en-US" w:eastAsia="zh-CN" w:bidi="ar"/>
        </w:rPr>
        <w:t>divulgação do resultado do julgamento</w:t>
      </w:r>
      <w:r>
        <w:rPr>
          <w:rFonts w:hint="default" w:ascii="Times New Roman" w:hAnsi="Times New Roman" w:eastAsia="等线" w:cs="Times New Roman"/>
          <w:b w:val="0"/>
          <w:bCs w:val="0"/>
          <w:i/>
          <w:iCs/>
          <w:snapToGrid w:val="0"/>
          <w:color w:val="auto"/>
          <w:kern w:val="0"/>
          <w:sz w:val="20"/>
          <w:szCs w:val="20"/>
          <w:lang w:val="pt-BR"/>
        </w:rPr>
        <w:t>;</w:t>
      </w:r>
    </w:p>
    <w:p w14:paraId="6F55D8B3">
      <w:pPr>
        <w:keepNext w:val="0"/>
        <w:keepLines w:val="0"/>
        <w:pageBreakBefore w:val="0"/>
        <w:widowControl/>
        <w:numPr>
          <w:ilvl w:val="0"/>
          <w:numId w:val="2"/>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Times New Roman"/>
          <w:b w:val="0"/>
          <w:bCs w:val="0"/>
          <w:i/>
          <w:iCs/>
          <w:snapToGrid w:val="0"/>
          <w:color w:val="auto"/>
          <w:kern w:val="0"/>
          <w:sz w:val="20"/>
          <w:szCs w:val="20"/>
          <w:lang w:val="pt-BR"/>
        </w:rPr>
      </w:pPr>
      <w:r>
        <w:rPr>
          <w:rFonts w:hint="default" w:ascii="Times New Roman" w:hAnsi="Times New Roman" w:eastAsia="SimSun" w:cs="Times New Roman"/>
          <w:i/>
          <w:iCs/>
          <w:snapToGrid w:val="0"/>
          <w:color w:val="231F20"/>
          <w:kern w:val="0"/>
          <w:sz w:val="20"/>
          <w:szCs w:val="20"/>
          <w:lang w:val="en-US" w:eastAsia="zh-CN" w:bidi="ar"/>
        </w:rPr>
        <w:t>previsão de duas etapas recursais, observado o disposto no art. 40-A deste Decreto</w:t>
      </w:r>
      <w:r>
        <w:rPr>
          <w:rFonts w:hint="default" w:ascii="Times New Roman" w:hAnsi="Times New Roman" w:eastAsia="等线" w:cs="Times New Roman"/>
          <w:b w:val="0"/>
          <w:bCs w:val="0"/>
          <w:i/>
          <w:iCs/>
          <w:snapToGrid w:val="0"/>
          <w:color w:val="auto"/>
          <w:kern w:val="0"/>
          <w:sz w:val="20"/>
          <w:szCs w:val="20"/>
          <w:lang w:val="pt-BR"/>
        </w:rPr>
        <w:t>.</w:t>
      </w:r>
    </w:p>
    <w:p w14:paraId="069F4C23">
      <w:pPr>
        <w:keepNext w:val="0"/>
        <w:keepLines w:val="0"/>
        <w:pageBreakBefore w:val="0"/>
        <w:widowControl/>
        <w:kinsoku/>
        <w:wordWrap/>
        <w:overflowPunct/>
        <w:topLinePunct w:val="0"/>
        <w:autoSpaceDE/>
        <w:autoSpaceDN/>
        <w:bidi w:val="0"/>
        <w:adjustRightInd/>
        <w:snapToGrid/>
        <w:spacing w:before="0" w:beforeLines="0" w:after="109" w:afterLines="30" w:line="240" w:lineRule="auto"/>
        <w:ind w:left="1100" w:leftChars="500" w:right="1892" w:rightChars="860" w:firstLine="0" w:firstLineChars="0"/>
        <w:jc w:val="both"/>
        <w:textAlignment w:val="auto"/>
        <w:rPr>
          <w:rFonts w:hint="default" w:ascii="Times New Roman" w:hAnsi="Times New Roman" w:eastAsia="等线" w:cs="Arial"/>
          <w:b w:val="0"/>
          <w:bCs w:val="0"/>
          <w:i/>
          <w:iCs/>
          <w:snapToGrid w:val="0"/>
          <w:color w:val="auto"/>
          <w:kern w:val="0"/>
          <w:sz w:val="20"/>
          <w:szCs w:val="20"/>
          <w:lang w:val="pt-BR"/>
        </w:rPr>
      </w:pPr>
      <w:r>
        <w:rPr>
          <w:rFonts w:hint="default" w:ascii="Times New Roman" w:hAnsi="Times New Roman" w:eastAsia="等线" w:cs="Arial"/>
          <w:b w:val="0"/>
          <w:bCs w:val="0"/>
          <w:i/>
          <w:iCs/>
          <w:snapToGrid w:val="0"/>
          <w:color w:val="auto"/>
          <w:kern w:val="0"/>
          <w:sz w:val="20"/>
          <w:szCs w:val="20"/>
          <w:lang w:val="pt-BR"/>
        </w:rPr>
        <w:t>Art. 40º-A. Nas hipóteses de processos de licitação para contratação de obras, sem prejuízo das regras gerais previstas no art. 40 deste Decreto, a fase  recursal ocorrerá em 2 (duas) etapas, observadas as seguintes disposições específicas:</w:t>
      </w:r>
    </w:p>
    <w:p w14:paraId="0614EBC6">
      <w:pPr>
        <w:keepNext w:val="0"/>
        <w:keepLines w:val="0"/>
        <w:pageBreakBefore w:val="0"/>
        <w:widowControl/>
        <w:numPr>
          <w:ilvl w:val="0"/>
          <w:numId w:val="3"/>
        </w:numPr>
        <w:tabs>
          <w:tab w:val="clear" w:pos="420"/>
        </w:tabs>
        <w:kinsoku/>
        <w:wordWrap/>
        <w:overflowPunct/>
        <w:topLinePunct w:val="0"/>
        <w:autoSpaceDE/>
        <w:autoSpaceDN/>
        <w:bidi w:val="0"/>
        <w:adjustRightInd/>
        <w:snapToGrid/>
        <w:spacing w:before="0" w:beforeLines="0" w:after="109" w:afterLines="30" w:line="240" w:lineRule="auto"/>
        <w:ind w:left="1600" w:leftChars="0" w:right="1892" w:rightChars="860" w:hanging="600" w:firstLineChars="0"/>
        <w:jc w:val="both"/>
        <w:textAlignment w:val="auto"/>
        <w:outlineLvl w:val="9"/>
        <w:rPr>
          <w:rFonts w:hint="default" w:ascii="Times New Roman" w:hAnsi="Times New Roman" w:eastAsia="等线" w:cs="Arial"/>
          <w:b w:val="0"/>
          <w:bCs w:val="0"/>
          <w:i/>
          <w:iCs/>
          <w:snapToGrid w:val="0"/>
          <w:color w:val="auto"/>
          <w:kern w:val="0"/>
          <w:sz w:val="20"/>
          <w:szCs w:val="20"/>
          <w:lang w:val="pt-BR"/>
        </w:rPr>
      </w:pPr>
      <w:r>
        <w:rPr>
          <w:rFonts w:hint="default" w:ascii="Times New Roman" w:hAnsi="Times New Roman" w:eastAsia="等线" w:cs="Arial"/>
          <w:b w:val="0"/>
          <w:bCs w:val="0"/>
          <w:i/>
          <w:iCs/>
          <w:snapToGrid w:val="0"/>
          <w:color w:val="auto"/>
          <w:kern w:val="0"/>
          <w:sz w:val="20"/>
          <w:szCs w:val="20"/>
          <w:lang w:val="pt-BR"/>
        </w:rPr>
        <w:t>a intenção de recorrer deverá ser manifestada imediatamente após as fases de habilitação e de julgamento, conforme o caso;</w:t>
      </w:r>
    </w:p>
    <w:p w14:paraId="71A50050">
      <w:pPr>
        <w:ind w:left="660" w:leftChars="300" w:firstLine="0" w:firstLineChars="0"/>
        <w:jc w:val="both"/>
        <w:rPr>
          <w:rFonts w:hint="default" w:ascii="Times New Roman" w:hAnsi="Times New Roman"/>
          <w:bCs/>
          <w:iCs/>
          <w:color w:val="00B050"/>
          <w:lang w:val="pt-BR"/>
        </w:rPr>
      </w:pPr>
      <w:r>
        <w:rPr>
          <w:rFonts w:hint="default" w:ascii="Times New Roman" w:hAnsi="Times New Roman" w:eastAsia="等线" w:cs="Arial"/>
          <w:b w:val="0"/>
          <w:bCs w:val="0"/>
          <w:i/>
          <w:iCs/>
          <w:snapToGrid w:val="0"/>
          <w:color w:val="auto"/>
          <w:kern w:val="0"/>
          <w:sz w:val="20"/>
          <w:szCs w:val="20"/>
          <w:lang w:val="pt-BR"/>
        </w:rPr>
        <w:t>a apreciação dar-se-á em 2 (duas) fases, após as fases de habilitação e de julgamento, a partir da declaração do licitante vencedor, conforme o caso.</w:t>
      </w:r>
    </w:p>
    <w:p w14:paraId="0A0B7019">
      <w:pPr>
        <w:ind w:left="660" w:leftChars="0" w:hanging="660" w:hangingChars="300"/>
        <w:jc w:val="both"/>
        <w:rPr>
          <w:rFonts w:hint="default" w:ascii="Arial" w:hAnsi="Arial" w:eastAsia="等线" w:cs="Arial"/>
          <w:b w:val="0"/>
          <w:bCs w:val="0"/>
          <w:snapToGrid w:val="0"/>
          <w:color w:val="auto"/>
          <w:kern w:val="0"/>
          <w:sz w:val="20"/>
          <w:szCs w:val="20"/>
        </w:rPr>
      </w:pPr>
      <w:r>
        <w:rPr>
          <w:rFonts w:hint="default" w:ascii="Times New Roman" w:hAnsi="Times New Roman"/>
          <w:bCs/>
          <w:iCs/>
          <w:color w:val="auto"/>
          <w:lang w:val="pt-BR"/>
        </w:rPr>
        <w:t>1.1.3</w:t>
      </w:r>
      <w:r>
        <w:rPr>
          <w:rFonts w:hint="default" w:ascii="Times New Roman" w:hAnsi="Times New Roman"/>
          <w:bCs/>
          <w:iCs/>
          <w:color w:val="auto"/>
          <w:lang w:val="pt-BR"/>
        </w:rPr>
        <w:tab/>
      </w:r>
      <w:r>
        <w:rPr>
          <w:rFonts w:hint="default" w:ascii="Arial" w:hAnsi="Arial" w:eastAsia="等线" w:cs="Arial"/>
          <w:b/>
          <w:bCs/>
          <w:snapToGrid w:val="0"/>
          <w:color w:val="auto"/>
          <w:kern w:val="0"/>
          <w:sz w:val="20"/>
          <w:szCs w:val="20"/>
        </w:rPr>
        <w:t>Manifestação de intenção de recurso da Fase de Habilitação</w:t>
      </w:r>
    </w:p>
    <w:p w14:paraId="249C0F8B">
      <w:pPr>
        <w:keepNext w:val="0"/>
        <w:keepLines w:val="0"/>
        <w:pageBreakBefore w:val="0"/>
        <w:widowControl/>
        <w:numPr>
          <w:ilvl w:val="0"/>
          <w:numId w:val="4"/>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Após a divulgação da análise da documentação de habilitação, será concedido prazo de 01 (um) dia útil para que os interessados apresentem manifestação de intenção de recurso.</w:t>
      </w:r>
    </w:p>
    <w:p w14:paraId="5A967633">
      <w:pPr>
        <w:keepNext w:val="0"/>
        <w:keepLines w:val="0"/>
        <w:pageBreakBefore w:val="0"/>
        <w:widowControl/>
        <w:numPr>
          <w:ilvl w:val="0"/>
          <w:numId w:val="4"/>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A manifestação deverá ser enviada exclusivamente pelo e-mail: pregao@dourados.ms.gov.br</w:t>
      </w:r>
    </w:p>
    <w:p w14:paraId="5FCD58D5">
      <w:pPr>
        <w:ind w:left="660" w:leftChars="0" w:hanging="660" w:hangingChars="300"/>
        <w:jc w:val="both"/>
        <w:rPr>
          <w:rFonts w:hint="default" w:ascii="Times New Roman" w:hAnsi="Times New Roman"/>
          <w:bCs/>
          <w:iCs/>
          <w:color w:val="auto"/>
          <w:lang w:val="pt-BR"/>
        </w:rPr>
      </w:pPr>
      <w:r>
        <w:rPr>
          <w:rFonts w:hint="default" w:ascii="Times New Roman" w:hAnsi="Times New Roman"/>
          <w:bCs/>
          <w:iCs/>
          <w:color w:val="auto"/>
          <w:lang w:val="pt-BR"/>
        </w:rPr>
        <w:t>1.1.4</w:t>
      </w:r>
      <w:r>
        <w:rPr>
          <w:rFonts w:hint="default" w:ascii="Times New Roman" w:hAnsi="Times New Roman"/>
          <w:bCs/>
          <w:iCs/>
          <w:color w:val="auto"/>
          <w:lang w:val="pt-BR"/>
        </w:rPr>
        <w:tab/>
      </w:r>
      <w:r>
        <w:rPr>
          <w:rFonts w:hint="default" w:ascii="Times New Roman" w:hAnsi="Times New Roman"/>
          <w:bCs/>
          <w:iCs/>
          <w:color w:val="auto"/>
          <w:lang w:val="pt-BR"/>
        </w:rPr>
        <w:t>Retomada da sessão</w:t>
      </w:r>
    </w:p>
    <w:p w14:paraId="078CB3B9">
      <w:pPr>
        <w:keepNext w:val="0"/>
        <w:keepLines w:val="0"/>
        <w:pageBreakBefore w:val="0"/>
        <w:widowControl/>
        <w:numPr>
          <w:ilvl w:val="0"/>
          <w:numId w:val="5"/>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Encerrado o prazo de manifestação, a sessão será retomada para continuidade do certame.</w:t>
      </w:r>
    </w:p>
    <w:p w14:paraId="546C8261">
      <w:pPr>
        <w:keepNext w:val="0"/>
        <w:keepLines w:val="0"/>
        <w:pageBreakBefore w:val="0"/>
        <w:widowControl/>
        <w:numPr>
          <w:ilvl w:val="0"/>
          <w:numId w:val="5"/>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Caso haja manifestação de intenção de recurso, no momento do retorno será comunicado o registro da intenção.</w:t>
      </w:r>
    </w:p>
    <w:p w14:paraId="04E0E39C">
      <w:pPr>
        <w:keepNext w:val="0"/>
        <w:keepLines w:val="0"/>
        <w:pageBreakBefore w:val="0"/>
        <w:widowControl/>
        <w:numPr>
          <w:ilvl w:val="0"/>
          <w:numId w:val="5"/>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A partir dessa comunicação passará a correr o prazo legal para</w:t>
      </w:r>
      <w:r>
        <w:rPr>
          <w:rFonts w:hint="default" w:ascii="Arial" w:hAnsi="Arial" w:eastAsia="等线" w:cs="Arial"/>
          <w:b w:val="0"/>
          <w:bCs w:val="0"/>
          <w:snapToGrid w:val="0"/>
          <w:color w:val="auto"/>
          <w:kern w:val="0"/>
          <w:sz w:val="20"/>
          <w:szCs w:val="20"/>
          <w:lang w:val="pt-BR"/>
        </w:rPr>
        <w:t>:</w:t>
      </w:r>
    </w:p>
    <w:p w14:paraId="0B66414F">
      <w:pPr>
        <w:keepNext w:val="0"/>
        <w:keepLines w:val="0"/>
        <w:pageBreakBefore w:val="0"/>
        <w:widowControl/>
        <w:numPr>
          <w:ilvl w:val="0"/>
          <w:numId w:val="6"/>
        </w:numPr>
        <w:tabs>
          <w:tab w:val="clear" w:pos="420"/>
        </w:tabs>
        <w:kinsoku/>
        <w:wordWrap/>
        <w:overflowPunct/>
        <w:topLinePunct w:val="0"/>
        <w:autoSpaceDE/>
        <w:autoSpaceDN/>
        <w:bidi w:val="0"/>
        <w:adjustRightInd/>
        <w:snapToGrid w:val="0"/>
        <w:spacing w:before="0" w:beforeLines="0" w:after="181" w:afterLines="50" w:line="240" w:lineRule="auto"/>
        <w:ind w:left="1500" w:leftChars="500" w:right="0" w:rightChars="0" w:hanging="400" w:hangingChars="200"/>
        <w:jc w:val="both"/>
        <w:textAlignment w:val="auto"/>
        <w:outlineLvl w:val="9"/>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Apresentação das razões recursais (pelo recorrente);</w:t>
      </w:r>
    </w:p>
    <w:p w14:paraId="339733CE">
      <w:pPr>
        <w:keepNext w:val="0"/>
        <w:keepLines w:val="0"/>
        <w:pageBreakBefore w:val="0"/>
        <w:widowControl/>
        <w:numPr>
          <w:ilvl w:val="0"/>
          <w:numId w:val="6"/>
        </w:numPr>
        <w:tabs>
          <w:tab w:val="clear" w:pos="420"/>
        </w:tabs>
        <w:kinsoku/>
        <w:wordWrap/>
        <w:overflowPunct/>
        <w:topLinePunct w:val="0"/>
        <w:autoSpaceDE/>
        <w:autoSpaceDN/>
        <w:bidi w:val="0"/>
        <w:adjustRightInd/>
        <w:snapToGrid w:val="0"/>
        <w:spacing w:before="0" w:beforeLines="0" w:after="181" w:afterLines="50" w:line="240" w:lineRule="auto"/>
        <w:ind w:left="1500" w:leftChars="500" w:right="0" w:rightChars="0" w:hanging="400" w:hangingChars="200"/>
        <w:jc w:val="both"/>
        <w:textAlignment w:val="auto"/>
        <w:outlineLvl w:val="9"/>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Apresentação das contrarrazões (pelos demais licitantes);</w:t>
      </w:r>
    </w:p>
    <w:p w14:paraId="27FEAC74">
      <w:pPr>
        <w:keepNext w:val="0"/>
        <w:keepLines w:val="0"/>
        <w:pageBreakBefore w:val="0"/>
        <w:widowControl/>
        <w:numPr>
          <w:ilvl w:val="0"/>
          <w:numId w:val="6"/>
        </w:numPr>
        <w:tabs>
          <w:tab w:val="clear" w:pos="420"/>
        </w:tabs>
        <w:kinsoku/>
        <w:wordWrap/>
        <w:overflowPunct/>
        <w:topLinePunct w:val="0"/>
        <w:autoSpaceDE/>
        <w:autoSpaceDN/>
        <w:bidi w:val="0"/>
        <w:adjustRightInd/>
        <w:snapToGrid w:val="0"/>
        <w:spacing w:before="0" w:beforeLines="0" w:after="181" w:afterLines="50" w:line="240" w:lineRule="auto"/>
        <w:ind w:left="1500" w:leftChars="500" w:right="0" w:rightChars="0" w:hanging="400" w:hangingChars="200"/>
        <w:jc w:val="both"/>
        <w:textAlignment w:val="auto"/>
        <w:outlineLvl w:val="9"/>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Julgamento do recurso pela autoridade competente.</w:t>
      </w:r>
    </w:p>
    <w:p w14:paraId="15024BD5">
      <w:pPr>
        <w:keepNext w:val="0"/>
        <w:keepLines w:val="0"/>
        <w:pageBreakBefore w:val="0"/>
        <w:widowControl/>
        <w:numPr>
          <w:ilvl w:val="0"/>
          <w:numId w:val="5"/>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Tanto razões quanto contrarrazões deverão ser enviadas para o e-mail: pregao@dourados.ms.gov.br.</w:t>
      </w:r>
    </w:p>
    <w:p w14:paraId="5D371662">
      <w:pPr>
        <w:ind w:left="600" w:leftChars="0" w:hanging="600" w:hangingChars="300"/>
        <w:jc w:val="both"/>
        <w:rPr>
          <w:rFonts w:hint="default" w:ascii="Arial" w:hAnsi="Arial" w:eastAsia="等线" w:cs="Arial"/>
          <w:b/>
          <w:bCs/>
          <w:snapToGrid w:val="0"/>
          <w:color w:val="auto"/>
          <w:kern w:val="0"/>
          <w:sz w:val="20"/>
          <w:szCs w:val="20"/>
        </w:rPr>
      </w:pPr>
      <w:r>
        <w:rPr>
          <w:rFonts w:hint="default" w:ascii="Arial" w:hAnsi="Arial" w:eastAsia="等线" w:cs="Arial"/>
          <w:b w:val="0"/>
          <w:bCs w:val="0"/>
          <w:snapToGrid w:val="0"/>
          <w:color w:val="auto"/>
          <w:kern w:val="0"/>
          <w:sz w:val="20"/>
          <w:szCs w:val="20"/>
          <w:lang w:val="pt-BR"/>
        </w:rPr>
        <w:t>1.1.5</w:t>
      </w:r>
      <w:r>
        <w:rPr>
          <w:rFonts w:hint="default" w:ascii="Arial" w:hAnsi="Arial" w:eastAsia="等线" w:cs="Arial"/>
          <w:b/>
          <w:bCs/>
          <w:snapToGrid w:val="0"/>
          <w:color w:val="auto"/>
          <w:kern w:val="0"/>
          <w:sz w:val="20"/>
          <w:szCs w:val="20"/>
          <w:lang w:val="pt-BR"/>
        </w:rPr>
        <w:tab/>
      </w:r>
      <w:r>
        <w:rPr>
          <w:rFonts w:hint="default" w:ascii="Arial" w:hAnsi="Arial" w:eastAsia="等线" w:cs="Arial"/>
          <w:b/>
          <w:bCs/>
          <w:snapToGrid w:val="0"/>
          <w:color w:val="auto"/>
          <w:kern w:val="0"/>
          <w:sz w:val="20"/>
          <w:szCs w:val="20"/>
        </w:rPr>
        <w:t>Forma de disponibilização dos documentos (primeira fase de recurso)</w:t>
      </w:r>
    </w:p>
    <w:p w14:paraId="0643672E">
      <w:pPr>
        <w:keepNext w:val="0"/>
        <w:keepLines w:val="0"/>
        <w:pageBreakBefore w:val="0"/>
        <w:widowControl/>
        <w:numPr>
          <w:ilvl w:val="0"/>
          <w:numId w:val="7"/>
        </w:numPr>
        <w:tabs>
          <w:tab w:val="clear" w:pos="425"/>
        </w:tabs>
        <w:kinsoku/>
        <w:wordWrap/>
        <w:overflowPunct/>
        <w:topLinePunct w:val="0"/>
        <w:autoSpaceDE/>
        <w:autoSpaceDN/>
        <w:bidi w:val="0"/>
        <w:adjustRightInd/>
        <w:snapToGrid/>
        <w:spacing w:before="0" w:beforeLines="0" w:after="127" w:afterLines="35" w:line="240" w:lineRule="auto"/>
        <w:ind w:left="950" w:leftChars="250" w:right="0" w:rightChars="0" w:hanging="400" w:hangingChars="200"/>
        <w:jc w:val="both"/>
        <w:textAlignment w:val="auto"/>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Os documentos relacionados ao recurso serão disponibilizados pelos seguintes meios:</w:t>
      </w:r>
    </w:p>
    <w:p w14:paraId="73A60DF8">
      <w:pPr>
        <w:keepNext w:val="0"/>
        <w:keepLines w:val="0"/>
        <w:pageBreakBefore w:val="0"/>
        <w:widowControl/>
        <w:numPr>
          <w:ilvl w:val="0"/>
          <w:numId w:val="8"/>
        </w:numPr>
        <w:tabs>
          <w:tab w:val="clear" w:pos="420"/>
        </w:tabs>
        <w:kinsoku/>
        <w:wordWrap/>
        <w:overflowPunct/>
        <w:topLinePunct w:val="0"/>
        <w:autoSpaceDE/>
        <w:autoSpaceDN/>
        <w:bidi w:val="0"/>
        <w:adjustRightInd/>
        <w:snapToGrid w:val="0"/>
        <w:spacing w:before="0" w:beforeLines="0" w:after="181" w:afterLines="50" w:line="240" w:lineRule="auto"/>
        <w:ind w:left="1500" w:leftChars="500" w:right="0" w:rightChars="0" w:hanging="400" w:hangingChars="200"/>
        <w:jc w:val="both"/>
        <w:textAlignment w:val="auto"/>
        <w:outlineLvl w:val="9"/>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Sistema BLLCOMPRAS, no campo 'Arquivos';</w:t>
      </w:r>
    </w:p>
    <w:p w14:paraId="505FF7C1">
      <w:pPr>
        <w:keepNext w:val="0"/>
        <w:keepLines w:val="0"/>
        <w:pageBreakBefore w:val="0"/>
        <w:widowControl/>
        <w:numPr>
          <w:ilvl w:val="0"/>
          <w:numId w:val="8"/>
        </w:numPr>
        <w:tabs>
          <w:tab w:val="clear" w:pos="420"/>
        </w:tabs>
        <w:kinsoku/>
        <w:wordWrap/>
        <w:overflowPunct/>
        <w:topLinePunct w:val="0"/>
        <w:autoSpaceDE/>
        <w:autoSpaceDN/>
        <w:bidi w:val="0"/>
        <w:adjustRightInd/>
        <w:snapToGrid w:val="0"/>
        <w:spacing w:before="0" w:beforeLines="0" w:after="181" w:afterLines="50" w:line="240" w:lineRule="auto"/>
        <w:ind w:left="1500" w:leftChars="500" w:right="0" w:rightChars="0" w:hanging="400" w:hangingChars="200"/>
        <w:jc w:val="left"/>
        <w:textAlignment w:val="auto"/>
        <w:outlineLvl w:val="9"/>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rPr>
        <w:t xml:space="preserve">Site oficial do município: </w:t>
      </w:r>
      <w:r>
        <w:rPr>
          <w:rFonts w:hint="default" w:ascii="Arial" w:hAnsi="Arial" w:eastAsia="等线" w:cs="Arial"/>
          <w:b w:val="0"/>
          <w:bCs w:val="0"/>
          <w:snapToGrid w:val="0"/>
          <w:color w:val="auto"/>
          <w:kern w:val="0"/>
          <w:sz w:val="20"/>
          <w:szCs w:val="20"/>
          <w:lang w:val="pt-BR"/>
        </w:rPr>
        <w:t xml:space="preserve"> </w:t>
      </w:r>
      <w:r>
        <w:rPr>
          <w:rFonts w:hint="default" w:ascii="Arial" w:hAnsi="Arial" w:eastAsia="等线" w:cs="Arial"/>
          <w:b w:val="0"/>
          <w:bCs w:val="0"/>
          <w:snapToGrid w:val="0"/>
          <w:color w:val="auto"/>
          <w:kern w:val="0"/>
          <w:sz w:val="20"/>
          <w:szCs w:val="20"/>
        </w:rPr>
        <w:t>https://cidadao.dourados.ms.gov.br/index.php?class=SemadLicitacaoPublicView;</w:t>
      </w:r>
    </w:p>
    <w:p w14:paraId="21B8BF48">
      <w:pPr>
        <w:keepNext w:val="0"/>
        <w:keepLines w:val="0"/>
        <w:pageBreakBefore w:val="0"/>
        <w:widowControl/>
        <w:numPr>
          <w:ilvl w:val="0"/>
          <w:numId w:val="8"/>
        </w:numPr>
        <w:tabs>
          <w:tab w:val="clear" w:pos="420"/>
        </w:tabs>
        <w:kinsoku/>
        <w:wordWrap/>
        <w:overflowPunct/>
        <w:topLinePunct w:val="0"/>
        <w:autoSpaceDE/>
        <w:autoSpaceDN/>
        <w:bidi w:val="0"/>
        <w:adjustRightInd/>
        <w:snapToGrid w:val="0"/>
        <w:spacing w:before="0" w:beforeLines="0" w:after="181" w:afterLines="50" w:line="240" w:lineRule="auto"/>
        <w:ind w:left="1500" w:leftChars="500" w:right="0" w:rightChars="0" w:hanging="400" w:hangingChars="200"/>
        <w:jc w:val="both"/>
        <w:textAlignment w:val="auto"/>
        <w:outlineLvl w:val="9"/>
        <w:rPr>
          <w:rFonts w:hint="default" w:ascii="Arial" w:hAnsi="Arial" w:eastAsia="等线" w:cs="Arial"/>
          <w:b w:val="0"/>
          <w:bCs w:val="0"/>
          <w:snapToGrid w:val="0"/>
          <w:color w:val="auto"/>
          <w:kern w:val="0"/>
          <w:sz w:val="20"/>
          <w:szCs w:val="20"/>
        </w:rPr>
      </w:pPr>
      <w:r>
        <w:rPr>
          <w:rFonts w:hint="default" w:ascii="Arial" w:hAnsi="Arial" w:eastAsia="等线" w:cs="Arial"/>
          <w:b w:val="0"/>
          <w:bCs w:val="0"/>
          <w:snapToGrid w:val="0"/>
          <w:color w:val="auto"/>
          <w:kern w:val="0"/>
          <w:sz w:val="20"/>
          <w:szCs w:val="20"/>
          <w:lang w:val="pt-BR"/>
        </w:rPr>
        <w:t>E-</w:t>
      </w:r>
      <w:r>
        <w:rPr>
          <w:rFonts w:hint="default" w:ascii="Arial" w:hAnsi="Arial" w:eastAsia="等线" w:cs="Arial"/>
          <w:b w:val="0"/>
          <w:bCs w:val="0"/>
          <w:snapToGrid w:val="0"/>
          <w:color w:val="auto"/>
          <w:kern w:val="0"/>
          <w:sz w:val="20"/>
          <w:szCs w:val="20"/>
        </w:rPr>
        <w:t>mails cadastrados na plataforma BLLCOMPRAS.</w:t>
      </w:r>
    </w:p>
    <w:p w14:paraId="5026C443">
      <w:pPr>
        <w:ind w:left="600" w:leftChars="0" w:hanging="600" w:hangingChars="300"/>
        <w:jc w:val="both"/>
        <w:rPr>
          <w:rFonts w:hint="default" w:ascii="Times New Roman" w:hAnsi="Times New Roman"/>
          <w:bCs/>
          <w:iCs/>
          <w:color w:val="auto"/>
          <w:lang w:val="pt-BR"/>
        </w:rPr>
      </w:pPr>
      <w:r>
        <w:rPr>
          <w:rFonts w:hint="default" w:ascii="Arial" w:hAnsi="Arial" w:eastAsia="等线" w:cs="Arial"/>
          <w:b w:val="0"/>
          <w:bCs w:val="0"/>
          <w:snapToGrid w:val="0"/>
          <w:color w:val="auto"/>
          <w:kern w:val="0"/>
          <w:sz w:val="20"/>
          <w:szCs w:val="20"/>
          <w:lang w:val="pt-BR"/>
        </w:rPr>
        <w:t>1.1.6</w:t>
      </w:r>
      <w:r>
        <w:rPr>
          <w:rFonts w:hint="default" w:ascii="Arial" w:hAnsi="Arial" w:eastAsia="等线" w:cs="Arial"/>
          <w:b w:val="0"/>
          <w:bCs w:val="0"/>
          <w:snapToGrid w:val="0"/>
          <w:color w:val="auto"/>
          <w:kern w:val="0"/>
          <w:sz w:val="20"/>
          <w:szCs w:val="20"/>
          <w:lang w:val="pt-BR"/>
        </w:rPr>
        <w:tab/>
      </w:r>
      <w:r>
        <w:rPr>
          <w:rFonts w:hint="default" w:ascii="Arial" w:hAnsi="Arial" w:eastAsia="等线" w:cs="Arial"/>
          <w:b w:val="0"/>
          <w:bCs w:val="0"/>
          <w:snapToGrid w:val="0"/>
          <w:color w:val="auto"/>
          <w:kern w:val="0"/>
          <w:sz w:val="20"/>
          <w:szCs w:val="20"/>
          <w:lang w:val="pt-BR"/>
        </w:rPr>
        <w:t>O procedimento adotado nos subitem acima se dá devido problemas técnico no sistema BLL quanto a inversão das fases</w:t>
      </w:r>
      <w:r>
        <w:rPr>
          <w:rFonts w:hint="default" w:ascii="Times New Roman" w:hAnsi="Times New Roman"/>
          <w:bCs/>
          <w:iCs/>
          <w:color w:val="auto"/>
          <w:lang w:val="pt-BR"/>
        </w:rPr>
        <w:t>.</w:t>
      </w:r>
    </w:p>
    <w:p w14:paraId="2D7EFC8D">
      <w:pPr>
        <w:jc w:val="center"/>
        <w:rPr>
          <w:rFonts w:hint="default"/>
          <w:b/>
          <w:bCs/>
        </w:rPr>
      </w:pPr>
    </w:p>
    <w:p w14:paraId="19C7165D">
      <w:pPr>
        <w:jc w:val="center"/>
        <w:rPr>
          <w:b/>
          <w:bCs/>
        </w:rPr>
        <w:sectPr>
          <w:headerReference r:id="rId10" w:type="default"/>
          <w:footerReference r:id="rId11" w:type="default"/>
          <w:pgSz w:w="11906" w:h="16838"/>
          <w:pgMar w:top="1440" w:right="1440" w:bottom="1440" w:left="1440" w:header="708" w:footer="708" w:gutter="0"/>
          <w:pgBorders>
            <w:top w:val="none" w:sz="0" w:space="0"/>
            <w:left w:val="none" w:sz="0" w:space="0"/>
            <w:bottom w:val="none" w:sz="0" w:space="0"/>
            <w:right w:val="none" w:sz="0" w:space="0"/>
          </w:pgBorders>
          <w:pgNumType w:start="1"/>
          <w:cols w:space="708" w:num="1"/>
          <w:docGrid w:linePitch="360" w:charSpace="0"/>
        </w:sectPr>
      </w:pPr>
    </w:p>
    <w:p w14:paraId="5559FB8A">
      <w:pPr>
        <w:pStyle w:val="87"/>
      </w:pPr>
      <w:bookmarkStart w:id="5" w:name="_Toc174536836"/>
      <w:r>
        <w:t>SEÇÃO 1 - INSTRUÇÕES AOS CONCORRENTES (IAC)</w:t>
      </w:r>
      <w:bookmarkEnd w:id="5"/>
    </w:p>
    <w:p w14:paraId="18F1CBBA">
      <w:pPr>
        <w:jc w:val="center"/>
        <w:rPr>
          <w:b/>
          <w:bCs/>
        </w:rPr>
      </w:pPr>
      <w:r>
        <w:rPr>
          <w:b/>
          <w:bCs/>
        </w:rPr>
        <w:t>CONTEÚDO</w:t>
      </w:r>
    </w:p>
    <w:p w14:paraId="68F76664">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TOC \h \z \t "TITULO11;1;SUBTITULO11;2" </w:instrText>
      </w:r>
      <w:r>
        <w:fldChar w:fldCharType="separate"/>
      </w:r>
      <w:r>
        <w:fldChar w:fldCharType="begin"/>
      </w:r>
      <w:r>
        <w:instrText xml:space="preserve"> HYPERLINK \l "_Toc174536340" </w:instrText>
      </w:r>
      <w:r>
        <w:fldChar w:fldCharType="separate"/>
      </w:r>
      <w:r>
        <w:rPr>
          <w:rStyle w:val="16"/>
        </w:rPr>
        <w:t>A - GERAL</w:t>
      </w:r>
      <w:r>
        <w:tab/>
      </w:r>
      <w:r>
        <w:fldChar w:fldCharType="begin"/>
      </w:r>
      <w:r>
        <w:instrText xml:space="preserve"> PAGEREF _Toc174536340 \h </w:instrText>
      </w:r>
      <w:r>
        <w:fldChar w:fldCharType="separate"/>
      </w:r>
      <w:r>
        <w:t>5</w:t>
      </w:r>
      <w:r>
        <w:fldChar w:fldCharType="end"/>
      </w:r>
      <w:r>
        <w:fldChar w:fldCharType="end"/>
      </w:r>
    </w:p>
    <w:p w14:paraId="4B4DA1E1">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"_Toc174536341" </w:instrText>
      </w:r>
      <w:r>
        <w:fldChar w:fldCharType="separate"/>
      </w:r>
      <w:r>
        <w:rPr>
          <w:rStyle w:val="16"/>
        </w:rPr>
        <w:t>1.</w:t>
      </w:r>
      <w:r>
        <w:rPr>
          <w:rFonts w:asciiTheme="minorHAnsi" w:hAnsiTheme="minorHAnsi" w:eastAsiaTheme="minorEastAsia"/>
          <w:sz w:val="24"/>
          <w:szCs w:val="24"/>
          <w:lang w:val="es-BO" w:eastAsia="es-BO"/>
        </w:rPr>
        <w:tab/>
      </w:r>
      <w:r>
        <w:rPr>
          <w:rStyle w:val="16"/>
        </w:rPr>
        <w:t>Escopo da Licitação</w:t>
      </w:r>
      <w:r>
        <w:tab/>
      </w:r>
      <w:r>
        <w:fldChar w:fldCharType="begin"/>
      </w:r>
      <w:r>
        <w:instrText xml:space="preserve"> PAGEREF _Toc174536341 \h </w:instrText>
      </w:r>
      <w:r>
        <w:fldChar w:fldCharType="separate"/>
      </w:r>
      <w:r>
        <w:t>5</w:t>
      </w:r>
      <w:r>
        <w:fldChar w:fldCharType="end"/>
      </w:r>
      <w:r>
        <w:fldChar w:fldCharType="end"/>
      </w:r>
    </w:p>
    <w:p w14:paraId="63909FEB">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"_Toc174536342" </w:instrText>
      </w:r>
      <w:r>
        <w:fldChar w:fldCharType="separate"/>
      </w:r>
      <w:r>
        <w:rPr>
          <w:rStyle w:val="16"/>
        </w:rPr>
        <w:t>2.</w:t>
      </w:r>
      <w:r>
        <w:rPr>
          <w:rFonts w:asciiTheme="minorHAnsi" w:hAnsiTheme="minorHAnsi" w:eastAsiaTheme="minorEastAsia"/>
          <w:sz w:val="24"/>
          <w:szCs w:val="24"/>
          <w:lang w:val="es-BO" w:eastAsia="es-BO"/>
        </w:rPr>
        <w:tab/>
      </w:r>
      <w:r>
        <w:rPr>
          <w:rStyle w:val="16"/>
        </w:rPr>
        <w:t>Fonte de Recursos</w:t>
      </w:r>
      <w:r>
        <w:tab/>
      </w:r>
      <w:r>
        <w:fldChar w:fldCharType="begin"/>
      </w:r>
      <w:r>
        <w:instrText xml:space="preserve"> PAGEREF _Toc174536342 \h </w:instrText>
      </w:r>
      <w:r>
        <w:fldChar w:fldCharType="separate"/>
      </w:r>
      <w:r>
        <w:t>5</w:t>
      </w:r>
      <w:r>
        <w:fldChar w:fldCharType="end"/>
      </w:r>
      <w:r>
        <w:fldChar w:fldCharType="end"/>
      </w:r>
    </w:p>
    <w:p w14:paraId="4D2B88B5">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"_Toc174536343" </w:instrText>
      </w:r>
      <w:r>
        <w:fldChar w:fldCharType="separate"/>
      </w:r>
      <w:r>
        <w:rPr>
          <w:rStyle w:val="16"/>
        </w:rPr>
        <w:t>3.</w:t>
      </w:r>
      <w:r>
        <w:rPr>
          <w:rFonts w:asciiTheme="minorHAnsi" w:hAnsiTheme="minorHAnsi" w:eastAsiaTheme="minorEastAsia"/>
          <w:sz w:val="24"/>
          <w:szCs w:val="24"/>
          <w:lang w:val="es-BO" w:eastAsia="es-BO"/>
        </w:rPr>
        <w:tab/>
      </w:r>
      <w:r>
        <w:rPr>
          <w:rStyle w:val="16"/>
        </w:rPr>
        <w:t>Concorrentes Elegíveis</w:t>
      </w:r>
      <w:r>
        <w:tab/>
      </w:r>
      <w:r>
        <w:fldChar w:fldCharType="begin"/>
      </w:r>
      <w:r>
        <w:instrText xml:space="preserve"> PAGEREF _Toc174536343 \h </w:instrText>
      </w:r>
      <w:r>
        <w:fldChar w:fldCharType="separate"/>
      </w:r>
      <w:r>
        <w:t>5</w:t>
      </w:r>
      <w:r>
        <w:fldChar w:fldCharType="end"/>
      </w:r>
      <w:r>
        <w:fldChar w:fldCharType="end"/>
      </w:r>
    </w:p>
    <w:p w14:paraId="6E515214">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"_Toc174536344" </w:instrText>
      </w:r>
      <w:r>
        <w:fldChar w:fldCharType="separate"/>
      </w:r>
      <w:r>
        <w:rPr>
          <w:rStyle w:val="16"/>
        </w:rPr>
        <w:t>4.</w:t>
      </w:r>
      <w:r>
        <w:rPr>
          <w:rFonts w:asciiTheme="minorHAnsi" w:hAnsiTheme="minorHAnsi" w:eastAsiaTheme="minorEastAsia"/>
          <w:sz w:val="24"/>
          <w:szCs w:val="24"/>
          <w:lang w:val="es-BO" w:eastAsia="es-BO"/>
        </w:rPr>
        <w:tab/>
      </w:r>
      <w:r>
        <w:rPr>
          <w:rStyle w:val="16"/>
        </w:rPr>
        <w:t>Qualificação e Habilitação dos Concorrentes</w:t>
      </w:r>
      <w:r>
        <w:tab/>
      </w:r>
      <w:r>
        <w:fldChar w:fldCharType="begin"/>
      </w:r>
      <w:r>
        <w:instrText xml:space="preserve"> PAGEREF _Toc174536344 \h </w:instrText>
      </w:r>
      <w:r>
        <w:fldChar w:fldCharType="separate"/>
      </w:r>
      <w:r>
        <w:t>8</w:t>
      </w:r>
      <w:r>
        <w:fldChar w:fldCharType="end"/>
      </w:r>
      <w:r>
        <w:fldChar w:fldCharType="end"/>
      </w:r>
    </w:p>
    <w:p w14:paraId="167B9919">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"_Toc174536345" </w:instrText>
      </w:r>
      <w:r>
        <w:fldChar w:fldCharType="separate"/>
      </w:r>
      <w:r>
        <w:rPr>
          <w:rStyle w:val="16"/>
        </w:rPr>
        <w:t>5.</w:t>
      </w:r>
      <w:r>
        <w:rPr>
          <w:rFonts w:asciiTheme="minorHAnsi" w:hAnsiTheme="minorHAnsi" w:eastAsiaTheme="minorEastAsia"/>
          <w:sz w:val="24"/>
          <w:szCs w:val="24"/>
          <w:lang w:val="es-BO" w:eastAsia="es-BO"/>
        </w:rPr>
        <w:tab/>
      </w:r>
      <w:r>
        <w:rPr>
          <w:rStyle w:val="16"/>
        </w:rPr>
        <w:t>Uma Proposta por Concorrente</w:t>
      </w:r>
      <w:r>
        <w:tab/>
      </w:r>
      <w:r>
        <w:fldChar w:fldCharType="begin"/>
      </w:r>
      <w:r>
        <w:instrText xml:space="preserve"> PAGEREF _Toc174536345 \h </w:instrText>
      </w:r>
      <w:r>
        <w:fldChar w:fldCharType="separate"/>
      </w:r>
      <w:r>
        <w:t>9</w:t>
      </w:r>
      <w:r>
        <w:fldChar w:fldCharType="end"/>
      </w:r>
      <w:r>
        <w:fldChar w:fldCharType="end"/>
      </w:r>
    </w:p>
    <w:p w14:paraId="3BFB706C">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"_Toc174536346" </w:instrText>
      </w:r>
      <w:r>
        <w:fldChar w:fldCharType="separate"/>
      </w:r>
      <w:r>
        <w:rPr>
          <w:rStyle w:val="16"/>
        </w:rPr>
        <w:t>6.</w:t>
      </w:r>
      <w:r>
        <w:rPr>
          <w:rFonts w:asciiTheme="minorHAnsi" w:hAnsiTheme="minorHAnsi" w:eastAsiaTheme="minorEastAsia"/>
          <w:sz w:val="24"/>
          <w:szCs w:val="24"/>
          <w:lang w:val="es-BO" w:eastAsia="es-BO"/>
        </w:rPr>
        <w:tab/>
      </w:r>
      <w:r>
        <w:rPr>
          <w:rStyle w:val="16"/>
        </w:rPr>
        <w:t>Custo da Proposta</w:t>
      </w:r>
      <w:r>
        <w:tab/>
      </w:r>
      <w:r>
        <w:fldChar w:fldCharType="begin"/>
      </w:r>
      <w:r>
        <w:instrText xml:space="preserve"> PAGEREF _Toc174536346 \h </w:instrText>
      </w:r>
      <w:r>
        <w:fldChar w:fldCharType="separate"/>
      </w:r>
      <w:r>
        <w:t>9</w:t>
      </w:r>
      <w:r>
        <w:fldChar w:fldCharType="end"/>
      </w:r>
      <w:r>
        <w:fldChar w:fldCharType="end"/>
      </w:r>
    </w:p>
    <w:p w14:paraId="1C768FD3">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"_Toc174536347" </w:instrText>
      </w:r>
      <w:r>
        <w:fldChar w:fldCharType="separate"/>
      </w:r>
      <w:r>
        <w:rPr>
          <w:rStyle w:val="16"/>
        </w:rPr>
        <w:t>7.</w:t>
      </w:r>
      <w:r>
        <w:rPr>
          <w:rFonts w:asciiTheme="minorHAnsi" w:hAnsiTheme="minorHAnsi" w:eastAsiaTheme="minorEastAsia"/>
          <w:sz w:val="24"/>
          <w:szCs w:val="24"/>
          <w:lang w:val="es-BO" w:eastAsia="es-BO"/>
        </w:rPr>
        <w:tab/>
      </w:r>
      <w:r>
        <w:rPr>
          <w:rStyle w:val="16"/>
        </w:rPr>
        <w:t>Visita ao Local das Obras, Estudos e Dados Básicos Disponíveis</w:t>
      </w:r>
      <w:r>
        <w:tab/>
      </w:r>
      <w:r>
        <w:fldChar w:fldCharType="begin"/>
      </w:r>
      <w:r>
        <w:instrText xml:space="preserve"> PAGEREF _Toc174536347 \h </w:instrText>
      </w:r>
      <w:r>
        <w:fldChar w:fldCharType="separate"/>
      </w:r>
      <w:r>
        <w:t>9</w:t>
      </w:r>
      <w:r>
        <w:fldChar w:fldCharType="end"/>
      </w:r>
      <w:r>
        <w:fldChar w:fldCharType="end"/>
      </w:r>
    </w:p>
    <w:p w14:paraId="10F852E9">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"_Toc174536348" </w:instrText>
      </w:r>
      <w:r>
        <w:fldChar w:fldCharType="separate"/>
      </w:r>
      <w:r>
        <w:rPr>
          <w:rStyle w:val="16"/>
        </w:rPr>
        <w:t>B – EDITAL</w:t>
      </w:r>
      <w:r>
        <w:tab/>
      </w:r>
      <w:r>
        <w:fldChar w:fldCharType="begin"/>
      </w:r>
      <w:r>
        <w:instrText xml:space="preserve"> PAGEREF _Toc174536348 \h </w:instrText>
      </w:r>
      <w:r>
        <w:fldChar w:fldCharType="separate"/>
      </w:r>
      <w:r>
        <w:t>10</w:t>
      </w:r>
      <w:r>
        <w:fldChar w:fldCharType="end"/>
      </w:r>
      <w:r>
        <w:fldChar w:fldCharType="end"/>
      </w:r>
    </w:p>
    <w:p w14:paraId="37F1E24B">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"_Toc174536349" </w:instrText>
      </w:r>
      <w:r>
        <w:fldChar w:fldCharType="separate"/>
      </w:r>
      <w:r>
        <w:rPr>
          <w:rStyle w:val="16"/>
        </w:rPr>
        <w:t>8.</w:t>
      </w:r>
      <w:r>
        <w:rPr>
          <w:rFonts w:asciiTheme="minorHAnsi" w:hAnsiTheme="minorHAnsi" w:eastAsiaTheme="minorEastAsia"/>
          <w:sz w:val="24"/>
          <w:szCs w:val="24"/>
          <w:lang w:val="es-BO" w:eastAsia="es-BO"/>
        </w:rPr>
        <w:tab/>
      </w:r>
      <w:r>
        <w:rPr>
          <w:rStyle w:val="16"/>
        </w:rPr>
        <w:t>Conteúdo do Edital</w:t>
      </w:r>
      <w:r>
        <w:tab/>
      </w:r>
      <w:r>
        <w:fldChar w:fldCharType="begin"/>
      </w:r>
      <w:r>
        <w:instrText xml:space="preserve"> PAGEREF _Toc174536349 \h </w:instrText>
      </w:r>
      <w:r>
        <w:fldChar w:fldCharType="separate"/>
      </w:r>
      <w:r>
        <w:t>10</w:t>
      </w:r>
      <w:r>
        <w:fldChar w:fldCharType="end"/>
      </w:r>
      <w:r>
        <w:fldChar w:fldCharType="end"/>
      </w:r>
    </w:p>
    <w:p w14:paraId="6703BE23">
      <w:pPr>
        <w:pStyle w:val="17"/>
        <w:tabs>
          <w:tab w:val="left" w:pos="6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"_Toc174536350" </w:instrText>
      </w:r>
      <w:r>
        <w:fldChar w:fldCharType="separate"/>
      </w:r>
      <w:r>
        <w:rPr>
          <w:rStyle w:val="16"/>
        </w:rPr>
        <w:t>9.</w:t>
      </w:r>
      <w:r>
        <w:rPr>
          <w:rFonts w:asciiTheme="minorHAnsi" w:hAnsiTheme="minorHAnsi" w:eastAsiaTheme="minorEastAsia"/>
          <w:sz w:val="24"/>
          <w:szCs w:val="24"/>
          <w:lang w:val="es-BO" w:eastAsia="es-BO"/>
        </w:rPr>
        <w:tab/>
      </w:r>
      <w:r>
        <w:rPr>
          <w:rStyle w:val="16"/>
        </w:rPr>
        <w:t>Disponibilização e Informações do Edital</w:t>
      </w:r>
      <w:r>
        <w:tab/>
      </w:r>
      <w:r>
        <w:fldChar w:fldCharType="begin"/>
      </w:r>
      <w:r>
        <w:instrText xml:space="preserve"> PAGEREF _Toc174536350 \h </w:instrText>
      </w:r>
      <w:r>
        <w:fldChar w:fldCharType="separate"/>
      </w:r>
      <w:r>
        <w:t>11</w:t>
      </w:r>
      <w:r>
        <w:fldChar w:fldCharType="end"/>
      </w:r>
      <w:r>
        <w:fldChar w:fldCharType="end"/>
      </w:r>
    </w:p>
    <w:p w14:paraId="517F4EF1">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"_Toc174536351" </w:instrText>
      </w:r>
      <w:r>
        <w:fldChar w:fldCharType="separate"/>
      </w:r>
      <w:r>
        <w:rPr>
          <w:rStyle w:val="16"/>
        </w:rPr>
        <w:t>10.</w:t>
      </w:r>
      <w:r>
        <w:rPr>
          <w:rFonts w:asciiTheme="minorHAnsi" w:hAnsiTheme="minorHAnsi" w:eastAsiaTheme="minorEastAsia"/>
          <w:sz w:val="24"/>
          <w:szCs w:val="24"/>
          <w:lang w:val="es-BO" w:eastAsia="es-BO"/>
        </w:rPr>
        <w:tab/>
      </w:r>
      <w:r>
        <w:rPr>
          <w:rStyle w:val="16"/>
        </w:rPr>
        <w:t>Credenciamento no Provedor do Processo Eletrônico</w:t>
      </w:r>
      <w:r>
        <w:tab/>
      </w:r>
      <w:r>
        <w:fldChar w:fldCharType="begin"/>
      </w:r>
      <w:r>
        <w:instrText xml:space="preserve"> PAGEREF _Toc174536351 \h </w:instrText>
      </w:r>
      <w:r>
        <w:fldChar w:fldCharType="separate"/>
      </w:r>
      <w:r>
        <w:t>11</w:t>
      </w:r>
      <w:r>
        <w:fldChar w:fldCharType="end"/>
      </w:r>
      <w:r>
        <w:fldChar w:fldCharType="end"/>
      </w:r>
    </w:p>
    <w:p w14:paraId="3AA38E46">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"_Toc174536352" </w:instrText>
      </w:r>
      <w:r>
        <w:fldChar w:fldCharType="separate"/>
      </w:r>
      <w:r>
        <w:rPr>
          <w:rStyle w:val="16"/>
        </w:rPr>
        <w:t>11.</w:t>
      </w:r>
      <w:r>
        <w:rPr>
          <w:rFonts w:asciiTheme="minorHAnsi" w:hAnsiTheme="minorHAnsi" w:eastAsiaTheme="minorEastAsia"/>
          <w:sz w:val="24"/>
          <w:szCs w:val="24"/>
          <w:lang w:val="es-BO" w:eastAsia="es-BO"/>
        </w:rPr>
        <w:tab/>
      </w:r>
      <w:r>
        <w:rPr>
          <w:rStyle w:val="16"/>
        </w:rPr>
        <w:t xml:space="preserve"> Impugnação e Esclarecimentos sobre o Edital</w:t>
      </w:r>
      <w:r>
        <w:tab/>
      </w:r>
      <w:r>
        <w:fldChar w:fldCharType="begin"/>
      </w:r>
      <w:r>
        <w:instrText xml:space="preserve"> PAGEREF _Toc174536352 \h </w:instrText>
      </w:r>
      <w:r>
        <w:fldChar w:fldCharType="separate"/>
      </w:r>
      <w:r>
        <w:t>12</w:t>
      </w:r>
      <w:r>
        <w:fldChar w:fldCharType="end"/>
      </w:r>
      <w:r>
        <w:fldChar w:fldCharType="end"/>
      </w:r>
    </w:p>
    <w:p w14:paraId="3A5370BE">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"_Toc174536353" </w:instrText>
      </w:r>
      <w:r>
        <w:fldChar w:fldCharType="separate"/>
      </w:r>
      <w:r>
        <w:rPr>
          <w:rStyle w:val="16"/>
        </w:rPr>
        <w:t>12.</w:t>
      </w:r>
      <w:r>
        <w:rPr>
          <w:rFonts w:asciiTheme="minorHAnsi" w:hAnsiTheme="minorHAnsi" w:eastAsiaTheme="minorEastAsia"/>
          <w:sz w:val="24"/>
          <w:szCs w:val="24"/>
          <w:lang w:val="es-BO" w:eastAsia="es-BO"/>
        </w:rPr>
        <w:tab/>
      </w:r>
      <w:r>
        <w:rPr>
          <w:rStyle w:val="16"/>
        </w:rPr>
        <w:t>Adendos ao Edital</w:t>
      </w:r>
      <w:r>
        <w:tab/>
      </w:r>
      <w:r>
        <w:fldChar w:fldCharType="begin"/>
      </w:r>
      <w:r>
        <w:instrText xml:space="preserve"> PAGEREF _Toc174536353 \h </w:instrText>
      </w:r>
      <w:r>
        <w:fldChar w:fldCharType="separate"/>
      </w:r>
      <w:r>
        <w:t>13</w:t>
      </w:r>
      <w:r>
        <w:fldChar w:fldCharType="end"/>
      </w:r>
      <w:r>
        <w:fldChar w:fldCharType="end"/>
      </w:r>
    </w:p>
    <w:p w14:paraId="195B507E">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"_Toc174536354" </w:instrText>
      </w:r>
      <w:r>
        <w:fldChar w:fldCharType="separate"/>
      </w:r>
      <w:r>
        <w:rPr>
          <w:rStyle w:val="16"/>
        </w:rPr>
        <w:t>C – PREPARAÇÃO DAS PROPOSTAS</w:t>
      </w:r>
      <w:r>
        <w:tab/>
      </w:r>
      <w:r>
        <w:fldChar w:fldCharType="begin"/>
      </w:r>
      <w:r>
        <w:instrText xml:space="preserve"> PAGEREF _Toc174536354 \h </w:instrText>
      </w:r>
      <w:r>
        <w:fldChar w:fldCharType="separate"/>
      </w:r>
      <w:r>
        <w:t>13</w:t>
      </w:r>
      <w:r>
        <w:fldChar w:fldCharType="end"/>
      </w:r>
      <w:r>
        <w:fldChar w:fldCharType="end"/>
      </w:r>
    </w:p>
    <w:p w14:paraId="07DF1B44">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"_Toc174536355" </w:instrText>
      </w:r>
      <w:r>
        <w:fldChar w:fldCharType="separate"/>
      </w:r>
      <w:r>
        <w:rPr>
          <w:rStyle w:val="16"/>
        </w:rPr>
        <w:t>13.</w:t>
      </w:r>
      <w:r>
        <w:rPr>
          <w:rFonts w:asciiTheme="minorHAnsi" w:hAnsiTheme="minorHAnsi" w:eastAsiaTheme="minorEastAsia"/>
          <w:sz w:val="24"/>
          <w:szCs w:val="24"/>
          <w:lang w:val="es-BO" w:eastAsia="es-BO"/>
        </w:rPr>
        <w:tab/>
      </w:r>
      <w:r>
        <w:rPr>
          <w:rStyle w:val="16"/>
        </w:rPr>
        <w:t>Idioma da Proposta</w:t>
      </w:r>
      <w:r>
        <w:tab/>
      </w:r>
      <w:r>
        <w:fldChar w:fldCharType="begin"/>
      </w:r>
      <w:r>
        <w:instrText xml:space="preserve"> PAGEREF _Toc174536355 \h </w:instrText>
      </w:r>
      <w:r>
        <w:fldChar w:fldCharType="separate"/>
      </w:r>
      <w:r>
        <w:t>13</w:t>
      </w:r>
      <w:r>
        <w:fldChar w:fldCharType="end"/>
      </w:r>
      <w:r>
        <w:fldChar w:fldCharType="end"/>
      </w:r>
    </w:p>
    <w:p w14:paraId="66FF1ABC">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"_Toc174536356" </w:instrText>
      </w:r>
      <w:r>
        <w:fldChar w:fldCharType="separate"/>
      </w:r>
      <w:r>
        <w:rPr>
          <w:rStyle w:val="16"/>
        </w:rPr>
        <w:t>14.</w:t>
      </w:r>
      <w:r>
        <w:rPr>
          <w:rFonts w:asciiTheme="minorHAnsi" w:hAnsiTheme="minorHAnsi" w:eastAsiaTheme="minorEastAsia"/>
          <w:sz w:val="24"/>
          <w:szCs w:val="24"/>
          <w:lang w:val="es-BO" w:eastAsia="es-BO"/>
        </w:rPr>
        <w:tab/>
      </w:r>
      <w:r>
        <w:rPr>
          <w:rStyle w:val="16"/>
        </w:rPr>
        <w:t>Apresentação e Documentos que Compõem a Proposta</w:t>
      </w:r>
      <w:r>
        <w:tab/>
      </w:r>
      <w:r>
        <w:fldChar w:fldCharType="begin"/>
      </w:r>
      <w:r>
        <w:instrText xml:space="preserve"> PAGEREF _Toc174536356 \h </w:instrText>
      </w:r>
      <w:r>
        <w:fldChar w:fldCharType="separate"/>
      </w:r>
      <w:r>
        <w:t>13</w:t>
      </w:r>
      <w:r>
        <w:fldChar w:fldCharType="end"/>
      </w:r>
      <w:r>
        <w:fldChar w:fldCharType="end"/>
      </w:r>
      <w:r>
        <w:rPr>
          <w:rFonts w:hint="default"/>
          <w:lang w:val="pt-BR"/>
        </w:rPr>
        <w:t>1</w:t>
      </w:r>
    </w:p>
    <w:p w14:paraId="422A44B8">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"_Toc174536357" </w:instrText>
      </w:r>
      <w:r>
        <w:fldChar w:fldCharType="separate"/>
      </w:r>
      <w:r>
        <w:rPr>
          <w:rStyle w:val="16"/>
        </w:rPr>
        <w:t>15.</w:t>
      </w:r>
      <w:r>
        <w:rPr>
          <w:rFonts w:asciiTheme="minorHAnsi" w:hAnsiTheme="minorHAnsi" w:eastAsiaTheme="minorEastAsia"/>
          <w:sz w:val="24"/>
          <w:szCs w:val="24"/>
          <w:lang w:val="es-BO" w:eastAsia="es-BO"/>
        </w:rPr>
        <w:tab/>
      </w:r>
      <w:r>
        <w:rPr>
          <w:rStyle w:val="16"/>
        </w:rPr>
        <w:t>Preço da Proposta</w:t>
      </w:r>
      <w:r>
        <w:tab/>
      </w:r>
      <w:r>
        <w:fldChar w:fldCharType="begin"/>
      </w:r>
      <w:r>
        <w:instrText xml:space="preserve"> PAGEREF _Toc174536357 \h </w:instrText>
      </w:r>
      <w:r>
        <w:fldChar w:fldCharType="separate"/>
      </w:r>
      <w:r>
        <w:t>14</w:t>
      </w:r>
      <w:r>
        <w:fldChar w:fldCharType="end"/>
      </w:r>
      <w:r>
        <w:fldChar w:fldCharType="end"/>
      </w:r>
    </w:p>
    <w:p w14:paraId="7C5AD0A0">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"_Toc174536358" </w:instrText>
      </w:r>
      <w:r>
        <w:fldChar w:fldCharType="separate"/>
      </w:r>
      <w:r>
        <w:rPr>
          <w:rStyle w:val="16"/>
        </w:rPr>
        <w:t>16.</w:t>
      </w:r>
      <w:r>
        <w:rPr>
          <w:rFonts w:asciiTheme="minorHAnsi" w:hAnsiTheme="minorHAnsi" w:eastAsiaTheme="minorEastAsia"/>
          <w:sz w:val="24"/>
          <w:szCs w:val="24"/>
          <w:lang w:val="es-BO" w:eastAsia="es-BO"/>
        </w:rPr>
        <w:tab/>
      </w:r>
      <w:r>
        <w:rPr>
          <w:rStyle w:val="16"/>
        </w:rPr>
        <w:t>Moeda da Proposta e do Pagamento</w:t>
      </w:r>
      <w:r>
        <w:tab/>
      </w:r>
      <w:r>
        <w:fldChar w:fldCharType="begin"/>
      </w:r>
      <w:r>
        <w:instrText xml:space="preserve"> PAGEREF _Toc174536358 \h </w:instrText>
      </w:r>
      <w:r>
        <w:fldChar w:fldCharType="separate"/>
      </w:r>
      <w:r>
        <w:t>15</w:t>
      </w:r>
      <w:r>
        <w:fldChar w:fldCharType="end"/>
      </w:r>
      <w:r>
        <w:fldChar w:fldCharType="end"/>
      </w:r>
    </w:p>
    <w:p w14:paraId="05251AF6">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"_Toc174536359" </w:instrText>
      </w:r>
      <w:r>
        <w:fldChar w:fldCharType="separate"/>
      </w:r>
      <w:r>
        <w:rPr>
          <w:rStyle w:val="16"/>
        </w:rPr>
        <w:t>17.</w:t>
      </w:r>
      <w:r>
        <w:rPr>
          <w:rFonts w:asciiTheme="minorHAnsi" w:hAnsiTheme="minorHAnsi" w:eastAsiaTheme="minorEastAsia"/>
          <w:sz w:val="24"/>
          <w:szCs w:val="24"/>
          <w:lang w:val="es-BO" w:eastAsia="es-BO"/>
        </w:rPr>
        <w:tab/>
      </w:r>
      <w:r>
        <w:rPr>
          <w:rStyle w:val="16"/>
        </w:rPr>
        <w:t>Período de Validade da Proposta</w:t>
      </w:r>
      <w:r>
        <w:tab/>
      </w:r>
      <w:r>
        <w:fldChar w:fldCharType="begin"/>
      </w:r>
      <w:r>
        <w:instrText xml:space="preserve"> PAGEREF _Toc174536359 \h </w:instrText>
      </w:r>
      <w:r>
        <w:fldChar w:fldCharType="separate"/>
      </w:r>
      <w:r>
        <w:t>15</w:t>
      </w:r>
      <w:r>
        <w:fldChar w:fldCharType="end"/>
      </w:r>
      <w:r>
        <w:fldChar w:fldCharType="end"/>
      </w:r>
    </w:p>
    <w:p w14:paraId="632F9EF1">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"_Toc174536360" </w:instrText>
      </w:r>
      <w:r>
        <w:fldChar w:fldCharType="separate"/>
      </w:r>
      <w:r>
        <w:rPr>
          <w:rStyle w:val="16"/>
        </w:rPr>
        <w:t>18.</w:t>
      </w:r>
      <w:r>
        <w:rPr>
          <w:rFonts w:asciiTheme="minorHAnsi" w:hAnsiTheme="minorHAnsi" w:eastAsiaTheme="minorEastAsia"/>
          <w:sz w:val="24"/>
          <w:szCs w:val="24"/>
          <w:lang w:val="es-BO" w:eastAsia="es-BO"/>
        </w:rPr>
        <w:tab/>
      </w:r>
      <w:r>
        <w:rPr>
          <w:rStyle w:val="16"/>
        </w:rPr>
        <w:t>Declaração de Manutenção de Proposta</w:t>
      </w:r>
      <w:r>
        <w:tab/>
      </w:r>
      <w:r>
        <w:fldChar w:fldCharType="begin"/>
      </w:r>
      <w:r>
        <w:instrText xml:space="preserve"> PAGEREF _Toc174536360 \h </w:instrText>
      </w:r>
      <w:r>
        <w:fldChar w:fldCharType="separate"/>
      </w:r>
      <w:r>
        <w:t>15</w:t>
      </w:r>
      <w:r>
        <w:fldChar w:fldCharType="end"/>
      </w:r>
      <w:r>
        <w:fldChar w:fldCharType="end"/>
      </w:r>
    </w:p>
    <w:p w14:paraId="48E8804D">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"_Toc174536361" </w:instrText>
      </w:r>
      <w:r>
        <w:fldChar w:fldCharType="separate"/>
      </w:r>
      <w:r>
        <w:rPr>
          <w:rStyle w:val="16"/>
        </w:rPr>
        <w:t>19.</w:t>
      </w:r>
      <w:r>
        <w:rPr>
          <w:rFonts w:asciiTheme="minorHAnsi" w:hAnsiTheme="minorHAnsi" w:eastAsiaTheme="minorEastAsia"/>
          <w:sz w:val="24"/>
          <w:szCs w:val="24"/>
          <w:lang w:val="es-BO" w:eastAsia="es-BO"/>
        </w:rPr>
        <w:tab/>
      </w:r>
      <w:r>
        <w:rPr>
          <w:rStyle w:val="16"/>
        </w:rPr>
        <w:t>Apresentação de Propostas Alternativas</w:t>
      </w:r>
      <w:r>
        <w:tab/>
      </w:r>
      <w:r>
        <w:fldChar w:fldCharType="begin"/>
      </w:r>
      <w:r>
        <w:instrText xml:space="preserve"> PAGEREF _Toc174536361 \h </w:instrText>
      </w:r>
      <w:r>
        <w:fldChar w:fldCharType="separate"/>
      </w:r>
      <w:r>
        <w:t>16</w:t>
      </w:r>
      <w:r>
        <w:fldChar w:fldCharType="end"/>
      </w:r>
      <w:r>
        <w:fldChar w:fldCharType="end"/>
      </w:r>
    </w:p>
    <w:p w14:paraId="74338305">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"_Toc174536362" </w:instrText>
      </w:r>
      <w:r>
        <w:fldChar w:fldCharType="separate"/>
      </w:r>
      <w:r>
        <w:rPr>
          <w:rStyle w:val="16"/>
        </w:rPr>
        <w:t>20.</w:t>
      </w:r>
      <w:r>
        <w:rPr>
          <w:rFonts w:asciiTheme="minorHAnsi" w:hAnsiTheme="minorHAnsi" w:eastAsiaTheme="minorEastAsia"/>
          <w:sz w:val="24"/>
          <w:szCs w:val="24"/>
          <w:lang w:val="es-BO" w:eastAsia="es-BO"/>
        </w:rPr>
        <w:tab/>
      </w:r>
      <w:r>
        <w:rPr>
          <w:rStyle w:val="16"/>
          <w:rFonts w:hint="default" w:ascii="Times New Roman" w:hAnsi="Times New Roman"/>
          <w:lang w:val="pt-BR"/>
        </w:rPr>
        <w:t>Da Condução do Certame</w:t>
      </w:r>
      <w:r>
        <w:tab/>
      </w:r>
      <w:r>
        <w:fldChar w:fldCharType="begin"/>
      </w:r>
      <w:r>
        <w:instrText xml:space="preserve"> PAGEREF _Toc174536362 \h </w:instrText>
      </w:r>
      <w:r>
        <w:fldChar w:fldCharType="separate"/>
      </w:r>
      <w:r>
        <w:t>16</w:t>
      </w:r>
      <w:r>
        <w:fldChar w:fldCharType="end"/>
      </w:r>
      <w:r>
        <w:fldChar w:fldCharType="end"/>
      </w:r>
      <w:r>
        <w:rPr>
          <w:rFonts w:hint="default"/>
          <w:lang w:val="pt-BR"/>
        </w:rPr>
        <w:t>5</w:t>
      </w:r>
    </w:p>
    <w:p w14:paraId="19F0AE51">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"_Toc174536363" </w:instrText>
      </w:r>
      <w:r>
        <w:fldChar w:fldCharType="separate"/>
      </w:r>
      <w:r>
        <w:rPr>
          <w:rStyle w:val="16"/>
        </w:rPr>
        <w:t>D – APRESENTAÇÃO DAS PROPOSTAS</w:t>
      </w:r>
      <w:r>
        <w:tab/>
      </w:r>
      <w:r>
        <w:fldChar w:fldCharType="begin"/>
      </w:r>
      <w:r>
        <w:instrText xml:space="preserve"> PAGEREF _Toc174536363 \h </w:instrText>
      </w:r>
      <w:r>
        <w:fldChar w:fldCharType="separate"/>
      </w:r>
      <w:r>
        <w:t>18</w:t>
      </w:r>
      <w:r>
        <w:fldChar w:fldCharType="end"/>
      </w:r>
      <w:r>
        <w:fldChar w:fldCharType="end"/>
      </w:r>
    </w:p>
    <w:p w14:paraId="1EAC961F">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"_Toc174536364" </w:instrText>
      </w:r>
      <w:r>
        <w:fldChar w:fldCharType="separate"/>
      </w:r>
      <w:r>
        <w:rPr>
          <w:rStyle w:val="16"/>
        </w:rPr>
        <w:t>21.</w:t>
      </w:r>
      <w:r>
        <w:rPr>
          <w:rFonts w:asciiTheme="minorHAnsi" w:hAnsiTheme="minorHAnsi" w:eastAsiaTheme="minorEastAsia"/>
          <w:sz w:val="24"/>
          <w:szCs w:val="24"/>
          <w:lang w:val="es-BO" w:eastAsia="es-BO"/>
        </w:rPr>
        <w:tab/>
      </w:r>
      <w:r>
        <w:rPr>
          <w:rStyle w:val="16"/>
        </w:rPr>
        <w:t>Apresentação e Envio das Propostas</w:t>
      </w:r>
      <w:r>
        <w:tab/>
      </w:r>
      <w:r>
        <w:fldChar w:fldCharType="begin"/>
      </w:r>
      <w:r>
        <w:instrText xml:space="preserve"> PAGEREF _Toc174536364 \h </w:instrText>
      </w:r>
      <w:r>
        <w:fldChar w:fldCharType="separate"/>
      </w:r>
      <w:r>
        <w:t>18</w:t>
      </w:r>
      <w:r>
        <w:fldChar w:fldCharType="end"/>
      </w:r>
      <w:r>
        <w:fldChar w:fldCharType="end"/>
      </w:r>
      <w:r>
        <w:rPr>
          <w:rFonts w:hint="default"/>
          <w:lang w:val="pt-BR"/>
        </w:rPr>
        <w:t>5</w:t>
      </w:r>
    </w:p>
    <w:p w14:paraId="5952BA98">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"_Toc174536365" </w:instrText>
      </w:r>
      <w:r>
        <w:fldChar w:fldCharType="separate"/>
      </w:r>
      <w:r>
        <w:rPr>
          <w:rStyle w:val="16"/>
        </w:rPr>
        <w:t>22.</w:t>
      </w:r>
      <w:r>
        <w:rPr>
          <w:rFonts w:asciiTheme="minorHAnsi" w:hAnsiTheme="minorHAnsi" w:eastAsiaTheme="minorEastAsia"/>
          <w:sz w:val="24"/>
          <w:szCs w:val="24"/>
          <w:lang w:val="es-BO" w:eastAsia="es-BO"/>
        </w:rPr>
        <w:tab/>
      </w:r>
      <w:r>
        <w:rPr>
          <w:rStyle w:val="16"/>
        </w:rPr>
        <w:t>Prazo para Apresentação das Propostas</w:t>
      </w:r>
      <w:r>
        <w:tab/>
      </w:r>
      <w:r>
        <w:fldChar w:fldCharType="begin"/>
      </w:r>
      <w:r>
        <w:instrText xml:space="preserve"> PAGEREF _Toc174536365 \h </w:instrText>
      </w:r>
      <w:r>
        <w:fldChar w:fldCharType="separate"/>
      </w:r>
      <w:r>
        <w:t>19</w:t>
      </w:r>
      <w:r>
        <w:fldChar w:fldCharType="end"/>
      </w:r>
      <w:r>
        <w:fldChar w:fldCharType="end"/>
      </w:r>
    </w:p>
    <w:p w14:paraId="50CF32A1">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"_Toc174536366" </w:instrText>
      </w:r>
      <w:r>
        <w:fldChar w:fldCharType="separate"/>
      </w:r>
      <w:r>
        <w:rPr>
          <w:rStyle w:val="16"/>
        </w:rPr>
        <w:t>23.</w:t>
      </w:r>
      <w:r>
        <w:rPr>
          <w:rFonts w:asciiTheme="minorHAnsi" w:hAnsiTheme="minorHAnsi" w:eastAsiaTheme="minorEastAsia"/>
          <w:sz w:val="24"/>
          <w:szCs w:val="24"/>
          <w:lang w:val="es-BO" w:eastAsia="es-BO"/>
        </w:rPr>
        <w:tab/>
      </w:r>
      <w:r>
        <w:rPr>
          <w:rStyle w:val="16"/>
        </w:rPr>
        <w:t>Critério de Julgamento e Modo de Disputa</w:t>
      </w:r>
      <w:r>
        <w:tab/>
      </w:r>
      <w:r>
        <w:fldChar w:fldCharType="begin"/>
      </w:r>
      <w:r>
        <w:instrText xml:space="preserve"> PAGEREF _Toc174536366 \h </w:instrText>
      </w:r>
      <w:r>
        <w:fldChar w:fldCharType="separate"/>
      </w:r>
      <w:r>
        <w:t>19</w:t>
      </w:r>
      <w:r>
        <w:fldChar w:fldCharType="end"/>
      </w:r>
      <w:r>
        <w:fldChar w:fldCharType="end"/>
      </w:r>
      <w:r>
        <w:rPr>
          <w:rFonts w:hint="default"/>
          <w:lang w:val="pt-BR"/>
        </w:rPr>
        <w:t>7</w:t>
      </w:r>
    </w:p>
    <w:p w14:paraId="4D2A09E8">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"_Toc174536367" </w:instrText>
      </w:r>
      <w:r>
        <w:fldChar w:fldCharType="separate"/>
      </w:r>
      <w:r>
        <w:rPr>
          <w:rStyle w:val="16"/>
        </w:rPr>
        <w:t>24.</w:t>
      </w:r>
      <w:r>
        <w:rPr>
          <w:rFonts w:asciiTheme="minorHAnsi" w:hAnsiTheme="minorHAnsi" w:eastAsiaTheme="minorEastAsia"/>
          <w:sz w:val="24"/>
          <w:szCs w:val="24"/>
          <w:lang w:val="es-BO" w:eastAsia="es-BO"/>
        </w:rPr>
        <w:tab/>
      </w:r>
      <w:r>
        <w:rPr>
          <w:rStyle w:val="16"/>
        </w:rPr>
        <w:t>Propostas Entregues com Atraso</w:t>
      </w:r>
      <w:r>
        <w:tab/>
      </w:r>
      <w:r>
        <w:fldChar w:fldCharType="begin"/>
      </w:r>
      <w:r>
        <w:instrText xml:space="preserve"> PAGEREF _Toc174536367 \h </w:instrText>
      </w:r>
      <w:r>
        <w:fldChar w:fldCharType="separate"/>
      </w:r>
      <w:r>
        <w:t>20</w:t>
      </w:r>
      <w:r>
        <w:fldChar w:fldCharType="end"/>
      </w:r>
      <w:r>
        <w:fldChar w:fldCharType="end"/>
      </w:r>
      <w:r>
        <w:rPr>
          <w:rFonts w:hint="default"/>
          <w:lang w:val="pt-BR"/>
        </w:rPr>
        <w:t>7</w:t>
      </w:r>
    </w:p>
    <w:p w14:paraId="0A7A46D8">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"_Toc174536368" </w:instrText>
      </w:r>
      <w:r>
        <w:fldChar w:fldCharType="separate"/>
      </w:r>
      <w:r>
        <w:rPr>
          <w:rStyle w:val="16"/>
        </w:rPr>
        <w:t>25.</w:t>
      </w:r>
      <w:r>
        <w:rPr>
          <w:rFonts w:asciiTheme="minorHAnsi" w:hAnsiTheme="minorHAnsi" w:eastAsiaTheme="minorEastAsia"/>
          <w:sz w:val="24"/>
          <w:szCs w:val="24"/>
          <w:lang w:val="es-BO" w:eastAsia="es-BO"/>
        </w:rPr>
        <w:tab/>
      </w:r>
      <w:r>
        <w:rPr>
          <w:rStyle w:val="16"/>
          <w:rFonts w:hint="default"/>
        </w:rPr>
        <w:t>Retirada, Modificação e Substituição de Propostas</w:t>
      </w:r>
      <w:r>
        <w:tab/>
      </w:r>
      <w:r>
        <w:fldChar w:fldCharType="begin"/>
      </w:r>
      <w:r>
        <w:instrText xml:space="preserve"> PAGEREF _Toc174536368 \h </w:instrText>
      </w:r>
      <w:r>
        <w:fldChar w:fldCharType="separate"/>
      </w:r>
      <w:r>
        <w:t>20</w:t>
      </w:r>
      <w:r>
        <w:fldChar w:fldCharType="end"/>
      </w:r>
      <w:r>
        <w:fldChar w:fldCharType="end"/>
      </w:r>
      <w:r>
        <w:rPr>
          <w:rFonts w:hint="default"/>
          <w:lang w:val="pt-BR"/>
        </w:rPr>
        <w:t>7</w:t>
      </w:r>
    </w:p>
    <w:p w14:paraId="0513EECA">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"_Toc174536369" </w:instrText>
      </w:r>
      <w:r>
        <w:fldChar w:fldCharType="separate"/>
      </w:r>
      <w:r>
        <w:rPr>
          <w:rStyle w:val="16"/>
        </w:rPr>
        <w:t>26.</w:t>
      </w:r>
      <w:r>
        <w:rPr>
          <w:rFonts w:asciiTheme="minorHAnsi" w:hAnsiTheme="minorHAnsi" w:eastAsiaTheme="minorEastAsia"/>
          <w:sz w:val="24"/>
          <w:szCs w:val="24"/>
          <w:lang w:val="es-BO" w:eastAsia="es-BO"/>
        </w:rPr>
        <w:tab/>
      </w:r>
      <w:r>
        <w:rPr>
          <w:rStyle w:val="16"/>
        </w:rPr>
        <w:t>Envio de Documentos Complementares</w:t>
      </w:r>
      <w:r>
        <w:tab/>
      </w:r>
      <w:r>
        <w:fldChar w:fldCharType="begin"/>
      </w:r>
      <w:r>
        <w:instrText xml:space="preserve"> PAGEREF _Toc174536369 \h </w:instrText>
      </w:r>
      <w:r>
        <w:fldChar w:fldCharType="separate"/>
      </w:r>
      <w:r>
        <w:t>21</w:t>
      </w:r>
      <w:r>
        <w:fldChar w:fldCharType="end"/>
      </w:r>
      <w:r>
        <w:fldChar w:fldCharType="end"/>
      </w:r>
      <w:r>
        <w:rPr>
          <w:rFonts w:hint="default"/>
          <w:lang w:val="pt-BR"/>
        </w:rPr>
        <w:t>8</w:t>
      </w:r>
    </w:p>
    <w:p w14:paraId="35FAC691">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"_Toc174536370" </w:instrText>
      </w:r>
      <w:r>
        <w:fldChar w:fldCharType="separate"/>
      </w:r>
      <w:r>
        <w:rPr>
          <w:rStyle w:val="16"/>
        </w:rPr>
        <w:t>E - ABERTURA E AVALIAÇÃO DAS PROPOSTAS</w:t>
      </w:r>
      <w:r>
        <w:tab/>
      </w:r>
      <w:r>
        <w:fldChar w:fldCharType="begin"/>
      </w:r>
      <w:r>
        <w:instrText xml:space="preserve"> PAGEREF _Toc174536370 \h </w:instrText>
      </w:r>
      <w:r>
        <w:fldChar w:fldCharType="separate"/>
      </w:r>
      <w:r>
        <w:t>23</w:t>
      </w:r>
      <w:r>
        <w:fldChar w:fldCharType="end"/>
      </w:r>
      <w:r>
        <w:fldChar w:fldCharType="end"/>
      </w:r>
    </w:p>
    <w:p w14:paraId="15AE339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"_Toc174536371" </w:instrText>
      </w:r>
      <w:r>
        <w:fldChar w:fldCharType="separate"/>
      </w:r>
      <w:r>
        <w:rPr>
          <w:rStyle w:val="16"/>
        </w:rPr>
        <w:t>27.</w:t>
      </w:r>
      <w:r>
        <w:rPr>
          <w:rFonts w:asciiTheme="minorHAnsi" w:hAnsiTheme="minorHAnsi" w:eastAsiaTheme="minorEastAsia"/>
          <w:sz w:val="24"/>
          <w:szCs w:val="24"/>
          <w:lang w:val="es-BO" w:eastAsia="es-BO"/>
        </w:rPr>
        <w:tab/>
      </w:r>
      <w:r>
        <w:rPr>
          <w:rStyle w:val="16"/>
        </w:rPr>
        <w:t>Abertura e Avaliação das Propostas</w:t>
      </w:r>
      <w:r>
        <w:tab/>
      </w:r>
      <w:r>
        <w:fldChar w:fldCharType="begin"/>
      </w:r>
      <w:r>
        <w:instrText xml:space="preserve"> PAGEREF _Toc174536371 \h </w:instrText>
      </w:r>
      <w:r>
        <w:fldChar w:fldCharType="separate"/>
      </w:r>
      <w:r>
        <w:t>23</w:t>
      </w:r>
      <w:r>
        <w:fldChar w:fldCharType="end"/>
      </w:r>
      <w:r>
        <w:fldChar w:fldCharType="end"/>
      </w:r>
    </w:p>
    <w:p w14:paraId="0A8B5766">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"_Toc174536372" </w:instrText>
      </w:r>
      <w:r>
        <w:fldChar w:fldCharType="separate"/>
      </w:r>
      <w:r>
        <w:rPr>
          <w:rStyle w:val="16"/>
        </w:rPr>
        <w:t>28.</w:t>
      </w:r>
      <w:r>
        <w:rPr>
          <w:rFonts w:asciiTheme="minorHAnsi" w:hAnsiTheme="minorHAnsi" w:eastAsiaTheme="minorEastAsia"/>
          <w:sz w:val="24"/>
          <w:szCs w:val="24"/>
          <w:lang w:val="es-BO" w:eastAsia="es-BO"/>
        </w:rPr>
        <w:tab/>
      </w:r>
      <w:r>
        <w:rPr>
          <w:rStyle w:val="16"/>
        </w:rPr>
        <w:t>Esclarecimentos das Propostas e Contato com o Contratante</w:t>
      </w:r>
      <w:r>
        <w:tab/>
      </w:r>
      <w:r>
        <w:fldChar w:fldCharType="begin"/>
      </w:r>
      <w:r>
        <w:instrText xml:space="preserve"> PAGEREF _Toc174536372 \h </w:instrText>
      </w:r>
      <w:r>
        <w:fldChar w:fldCharType="separate"/>
      </w:r>
      <w:r>
        <w:t>25</w:t>
      </w:r>
      <w:r>
        <w:fldChar w:fldCharType="end"/>
      </w:r>
      <w:r>
        <w:fldChar w:fldCharType="end"/>
      </w:r>
      <w:r>
        <w:rPr>
          <w:rFonts w:hint="default"/>
          <w:lang w:val="pt-BR"/>
        </w:rPr>
        <w:t>0</w:t>
      </w:r>
    </w:p>
    <w:p w14:paraId="74F32166">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"_Toc174536373" </w:instrText>
      </w:r>
      <w:r>
        <w:fldChar w:fldCharType="separate"/>
      </w:r>
      <w:r>
        <w:rPr>
          <w:rStyle w:val="16"/>
        </w:rPr>
        <w:t>29.</w:t>
      </w:r>
      <w:r>
        <w:rPr>
          <w:rFonts w:asciiTheme="minorHAnsi" w:hAnsiTheme="minorHAnsi" w:eastAsiaTheme="minorEastAsia"/>
          <w:sz w:val="24"/>
          <w:szCs w:val="24"/>
          <w:lang w:val="es-BO" w:eastAsia="es-BO"/>
        </w:rPr>
        <w:tab/>
      </w:r>
      <w:r>
        <w:rPr>
          <w:rStyle w:val="16"/>
        </w:rPr>
        <w:t>Análise Preliminar e Determinação de Adequação</w:t>
      </w:r>
      <w:r>
        <w:tab/>
      </w:r>
      <w:r>
        <w:fldChar w:fldCharType="begin"/>
      </w:r>
      <w:r>
        <w:instrText xml:space="preserve"> PAGEREF _Toc174536373 \h </w:instrText>
      </w:r>
      <w:r>
        <w:fldChar w:fldCharType="separate"/>
      </w:r>
      <w:r>
        <w:t>25</w:t>
      </w:r>
      <w:r>
        <w:fldChar w:fldCharType="end"/>
      </w:r>
      <w:r>
        <w:fldChar w:fldCharType="end"/>
      </w:r>
    </w:p>
    <w:p w14:paraId="2DC78376">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"_Toc174536374" </w:instrText>
      </w:r>
      <w:r>
        <w:fldChar w:fldCharType="separate"/>
      </w:r>
      <w:r>
        <w:rPr>
          <w:rStyle w:val="16"/>
        </w:rPr>
        <w:t>30.</w:t>
      </w:r>
      <w:r>
        <w:rPr>
          <w:rFonts w:asciiTheme="minorHAnsi" w:hAnsiTheme="minorHAnsi" w:eastAsiaTheme="minorEastAsia"/>
          <w:sz w:val="24"/>
          <w:szCs w:val="24"/>
          <w:lang w:val="es-BO" w:eastAsia="es-BO"/>
        </w:rPr>
        <w:tab/>
      </w:r>
      <w:r>
        <w:rPr>
          <w:rStyle w:val="16"/>
        </w:rPr>
        <w:t>Correção de Erros</w:t>
      </w:r>
      <w:r>
        <w:tab/>
      </w:r>
      <w:r>
        <w:fldChar w:fldCharType="begin"/>
      </w:r>
      <w:r>
        <w:instrText xml:space="preserve"> PAGEREF _Toc174536374 \h </w:instrText>
      </w:r>
      <w:r>
        <w:fldChar w:fldCharType="separate"/>
      </w:r>
      <w:r>
        <w:t>26</w:t>
      </w:r>
      <w:r>
        <w:fldChar w:fldCharType="end"/>
      </w:r>
      <w:r>
        <w:fldChar w:fldCharType="end"/>
      </w:r>
    </w:p>
    <w:p w14:paraId="3ACC0186">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"_Toc174536375" </w:instrText>
      </w:r>
      <w:r>
        <w:fldChar w:fldCharType="separate"/>
      </w:r>
      <w:r>
        <w:rPr>
          <w:rStyle w:val="16"/>
        </w:rPr>
        <w:t>31.</w:t>
      </w:r>
      <w:r>
        <w:rPr>
          <w:rFonts w:asciiTheme="minorHAnsi" w:hAnsiTheme="minorHAnsi" w:eastAsiaTheme="minorEastAsia"/>
          <w:sz w:val="24"/>
          <w:szCs w:val="24"/>
          <w:lang w:val="es-BO" w:eastAsia="es-BO"/>
        </w:rPr>
        <w:tab/>
      </w:r>
      <w:r>
        <w:rPr>
          <w:rStyle w:val="16"/>
        </w:rPr>
        <w:t>Moeda de Avaliação da Proposta</w:t>
      </w:r>
      <w:r>
        <w:tab/>
      </w:r>
      <w:r>
        <w:fldChar w:fldCharType="begin"/>
      </w:r>
      <w:r>
        <w:instrText xml:space="preserve"> PAGEREF _Toc174536375 \h </w:instrText>
      </w:r>
      <w:r>
        <w:fldChar w:fldCharType="separate"/>
      </w:r>
      <w:r>
        <w:t>26</w:t>
      </w:r>
      <w:r>
        <w:fldChar w:fldCharType="end"/>
      </w:r>
      <w:r>
        <w:fldChar w:fldCharType="end"/>
      </w:r>
      <w:r>
        <w:rPr>
          <w:rFonts w:hint="default"/>
          <w:lang w:val="pt-BR"/>
        </w:rPr>
        <w:t>2</w:t>
      </w:r>
    </w:p>
    <w:p w14:paraId="672B1979">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"_Toc174536376" </w:instrText>
      </w:r>
      <w:r>
        <w:fldChar w:fldCharType="separate"/>
      </w:r>
      <w:r>
        <w:rPr>
          <w:rStyle w:val="16"/>
        </w:rPr>
        <w:t>32.</w:t>
      </w:r>
      <w:r>
        <w:rPr>
          <w:rFonts w:asciiTheme="minorHAnsi" w:hAnsiTheme="minorHAnsi" w:eastAsiaTheme="minorEastAsia"/>
          <w:sz w:val="24"/>
          <w:szCs w:val="24"/>
          <w:lang w:val="es-BO" w:eastAsia="es-BO"/>
        </w:rPr>
        <w:tab/>
      </w:r>
      <w:r>
        <w:rPr>
          <w:rStyle w:val="16"/>
        </w:rPr>
        <w:t>Avaliação e Comparação das Propostas</w:t>
      </w:r>
      <w:r>
        <w:tab/>
      </w:r>
      <w:r>
        <w:fldChar w:fldCharType="begin"/>
      </w:r>
      <w:r>
        <w:instrText xml:space="preserve"> PAGEREF _Toc174536376 \h </w:instrText>
      </w:r>
      <w:r>
        <w:fldChar w:fldCharType="separate"/>
      </w:r>
      <w:r>
        <w:t>26</w:t>
      </w:r>
      <w:r>
        <w:fldChar w:fldCharType="end"/>
      </w:r>
      <w:r>
        <w:fldChar w:fldCharType="end"/>
      </w:r>
      <w:r>
        <w:rPr>
          <w:rFonts w:hint="default"/>
          <w:lang w:val="pt-BR"/>
        </w:rPr>
        <w:t>2</w:t>
      </w:r>
    </w:p>
    <w:p w14:paraId="70CDFD30">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"_Toc174536377" </w:instrText>
      </w:r>
      <w:r>
        <w:fldChar w:fldCharType="separate"/>
      </w:r>
      <w:r>
        <w:rPr>
          <w:rStyle w:val="16"/>
        </w:rPr>
        <w:t>33.</w:t>
      </w:r>
      <w:r>
        <w:rPr>
          <w:rFonts w:asciiTheme="minorHAnsi" w:hAnsiTheme="minorHAnsi" w:eastAsiaTheme="minorEastAsia"/>
          <w:sz w:val="24"/>
          <w:szCs w:val="24"/>
          <w:lang w:val="es-BO" w:eastAsia="es-BO"/>
        </w:rPr>
        <w:tab/>
      </w:r>
      <w:r>
        <w:rPr>
          <w:rStyle w:val="16"/>
        </w:rPr>
        <w:t>Subcontratação</w:t>
      </w:r>
      <w:r>
        <w:tab/>
      </w:r>
      <w:r>
        <w:fldChar w:fldCharType="begin"/>
      </w:r>
      <w:r>
        <w:instrText xml:space="preserve"> PAGEREF _Toc174536377 \h </w:instrText>
      </w:r>
      <w:r>
        <w:fldChar w:fldCharType="separate"/>
      </w:r>
      <w:r>
        <w:t>29</w:t>
      </w:r>
      <w:r>
        <w:fldChar w:fldCharType="end"/>
      </w:r>
      <w:r>
        <w:fldChar w:fldCharType="end"/>
      </w:r>
    </w:p>
    <w:p w14:paraId="799CC8EF">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"_Toc174536378" </w:instrText>
      </w:r>
      <w:r>
        <w:fldChar w:fldCharType="separate"/>
      </w:r>
      <w:r>
        <w:rPr>
          <w:rStyle w:val="16"/>
        </w:rPr>
        <w:t>F – ADJUDICAÇÃO DO CONTRATO</w:t>
      </w:r>
      <w:r>
        <w:tab/>
      </w:r>
      <w:r>
        <w:fldChar w:fldCharType="begin"/>
      </w:r>
      <w:r>
        <w:instrText xml:space="preserve"> PAGEREF _Toc174536378 \h </w:instrText>
      </w:r>
      <w:r>
        <w:fldChar w:fldCharType="separate"/>
      </w:r>
      <w:r>
        <w:t>29</w:t>
      </w:r>
      <w:r>
        <w:fldChar w:fldCharType="end"/>
      </w:r>
      <w:r>
        <w:fldChar w:fldCharType="end"/>
      </w:r>
    </w:p>
    <w:p w14:paraId="01CEA6AE">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"_Toc174536379" </w:instrText>
      </w:r>
      <w:r>
        <w:fldChar w:fldCharType="separate"/>
      </w:r>
      <w:r>
        <w:rPr>
          <w:rStyle w:val="16"/>
        </w:rPr>
        <w:t>34.</w:t>
      </w:r>
      <w:r>
        <w:rPr>
          <w:rFonts w:asciiTheme="minorHAnsi" w:hAnsiTheme="minorHAnsi" w:eastAsiaTheme="minorEastAsia"/>
          <w:sz w:val="24"/>
          <w:szCs w:val="24"/>
          <w:lang w:val="es-BO" w:eastAsia="es-BO"/>
        </w:rPr>
        <w:tab/>
      </w:r>
      <w:r>
        <w:rPr>
          <w:rStyle w:val="16"/>
        </w:rPr>
        <w:t>Direito do Contratante de Aceitar qualquer Proposta e de Rejeitar qualquer uma ou todas as Propostas</w:t>
      </w:r>
      <w:r>
        <w:tab/>
      </w:r>
      <w:r>
        <w:fldChar w:fldCharType="begin"/>
      </w:r>
      <w:r>
        <w:instrText xml:space="preserve"> PAGEREF _Toc174536379 \h </w:instrText>
      </w:r>
      <w:r>
        <w:fldChar w:fldCharType="separate"/>
      </w:r>
      <w:r>
        <w:t>29</w:t>
      </w:r>
      <w:r>
        <w:fldChar w:fldCharType="end"/>
      </w:r>
      <w:r>
        <w:fldChar w:fldCharType="end"/>
      </w:r>
    </w:p>
    <w:p w14:paraId="2AC448CC">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"_Toc174536380" </w:instrText>
      </w:r>
      <w:r>
        <w:fldChar w:fldCharType="separate"/>
      </w:r>
      <w:r>
        <w:rPr>
          <w:rStyle w:val="16"/>
        </w:rPr>
        <w:t>35.</w:t>
      </w:r>
      <w:r>
        <w:rPr>
          <w:rFonts w:asciiTheme="minorHAnsi" w:hAnsiTheme="minorHAnsi" w:eastAsiaTheme="minorEastAsia"/>
          <w:sz w:val="24"/>
          <w:szCs w:val="24"/>
          <w:lang w:val="es-BO" w:eastAsia="es-BO"/>
        </w:rPr>
        <w:tab/>
      </w:r>
      <w:r>
        <w:rPr>
          <w:rStyle w:val="16"/>
        </w:rPr>
        <w:t>Critério para Adjudicação</w:t>
      </w:r>
      <w:r>
        <w:rPr>
          <w:rStyle w:val="16"/>
          <w:rFonts w:hint="default"/>
          <w:lang w:val="pt-BR"/>
        </w:rPr>
        <w:t xml:space="preserve"> e Homologação</w:t>
      </w:r>
      <w:r>
        <w:tab/>
      </w:r>
      <w:r>
        <w:fldChar w:fldCharType="begin"/>
      </w:r>
      <w:r>
        <w:instrText xml:space="preserve"> PAGEREF _Toc174536380 \h </w:instrText>
      </w:r>
      <w:r>
        <w:fldChar w:fldCharType="separate"/>
      </w:r>
      <w:r>
        <w:t>29</w:t>
      </w:r>
      <w:r>
        <w:fldChar w:fldCharType="end"/>
      </w:r>
      <w:r>
        <w:fldChar w:fldCharType="end"/>
      </w:r>
      <w:r>
        <w:rPr>
          <w:rFonts w:hint="default"/>
          <w:lang w:val="pt-BR"/>
        </w:rPr>
        <w:t>5</w:t>
      </w:r>
    </w:p>
    <w:p w14:paraId="752F9C57">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"_Toc174536381" </w:instrText>
      </w:r>
      <w:r>
        <w:fldChar w:fldCharType="separate"/>
      </w:r>
      <w:r>
        <w:rPr>
          <w:rStyle w:val="16"/>
        </w:rPr>
        <w:t>36.</w:t>
      </w:r>
      <w:r>
        <w:rPr>
          <w:rFonts w:asciiTheme="minorHAnsi" w:hAnsiTheme="minorHAnsi" w:eastAsiaTheme="minorEastAsia"/>
          <w:sz w:val="24"/>
          <w:szCs w:val="24"/>
          <w:lang w:val="es-BO" w:eastAsia="es-BO"/>
        </w:rPr>
        <w:tab/>
      </w:r>
      <w:r>
        <w:rPr>
          <w:rStyle w:val="16"/>
        </w:rPr>
        <w:t>Carta de Aceitação</w:t>
      </w:r>
      <w:r>
        <w:tab/>
      </w:r>
      <w:r>
        <w:fldChar w:fldCharType="begin"/>
      </w:r>
      <w:r>
        <w:instrText xml:space="preserve"> PAGEREF _Toc174536381 \h </w:instrText>
      </w:r>
      <w:r>
        <w:fldChar w:fldCharType="separate"/>
      </w:r>
      <w:r>
        <w:t>31</w:t>
      </w:r>
      <w:r>
        <w:fldChar w:fldCharType="end"/>
      </w:r>
      <w:r>
        <w:fldChar w:fldCharType="end"/>
      </w:r>
      <w:r>
        <w:rPr>
          <w:rFonts w:hint="default"/>
          <w:lang w:val="pt-BR"/>
        </w:rPr>
        <w:t>6</w:t>
      </w:r>
    </w:p>
    <w:p w14:paraId="4B94C4C2">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"_Toc174536382" </w:instrText>
      </w:r>
      <w:r>
        <w:fldChar w:fldCharType="separate"/>
      </w:r>
      <w:r>
        <w:rPr>
          <w:rStyle w:val="16"/>
        </w:rPr>
        <w:t>37.</w:t>
      </w:r>
      <w:r>
        <w:rPr>
          <w:rFonts w:asciiTheme="minorHAnsi" w:hAnsiTheme="minorHAnsi" w:eastAsiaTheme="minorEastAsia"/>
          <w:sz w:val="24"/>
          <w:szCs w:val="24"/>
          <w:lang w:val="es-BO" w:eastAsia="es-BO"/>
        </w:rPr>
        <w:tab/>
      </w:r>
      <w:r>
        <w:rPr>
          <w:rStyle w:val="16"/>
        </w:rPr>
        <w:t>Assinatura do Contrato</w:t>
      </w:r>
      <w:r>
        <w:tab/>
      </w:r>
      <w:r>
        <w:fldChar w:fldCharType="begin"/>
      </w:r>
      <w:r>
        <w:instrText xml:space="preserve"> PAGEREF _Toc174536382 \h </w:instrText>
      </w:r>
      <w:r>
        <w:fldChar w:fldCharType="separate"/>
      </w:r>
      <w:r>
        <w:t>31</w:t>
      </w:r>
      <w:r>
        <w:fldChar w:fldCharType="end"/>
      </w:r>
      <w:r>
        <w:fldChar w:fldCharType="end"/>
      </w:r>
      <w:r>
        <w:rPr>
          <w:rFonts w:hint="default"/>
          <w:lang w:val="pt-BR"/>
        </w:rPr>
        <w:t>6</w:t>
      </w:r>
    </w:p>
    <w:p w14:paraId="5DD23BBB">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"_Toc174536383" </w:instrText>
      </w:r>
      <w:r>
        <w:fldChar w:fldCharType="separate"/>
      </w:r>
      <w:r>
        <w:rPr>
          <w:rStyle w:val="16"/>
        </w:rPr>
        <w:t>38.</w:t>
      </w:r>
      <w:r>
        <w:rPr>
          <w:rFonts w:asciiTheme="minorHAnsi" w:hAnsiTheme="minorHAnsi" w:eastAsiaTheme="minorEastAsia"/>
          <w:sz w:val="24"/>
          <w:szCs w:val="24"/>
          <w:lang w:val="es-BO" w:eastAsia="es-BO"/>
        </w:rPr>
        <w:tab/>
      </w:r>
      <w:r>
        <w:rPr>
          <w:rStyle w:val="16"/>
        </w:rPr>
        <w:t>Garantia de Execução</w:t>
      </w:r>
      <w:r>
        <w:tab/>
      </w:r>
      <w:r>
        <w:fldChar w:fldCharType="begin"/>
      </w:r>
      <w:r>
        <w:instrText xml:space="preserve"> PAGEREF _Toc174536383 \h </w:instrText>
      </w:r>
      <w:r>
        <w:fldChar w:fldCharType="separate"/>
      </w:r>
      <w:r>
        <w:t>31</w:t>
      </w:r>
      <w:r>
        <w:fldChar w:fldCharType="end"/>
      </w:r>
      <w:r>
        <w:fldChar w:fldCharType="end"/>
      </w:r>
      <w:r>
        <w:rPr>
          <w:rFonts w:hint="default"/>
          <w:lang w:val="pt-BR"/>
        </w:rPr>
        <w:t>6</w:t>
      </w:r>
    </w:p>
    <w:p w14:paraId="5B5E0DB8">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"_Toc174536384" </w:instrText>
      </w:r>
      <w:r>
        <w:fldChar w:fldCharType="separate"/>
      </w:r>
      <w:r>
        <w:rPr>
          <w:rStyle w:val="16"/>
        </w:rPr>
        <w:t>39.</w:t>
      </w:r>
      <w:r>
        <w:rPr>
          <w:rFonts w:asciiTheme="minorHAnsi" w:hAnsiTheme="minorHAnsi" w:eastAsiaTheme="minorEastAsia"/>
          <w:sz w:val="24"/>
          <w:szCs w:val="24"/>
          <w:lang w:val="es-BO" w:eastAsia="es-BO"/>
        </w:rPr>
        <w:tab/>
      </w:r>
      <w:r>
        <w:rPr>
          <w:rStyle w:val="16"/>
        </w:rPr>
        <w:t>Publicação da Adjudicação</w:t>
      </w:r>
      <w:r>
        <w:tab/>
      </w:r>
      <w:r>
        <w:fldChar w:fldCharType="begin"/>
      </w:r>
      <w:r>
        <w:instrText xml:space="preserve"> PAGEREF _Toc174536384 \h </w:instrText>
      </w:r>
      <w:r>
        <w:fldChar w:fldCharType="separate"/>
      </w:r>
      <w:r>
        <w:t>32</w:t>
      </w:r>
      <w:r>
        <w:fldChar w:fldCharType="end"/>
      </w:r>
      <w:r>
        <w:fldChar w:fldCharType="end"/>
      </w:r>
      <w:r>
        <w:rPr>
          <w:rFonts w:hint="default"/>
          <w:lang w:val="pt-BR"/>
        </w:rPr>
        <w:t>7</w:t>
      </w:r>
    </w:p>
    <w:p w14:paraId="4D173FA5">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"_Toc174536385" </w:instrText>
      </w:r>
      <w:r>
        <w:fldChar w:fldCharType="separate"/>
      </w:r>
      <w:r>
        <w:rPr>
          <w:rStyle w:val="16"/>
        </w:rPr>
        <w:t>40.</w:t>
      </w:r>
      <w:r>
        <w:rPr>
          <w:rFonts w:asciiTheme="minorHAnsi" w:hAnsiTheme="minorHAnsi" w:eastAsiaTheme="minorEastAsia"/>
          <w:sz w:val="24"/>
          <w:szCs w:val="24"/>
          <w:lang w:val="es-BO" w:eastAsia="es-BO"/>
        </w:rPr>
        <w:tab/>
      </w:r>
      <w:r>
        <w:rPr>
          <w:rStyle w:val="16"/>
        </w:rPr>
        <w:t>Recursos Administrativos</w:t>
      </w:r>
      <w:r>
        <w:tab/>
      </w:r>
      <w:r>
        <w:fldChar w:fldCharType="begin"/>
      </w:r>
      <w:r>
        <w:instrText xml:space="preserve"> PAGEREF _Toc174536385 \h </w:instrText>
      </w:r>
      <w:r>
        <w:fldChar w:fldCharType="separate"/>
      </w:r>
      <w:r>
        <w:t>32</w:t>
      </w:r>
      <w:r>
        <w:fldChar w:fldCharType="end"/>
      </w:r>
      <w:r>
        <w:fldChar w:fldCharType="end"/>
      </w:r>
      <w:r>
        <w:rPr>
          <w:rFonts w:hint="default"/>
          <w:lang w:val="pt-BR"/>
        </w:rPr>
        <w:t>7</w:t>
      </w:r>
    </w:p>
    <w:p w14:paraId="2128D516">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"_Toc174536386" </w:instrText>
      </w:r>
      <w:r>
        <w:fldChar w:fldCharType="separate"/>
      </w:r>
      <w:r>
        <w:rPr>
          <w:rStyle w:val="16"/>
        </w:rPr>
        <w:t>G – PRÁTICAS PROIBIDAS</w:t>
      </w:r>
      <w:r>
        <w:tab/>
      </w:r>
      <w:r>
        <w:fldChar w:fldCharType="begin"/>
      </w:r>
      <w:r>
        <w:instrText xml:space="preserve"> PAGEREF _Toc174536386 \h </w:instrText>
      </w:r>
      <w:r>
        <w:fldChar w:fldCharType="separate"/>
      </w:r>
      <w:r>
        <w:t>32</w:t>
      </w:r>
      <w:r>
        <w:fldChar w:fldCharType="end"/>
      </w:r>
      <w:r>
        <w:fldChar w:fldCharType="end"/>
      </w:r>
      <w:r>
        <w:rPr>
          <w:rFonts w:hint="default"/>
          <w:lang w:val="pt-BR"/>
        </w:rPr>
        <w:t>8</w:t>
      </w:r>
    </w:p>
    <w:p w14:paraId="368C6D5A">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"_Toc174536387" </w:instrText>
      </w:r>
      <w:r>
        <w:fldChar w:fldCharType="separate"/>
      </w:r>
      <w:r>
        <w:rPr>
          <w:rStyle w:val="16"/>
        </w:rPr>
        <w:t>41.</w:t>
      </w:r>
      <w:r>
        <w:rPr>
          <w:rFonts w:asciiTheme="minorHAnsi" w:hAnsiTheme="minorHAnsi" w:eastAsiaTheme="minorEastAsia"/>
          <w:sz w:val="24"/>
          <w:szCs w:val="24"/>
          <w:lang w:val="es-BO" w:eastAsia="es-BO"/>
        </w:rPr>
        <w:tab/>
      </w:r>
      <w:r>
        <w:rPr>
          <w:rStyle w:val="16"/>
        </w:rPr>
        <w:t>Práticas Proibidas</w:t>
      </w:r>
      <w:r>
        <w:tab/>
      </w:r>
      <w:r>
        <w:fldChar w:fldCharType="begin"/>
      </w:r>
      <w:r>
        <w:instrText xml:space="preserve"> PAGEREF _Toc174536387 \h </w:instrText>
      </w:r>
      <w:r>
        <w:fldChar w:fldCharType="separate"/>
      </w:r>
      <w:r>
        <w:t>32</w:t>
      </w:r>
      <w:r>
        <w:fldChar w:fldCharType="end"/>
      </w:r>
      <w:r>
        <w:fldChar w:fldCharType="end"/>
      </w:r>
      <w:r>
        <w:rPr>
          <w:rFonts w:hint="default"/>
          <w:lang w:val="pt-BR"/>
        </w:rPr>
        <w:t>8</w:t>
      </w:r>
    </w:p>
    <w:p w14:paraId="09AAF4E0">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"_Toc174536388" </w:instrText>
      </w:r>
      <w:r>
        <w:fldChar w:fldCharType="separate"/>
      </w:r>
      <w:r>
        <w:rPr>
          <w:rStyle w:val="16"/>
        </w:rPr>
        <w:t>H - LEGISLAÇÃO APLICÁVEL</w:t>
      </w:r>
      <w:r>
        <w:tab/>
      </w:r>
      <w:r>
        <w:fldChar w:fldCharType="begin"/>
      </w:r>
      <w:r>
        <w:instrText xml:space="preserve"> PAGEREF _Toc174536388 \h </w:instrText>
      </w:r>
      <w:r>
        <w:fldChar w:fldCharType="separate"/>
      </w:r>
      <w:r>
        <w:t>33</w:t>
      </w:r>
      <w:r>
        <w:fldChar w:fldCharType="end"/>
      </w:r>
      <w:r>
        <w:fldChar w:fldCharType="end"/>
      </w:r>
    </w:p>
    <w:p w14:paraId="3CD20B82">
      <w:pPr>
        <w:pStyle w:val="17"/>
        <w:tabs>
          <w:tab w:val="left" w:pos="960"/>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"_Toc174536389" </w:instrText>
      </w:r>
      <w:r>
        <w:fldChar w:fldCharType="separate"/>
      </w:r>
      <w:r>
        <w:rPr>
          <w:rStyle w:val="16"/>
        </w:rPr>
        <w:t>42.</w:t>
      </w:r>
      <w:r>
        <w:rPr>
          <w:rFonts w:asciiTheme="minorHAnsi" w:hAnsiTheme="minorHAnsi" w:eastAsiaTheme="minorEastAsia"/>
          <w:sz w:val="24"/>
          <w:szCs w:val="24"/>
          <w:lang w:val="es-BO" w:eastAsia="es-BO"/>
        </w:rPr>
        <w:tab/>
      </w:r>
      <w:r>
        <w:rPr>
          <w:rStyle w:val="16"/>
        </w:rPr>
        <w:t>Legislação Aplicável</w:t>
      </w:r>
      <w:r>
        <w:tab/>
      </w:r>
      <w:r>
        <w:rPr>
          <w:rFonts w:hint="default"/>
          <w:lang w:val="pt-BR"/>
        </w:rPr>
        <w:t>2</w:t>
      </w:r>
      <w:r>
        <w:fldChar w:fldCharType="end"/>
      </w:r>
      <w:r>
        <w:rPr>
          <w:rFonts w:hint="default"/>
          <w:lang w:val="pt-BR"/>
        </w:rPr>
        <w:t>9</w:t>
      </w:r>
    </w:p>
    <w:p w14:paraId="17FC0F37">
      <w:pPr>
        <w:rPr>
          <w:b/>
          <w:bCs/>
        </w:rPr>
      </w:pPr>
      <w:r>
        <w:fldChar w:fldCharType="end"/>
      </w:r>
    </w:p>
    <w:p w14:paraId="52C62137">
      <w:pPr>
        <w:rPr>
          <w:b/>
          <w:bCs/>
        </w:rPr>
        <w:sectPr>
          <w:headerReference r:id="rId12" w:type="default"/>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3"/>
        <w:gridCol w:w="5653"/>
      </w:tblGrid>
      <w:tr w14:paraId="7DED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1A25366E">
            <w:pPr>
              <w:pStyle w:val="69"/>
            </w:pPr>
            <w:bookmarkStart w:id="6" w:name="_Toc174536340"/>
            <w:r>
              <w:t>A - GERAL</w:t>
            </w:r>
            <w:bookmarkEnd w:id="6"/>
          </w:p>
        </w:tc>
      </w:tr>
      <w:tr w14:paraId="67880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AFE82DF">
            <w:pPr>
              <w:pStyle w:val="71"/>
            </w:pPr>
            <w:bookmarkStart w:id="7" w:name="_Toc174536341"/>
            <w:r>
              <w:t>1.</w:t>
            </w:r>
            <w:r>
              <w:tab/>
            </w:r>
            <w:r>
              <w:t>Escopo da Licitação</w:t>
            </w:r>
            <w:bookmarkEnd w:id="7"/>
          </w:p>
        </w:tc>
        <w:tc>
          <w:tcPr>
            <w:tcW w:w="5653" w:type="dxa"/>
          </w:tcPr>
          <w:p w14:paraId="707FCE38">
            <w:pPr>
              <w:spacing w:before="120" w:after="120" w:line="240" w:lineRule="auto"/>
              <w:ind w:left="783" w:hanging="709"/>
              <w:jc w:val="both"/>
            </w:pPr>
            <w:r>
              <w:t>1.1</w:t>
            </w:r>
            <w:r>
              <w:tab/>
            </w:r>
            <w:r>
              <w:t xml:space="preserve">O Mutuário indicado nos Dados da Licitação (DDL) (Seção 2), doravante denominado </w:t>
            </w:r>
            <w:r>
              <w:rPr>
                <w:b/>
                <w:bCs/>
              </w:rPr>
              <w:t>"Contratante"</w:t>
            </w:r>
            <w:r>
              <w:t xml:space="preserve">, receberá propostas para a execução das Obras descritas nos </w:t>
            </w:r>
            <w:r>
              <w:rPr>
                <w:b/>
                <w:bCs/>
              </w:rPr>
              <w:t>DDL.</w:t>
            </w:r>
          </w:p>
          <w:p w14:paraId="5FA61D01">
            <w:pPr>
              <w:spacing w:before="120" w:after="120" w:line="240" w:lineRule="auto"/>
              <w:ind w:left="783" w:hanging="709"/>
              <w:jc w:val="both"/>
            </w:pPr>
            <w:r>
              <w:t>1.2</w:t>
            </w:r>
            <w:r>
              <w:tab/>
            </w:r>
            <w:r>
              <w:t xml:space="preserve">O Concorrente vencedor deverá concluir as Obras no prazo especificado nos </w:t>
            </w:r>
            <w:r>
              <w:rPr>
                <w:b/>
                <w:bCs/>
              </w:rPr>
              <w:t>DDL</w:t>
            </w:r>
            <w:r>
              <w:t>.</w:t>
            </w:r>
          </w:p>
          <w:p w14:paraId="7F811882">
            <w:pPr>
              <w:spacing w:before="120" w:after="120" w:line="240" w:lineRule="auto"/>
              <w:ind w:left="783" w:hanging="709"/>
              <w:jc w:val="both"/>
              <w:rPr>
                <w:color w:val="FF0000"/>
              </w:rPr>
            </w:pPr>
            <w:r>
              <w:t>1.3</w:t>
            </w:r>
            <w:r>
              <w:tab/>
            </w:r>
            <w:r>
              <w:t xml:space="preserve">O prazo de vigência do contrato está indicado nos DDL </w:t>
            </w:r>
          </w:p>
          <w:p w14:paraId="2112EC64">
            <w:pPr>
              <w:spacing w:before="120" w:after="120" w:line="240" w:lineRule="auto"/>
              <w:ind w:left="783" w:hanging="709"/>
              <w:jc w:val="both"/>
            </w:pPr>
            <w:r>
              <w:t>1.4</w:t>
            </w:r>
            <w:r>
              <w:tab/>
            </w:r>
            <w:r>
              <w:t>Neste documento o termo “por escrito” significa comunicado por escrito e inclui comunicações pelo e-mail ou recebidas por meio do sistema de aquisições eletrônicas que utilize o Contratante, com prova de entrega.</w:t>
            </w:r>
          </w:p>
        </w:tc>
      </w:tr>
      <w:tr w14:paraId="26CB6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54A72913">
            <w:pPr>
              <w:pStyle w:val="71"/>
              <w:rPr>
                <w:b w:val="0"/>
                <w:bCs w:val="0"/>
              </w:rPr>
            </w:pPr>
            <w:bookmarkStart w:id="8" w:name="_Toc174536342"/>
            <w:r>
              <w:t>2.</w:t>
            </w:r>
            <w:r>
              <w:tab/>
            </w:r>
            <w:r>
              <w:t>Fonte de Recursos</w:t>
            </w:r>
            <w:bookmarkEnd w:id="8"/>
          </w:p>
        </w:tc>
        <w:tc>
          <w:tcPr>
            <w:tcW w:w="5653" w:type="dxa"/>
          </w:tcPr>
          <w:p w14:paraId="63D1D534">
            <w:pPr>
              <w:spacing w:before="120" w:after="120" w:line="240" w:lineRule="auto"/>
              <w:ind w:left="783" w:hanging="709"/>
              <w:jc w:val="both"/>
            </w:pPr>
            <w:r>
              <w:t>2.1</w:t>
            </w:r>
            <w:r>
              <w:tab/>
            </w:r>
            <w:r>
              <w:t xml:space="preserve">O Mutuário qualificado nos </w:t>
            </w:r>
            <w:r>
              <w:rPr>
                <w:b/>
                <w:bCs/>
              </w:rPr>
              <w:t>DDL</w:t>
            </w:r>
            <w:r>
              <w:t xml:space="preserve"> prevê aplicar parte dos recursos de um empréstimo do Banco de Desenvolvimento - FONPLATA em pagamentos elegíveis relativos ao(s) contrato(s) decorrente(s) desta licitação, que está inserida no Projeto definido nos </w:t>
            </w:r>
            <w:r>
              <w:rPr>
                <w:b/>
                <w:bCs/>
              </w:rPr>
              <w:t>DDL</w:t>
            </w:r>
            <w:r>
              <w:t>. O FONPLATA somente efetuará pagamentos quando aprovado por ele a correspondente solicitação do Mutuário, de acordo com os termos e condições do Contrato de Empréstimo. A menos que o FONPLATA venha a concordar de forma especificamente diferente, ninguém além do Mutuário poderá reivindicar qualquer direito derivado do Contrato de Empréstimo ou ter direito aos recursos do Empréstimo.</w:t>
            </w:r>
          </w:p>
          <w:p w14:paraId="5FA3C687">
            <w:pPr>
              <w:spacing w:before="120" w:after="120" w:line="240" w:lineRule="auto"/>
              <w:ind w:left="783" w:hanging="709"/>
              <w:jc w:val="both"/>
            </w:pPr>
            <w:r>
              <w:t>2.2</w:t>
            </w:r>
            <w:r>
              <w:tab/>
            </w:r>
            <w:r>
              <w:t>Os pagamentos somente serão efetuados a pedido do Mutuário e com aprovação do FONPLATA em concordância com os termos e condições do acordo de financiamento entre o Mutuário e o FONPLATA (doravante denominado “Contrato de Empréstimo”) e estarão sujeitos em todos os aspectos aos termos e condições desse Contrato de Empréstimo. Nenhuma outra parte além do Mutuário terá qualquer direito decorrente do Contrato de Empréstimo ou relativo a fonte de recursos.</w:t>
            </w:r>
          </w:p>
        </w:tc>
      </w:tr>
      <w:tr w14:paraId="4F22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FB99122">
            <w:pPr>
              <w:pStyle w:val="71"/>
            </w:pPr>
            <w:bookmarkStart w:id="9" w:name="_Toc174536343"/>
            <w:r>
              <w:t>3.</w:t>
            </w:r>
            <w:r>
              <w:tab/>
            </w:r>
            <w:r>
              <w:t>Concorrentes Elegíveis</w:t>
            </w:r>
            <w:bookmarkEnd w:id="9"/>
          </w:p>
        </w:tc>
        <w:tc>
          <w:tcPr>
            <w:tcW w:w="5653" w:type="dxa"/>
          </w:tcPr>
          <w:p w14:paraId="6558FDA1">
            <w:pPr>
              <w:spacing w:before="120" w:after="120" w:line="240" w:lineRule="auto"/>
              <w:ind w:left="783" w:hanging="709"/>
              <w:jc w:val="both"/>
              <w:rPr>
                <w:rFonts w:hint="default"/>
              </w:rPr>
            </w:pPr>
            <w:r>
              <w:t>3.1</w:t>
            </w:r>
            <w:r>
              <w:tab/>
            </w:r>
            <w:r>
              <w:rPr>
                <w:rFonts w:hint="default"/>
              </w:rPr>
              <w:t>Um Concorrente e todas as partes que constituem o mesmo devem ter a nacionalidade de qualquer país membro do</w:t>
            </w:r>
            <w:r>
              <w:rPr>
                <w:rFonts w:hint="default"/>
                <w:lang w:val="pt-BR"/>
              </w:rPr>
              <w:t xml:space="preserve"> </w:t>
            </w:r>
            <w:r>
              <w:rPr>
                <w:rFonts w:hint="default"/>
              </w:rPr>
              <w:t>FONPLATA. Os Concorrentes de outros países não poderão participar de contratos a serem financiados no todo ou em</w:t>
            </w:r>
            <w:r>
              <w:rPr>
                <w:rFonts w:hint="default"/>
                <w:lang w:val="pt-BR"/>
              </w:rPr>
              <w:t xml:space="preserve"> </w:t>
            </w:r>
            <w:r>
              <w:rPr>
                <w:rFonts w:hint="default"/>
              </w:rPr>
              <w:t>parte por empréstimos do FONPLATA. A Seção 5 deste documento estabelece os países membros do FONPLATA,</w:t>
            </w:r>
            <w:r>
              <w:rPr>
                <w:rFonts w:hint="default"/>
                <w:lang w:val="pt-BR"/>
              </w:rPr>
              <w:t xml:space="preserve"> </w:t>
            </w:r>
            <w:r>
              <w:rPr>
                <w:rFonts w:hint="default"/>
              </w:rPr>
              <w:t>assim como os critérios para determinar a nacionalidade dos Concorrentes. Os Concorrentes com nacionalidade de um</w:t>
            </w:r>
            <w:r>
              <w:rPr>
                <w:rFonts w:hint="default"/>
                <w:lang w:val="pt-BR"/>
              </w:rPr>
              <w:t xml:space="preserve"> </w:t>
            </w:r>
            <w:r>
              <w:rPr>
                <w:rFonts w:hint="default"/>
              </w:rPr>
              <w:t>país membro do FONPLATA não serão elegíveis se:</w:t>
            </w:r>
          </w:p>
          <w:p w14:paraId="6ADC6C69">
            <w:pPr>
              <w:spacing w:before="120" w:after="120" w:line="240" w:lineRule="auto"/>
              <w:ind w:left="1208" w:hanging="425"/>
              <w:jc w:val="both"/>
              <w:rPr>
                <w:rFonts w:hint="default"/>
              </w:rPr>
            </w:pPr>
            <w:r>
              <w:rPr>
                <w:rFonts w:hint="default"/>
              </w:rPr>
              <w:t>(a)</w:t>
            </w:r>
            <w:r>
              <w:rPr>
                <w:rFonts w:hint="default"/>
              </w:rPr>
              <w:tab/>
            </w:r>
            <w:r>
              <w:rPr>
                <w:rFonts w:hint="default"/>
              </w:rPr>
              <w:t>em decorrência de lei ou regulamento oficial, o Brasil proíbe relações comerciais com esse país; ou</w:t>
            </w:r>
          </w:p>
          <w:p w14:paraId="780031EC">
            <w:pPr>
              <w:spacing w:before="120" w:after="120" w:line="240" w:lineRule="auto"/>
              <w:ind w:left="1208" w:hanging="425"/>
              <w:jc w:val="both"/>
              <w:rPr>
                <w:rFonts w:hint="default"/>
                <w:lang w:val="pt-BR"/>
              </w:rPr>
            </w:pPr>
            <w:r>
              <w:rPr>
                <w:rFonts w:hint="default"/>
              </w:rPr>
              <w:t>(b)</w:t>
            </w:r>
            <w:r>
              <w:rPr>
                <w:rFonts w:hint="default"/>
              </w:rPr>
              <w:tab/>
            </w:r>
            <w:r>
              <w:rPr>
                <w:rFonts w:hint="default"/>
              </w:rPr>
              <w:t>em decorrência do cumprimento de uma decisão do Conselho de Segurança das Nações Unidas tomada nos termos</w:t>
            </w:r>
            <w:r>
              <w:rPr>
                <w:rFonts w:hint="default"/>
                <w:lang w:val="pt-BR"/>
              </w:rPr>
              <w:t xml:space="preserve"> </w:t>
            </w:r>
            <w:r>
              <w:rPr>
                <w:rFonts w:hint="default"/>
              </w:rPr>
              <w:t>do Capítulo VII da Carta das Nações Unidas, o Brasil proíbe a importação de qualquer bem desse país ou o pagamento</w:t>
            </w:r>
            <w:r>
              <w:rPr>
                <w:rFonts w:hint="default"/>
                <w:lang w:val="pt-BR"/>
              </w:rPr>
              <w:t xml:space="preserve"> </w:t>
            </w:r>
            <w:r>
              <w:rPr>
                <w:rFonts w:hint="default"/>
              </w:rPr>
              <w:t>a pessoas ou entidades desse país</w:t>
            </w:r>
            <w:r>
              <w:rPr>
                <w:rFonts w:hint="default"/>
                <w:lang w:val="pt-BR"/>
              </w:rPr>
              <w:t>.</w:t>
            </w:r>
          </w:p>
          <w:p w14:paraId="691DAD48">
            <w:pPr>
              <w:spacing w:before="120" w:after="120" w:line="240" w:lineRule="auto"/>
              <w:ind w:left="783" w:hanging="709"/>
              <w:jc w:val="both"/>
            </w:pPr>
            <w:r>
              <w:t>3.2</w:t>
            </w:r>
            <w:r>
              <w:tab/>
            </w:r>
            <w:r>
              <w:t>Um Concorrente não deve ter conflito de interesses. Quando for descoberto que algum Concorrente tem conflito de interesses, este será desqualificado. Pode-se considerar que o Concorrente tem conflito de interesses com uma ou mais partes neste processo de licitação, se:</w:t>
            </w:r>
          </w:p>
          <w:p w14:paraId="070BE5DF">
            <w:pPr>
              <w:spacing w:before="120" w:after="120" w:line="240" w:lineRule="auto"/>
              <w:ind w:left="1208" w:hanging="425"/>
              <w:jc w:val="both"/>
            </w:pPr>
            <w:r>
              <w:t>(a)</w:t>
            </w:r>
            <w:r>
              <w:tab/>
            </w:r>
            <w:r>
              <w:t>estiver ou tenha estado associado direta ou indiretamente a uma empresa ou qualquer de suas afiliadas contratada pelo Contratante para prestação de serviços de consultoria para a preparação do projeto, especificações técnicas e outros documentos a serem usados para a aquisição de bens nos termos deste edital; ou</w:t>
            </w:r>
          </w:p>
          <w:p w14:paraId="603EB84C">
            <w:pPr>
              <w:spacing w:before="120" w:after="120" w:line="240" w:lineRule="auto"/>
              <w:ind w:left="1208" w:hanging="425"/>
              <w:jc w:val="both"/>
            </w:pPr>
            <w:r>
              <w:t>(b)</w:t>
            </w:r>
            <w:r>
              <w:tab/>
            </w:r>
            <w:r>
              <w:t>enviar mais de uma proposta nesse processo de aquisição, exceto para propostas alternativas permitidas de acordo com as IAC 17. Contudo, isso não limita a participação de subempreiteiros em mais de uma proposta.</w:t>
            </w:r>
          </w:p>
          <w:p w14:paraId="17D2833B">
            <w:pPr>
              <w:spacing w:before="120" w:after="120" w:line="240" w:lineRule="auto"/>
              <w:ind w:left="783" w:hanging="709"/>
              <w:jc w:val="both"/>
            </w:pPr>
            <w:r>
              <w:t>3.3</w:t>
            </w:r>
            <w:r>
              <w:tab/>
            </w:r>
            <w:r>
              <w:t>Qualquer empresa, pessoa física, empresa matriz ou subsidiária, ou organização constituída ou integrada por qualquer das pessoas designadas como partes contratantes que outras Instituições Financeiras Internacionais (IFI) declare inelegível durante o período de tempo estabelecido, na data de adjudicação do contrato, será desqualificada.</w:t>
            </w:r>
            <w:r>
              <w:tab/>
            </w:r>
          </w:p>
          <w:p w14:paraId="23A98941">
            <w:pPr>
              <w:spacing w:before="120" w:after="120" w:line="240" w:lineRule="auto"/>
              <w:ind w:left="783" w:hanging="709"/>
              <w:jc w:val="both"/>
              <w:rPr>
                <w:rFonts w:hint="default"/>
                <w:lang w:val="pt-BR"/>
              </w:rPr>
            </w:pPr>
            <w:r>
              <w:t>3.4</w:t>
            </w:r>
            <w:r>
              <w:tab/>
            </w:r>
            <w:r>
              <w:rPr>
                <w:rFonts w:hint="default"/>
              </w:rPr>
              <w:t>Entidades governamentais dos países membros serão elegíveis para competir e terem adjudicado um contrato somente</w:t>
            </w:r>
            <w:r>
              <w:rPr>
                <w:rFonts w:hint="default"/>
                <w:lang w:val="pt-BR"/>
              </w:rPr>
              <w:t xml:space="preserve"> </w:t>
            </w:r>
            <w:r>
              <w:rPr>
                <w:rFonts w:hint="default"/>
              </w:rPr>
              <w:t>se puderem demonstrar que: (i) são legal e financeiramente autônomas, (ii) operam de acordo com as leis do comércio e</w:t>
            </w:r>
            <w:r>
              <w:rPr>
                <w:rFonts w:hint="default"/>
                <w:lang w:val="pt-BR"/>
              </w:rPr>
              <w:t xml:space="preserve"> </w:t>
            </w:r>
            <w:r>
              <w:rPr>
                <w:rFonts w:hint="default"/>
              </w:rPr>
              <w:t>(iii) não são entidades dependentes do Mutuário</w:t>
            </w:r>
            <w:r>
              <w:rPr>
                <w:rFonts w:hint="default"/>
                <w:lang w:val="pt-BR"/>
              </w:rPr>
              <w:t>.</w:t>
            </w:r>
          </w:p>
          <w:p w14:paraId="3D3D31DC">
            <w:pPr>
              <w:spacing w:before="120" w:after="120" w:line="240" w:lineRule="auto"/>
              <w:ind w:left="783" w:hanging="709"/>
              <w:jc w:val="both"/>
            </w:pPr>
            <w:r>
              <w:rPr>
                <w:rFonts w:hint="default"/>
                <w:lang w:val="pt-BR"/>
              </w:rPr>
              <w:t>3.5</w:t>
            </w:r>
            <w:r>
              <w:rPr>
                <w:rFonts w:hint="default"/>
                <w:lang w:val="pt-BR"/>
              </w:rPr>
              <w:tab/>
            </w:r>
            <w:r>
              <w:t>Os concorrentes deverão fornecer prova de sua elegibilidade contínua de maneira satisfatória ao Contratante, sempre que este razoavelmente o solicitar.</w:t>
            </w:r>
          </w:p>
          <w:p w14:paraId="01967AC6">
            <w:pPr>
              <w:spacing w:before="120" w:after="120" w:line="240" w:lineRule="auto"/>
              <w:ind w:left="783" w:hanging="709"/>
              <w:jc w:val="both"/>
              <w:rPr>
                <w:color w:val="FF0000"/>
              </w:rPr>
            </w:pPr>
            <w:r>
              <w:t>3.5</w:t>
            </w:r>
            <w:r>
              <w:tab/>
            </w:r>
            <w:r>
              <w:t xml:space="preserve">Em conformidade com o indicado nos </w:t>
            </w:r>
            <w:r>
              <w:rPr>
                <w:b/>
                <w:bCs/>
              </w:rPr>
              <w:t>DDL</w:t>
            </w:r>
            <w:r>
              <w:t>, no caso de pré-qualificação dos potenciais concorrentes, somente propostas com os concorrentes pré-qualificados serão consideradas para participação na licitação.</w:t>
            </w:r>
          </w:p>
          <w:p w14:paraId="32ED1D39">
            <w:pPr>
              <w:adjustRightInd w:val="0"/>
              <w:spacing w:after="0" w:afterLines="55" w:line="240" w:lineRule="auto"/>
              <w:jc w:val="both"/>
            </w:pPr>
            <w:r>
              <w:t>3.6</w:t>
            </w:r>
            <w:r>
              <w:rPr>
                <w:rFonts w:hint="default"/>
              </w:rPr>
              <w:tab/>
            </w:r>
            <w:r>
              <w:t>Poderão participar da presente licitação:</w:t>
            </w:r>
          </w:p>
          <w:p w14:paraId="1DA33880">
            <w:pPr>
              <w:pStyle w:val="49"/>
              <w:numPr>
                <w:ilvl w:val="0"/>
                <w:numId w:val="9"/>
              </w:numPr>
              <w:spacing w:after="0" w:afterLines="55" w:line="240" w:lineRule="auto"/>
              <w:jc w:val="both"/>
            </w:pPr>
            <w:r>
              <w:rPr>
                <w:rFonts w:hint="default"/>
              </w:rPr>
              <w:t>Quaisquer empresas, legalmente constituídas, enquadradas no ramo de atividade econômica pertinente e compatível (CNAE), comprovadamente correlacionado ao objeto da licitação, que satisfaçam as condições do edital, e que estiverem previamente credenciadas perante o provedor do sistema eletrônico da “Bolsa de Licitações e Leilões do Brasil - BLL” (www.bll.org.br)</w:t>
            </w:r>
            <w:r>
              <w:rPr>
                <w:rFonts w:hint="default"/>
                <w:lang w:val="pt-BR"/>
              </w:rPr>
              <w:t>;</w:t>
            </w:r>
            <w:r>
              <w:t xml:space="preserve"> </w:t>
            </w:r>
          </w:p>
          <w:p w14:paraId="4EB397AD">
            <w:pPr>
              <w:pStyle w:val="49"/>
              <w:numPr>
                <w:ilvl w:val="0"/>
                <w:numId w:val="0"/>
              </w:numPr>
              <w:spacing w:after="0" w:afterLines="55" w:line="240" w:lineRule="auto"/>
              <w:ind w:left="780" w:leftChars="0"/>
              <w:jc w:val="both"/>
            </w:pPr>
          </w:p>
          <w:p w14:paraId="4F026B8A">
            <w:pPr>
              <w:pStyle w:val="49"/>
              <w:numPr>
                <w:ilvl w:val="0"/>
                <w:numId w:val="9"/>
              </w:numPr>
              <w:spacing w:after="0" w:afterLines="55" w:line="240" w:lineRule="auto"/>
              <w:jc w:val="both"/>
            </w:pPr>
            <w:r>
              <w:rPr>
                <w:rFonts w:hint="default"/>
              </w:rPr>
              <w:t>Empresas que atendam às exigências constantes no edital e seus anexos, inclusive quanto à documentação requerida para sua habilitação, qualquer que seja sua forma de constituição, ressalvado as particularidades do instrumento convocatório e/ou da legislação pátria em vigor</w:t>
            </w:r>
            <w:r>
              <w:rPr>
                <w:rFonts w:hint="default"/>
                <w:lang w:val="pt-BR"/>
              </w:rPr>
              <w:t>;</w:t>
            </w:r>
          </w:p>
          <w:p w14:paraId="2D11B8C4">
            <w:pPr>
              <w:pStyle w:val="49"/>
              <w:numPr>
                <w:ilvl w:val="0"/>
                <w:numId w:val="0"/>
              </w:numPr>
              <w:spacing w:after="0" w:afterLines="55" w:line="240" w:lineRule="auto"/>
              <w:ind w:left="780" w:leftChars="0"/>
              <w:jc w:val="both"/>
            </w:pPr>
          </w:p>
          <w:p w14:paraId="48144384">
            <w:pPr>
              <w:pStyle w:val="49"/>
              <w:numPr>
                <w:ilvl w:val="0"/>
                <w:numId w:val="9"/>
              </w:numPr>
              <w:spacing w:after="0" w:afterLines="55" w:line="240" w:lineRule="auto"/>
              <w:jc w:val="both"/>
            </w:pPr>
            <w:r>
              <w:t>Empresas cujo objeto social em vigor, especifique atividade pertinente e compatível com o objeto da licitação.</w:t>
            </w:r>
          </w:p>
          <w:p w14:paraId="0D6A75D1">
            <w:pPr>
              <w:pStyle w:val="49"/>
              <w:numPr>
                <w:ilvl w:val="0"/>
                <w:numId w:val="9"/>
              </w:numPr>
              <w:spacing w:after="0" w:afterLines="55" w:line="240" w:lineRule="auto"/>
              <w:jc w:val="both"/>
            </w:pPr>
            <w:r>
              <w:rPr>
                <w:rFonts w:hint="default"/>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3545BD0E">
            <w:pPr>
              <w:pStyle w:val="49"/>
              <w:numPr>
                <w:ilvl w:val="0"/>
                <w:numId w:val="9"/>
              </w:numPr>
              <w:spacing w:after="0" w:afterLines="55" w:line="240" w:lineRule="auto"/>
              <w:jc w:val="both"/>
            </w:pPr>
            <w:r>
              <w:rPr>
                <w:rFonts w:hint="default"/>
              </w:rPr>
              <w:t>Entidades governamentais dos países membros serão elegíveis para competir e terem adjudicado um contrato somente se puderem demonstrar que:</w:t>
            </w:r>
          </w:p>
          <w:p w14:paraId="3A8923B8">
            <w:pPr>
              <w:pStyle w:val="49"/>
              <w:numPr>
                <w:ilvl w:val="0"/>
                <w:numId w:val="0"/>
              </w:numPr>
              <w:spacing w:after="0" w:afterLines="55" w:line="240" w:lineRule="auto"/>
              <w:ind w:left="1320" w:leftChars="0" w:firstLine="0" w:firstLineChars="0"/>
              <w:jc w:val="both"/>
              <w:rPr>
                <w:rFonts w:hint="default"/>
              </w:rPr>
            </w:pPr>
            <w:r>
              <w:rPr>
                <w:rFonts w:hint="default"/>
              </w:rPr>
              <w:t>(a)</w:t>
            </w:r>
            <w:r>
              <w:rPr>
                <w:rFonts w:hint="default"/>
              </w:rPr>
              <w:tab/>
            </w:r>
            <w:r>
              <w:rPr>
                <w:rFonts w:hint="default"/>
              </w:rPr>
              <w:t>são legal e financeiramente autônomas,</w:t>
            </w:r>
          </w:p>
          <w:p w14:paraId="5DFE669A">
            <w:pPr>
              <w:pStyle w:val="49"/>
              <w:numPr>
                <w:ilvl w:val="0"/>
                <w:numId w:val="0"/>
              </w:numPr>
              <w:spacing w:after="0" w:afterLines="55" w:line="240" w:lineRule="auto"/>
              <w:ind w:left="1320" w:leftChars="0" w:firstLine="0" w:firstLineChars="0"/>
              <w:jc w:val="both"/>
              <w:rPr>
                <w:rFonts w:hint="default"/>
              </w:rPr>
            </w:pPr>
            <w:r>
              <w:rPr>
                <w:rFonts w:hint="default"/>
              </w:rPr>
              <w:t>(b)</w:t>
            </w:r>
            <w:r>
              <w:rPr>
                <w:rFonts w:hint="default"/>
              </w:rPr>
              <w:tab/>
            </w:r>
            <w:r>
              <w:rPr>
                <w:rFonts w:hint="default"/>
              </w:rPr>
              <w:t xml:space="preserve"> operam de acordo com as leis do comércio e </w:t>
            </w:r>
          </w:p>
          <w:p w14:paraId="650D576E">
            <w:pPr>
              <w:pStyle w:val="49"/>
              <w:numPr>
                <w:ilvl w:val="0"/>
                <w:numId w:val="0"/>
              </w:numPr>
              <w:spacing w:after="0" w:afterLines="55" w:line="240" w:lineRule="auto"/>
              <w:ind w:left="1320" w:leftChars="0" w:firstLine="0" w:firstLineChars="0"/>
              <w:jc w:val="both"/>
            </w:pPr>
            <w:r>
              <w:rPr>
                <w:rFonts w:hint="default"/>
              </w:rPr>
              <w:t>(c)</w:t>
            </w:r>
            <w:r>
              <w:rPr>
                <w:rFonts w:hint="default"/>
              </w:rPr>
              <w:tab/>
            </w:r>
            <w:r>
              <w:rPr>
                <w:rFonts w:hint="default"/>
              </w:rPr>
              <w:t xml:space="preserve"> não são entidades dependentes do Mutuário.</w:t>
            </w:r>
          </w:p>
          <w:p w14:paraId="6D9D7AC2">
            <w:pPr>
              <w:pStyle w:val="49"/>
              <w:numPr>
                <w:ilvl w:val="0"/>
                <w:numId w:val="9"/>
              </w:numPr>
              <w:spacing w:after="0" w:afterLines="55" w:line="240" w:lineRule="auto"/>
              <w:jc w:val="both"/>
            </w:pPr>
            <w:r>
              <w:rPr>
                <w:rFonts w:hint="default"/>
              </w:rPr>
              <w:t>Os Concorrentes deverão fornecer prova de sua elegibilidade contínua de maneira satisfatória ao Contratante, sempre que este razoavelmente o solicitar.</w:t>
            </w:r>
          </w:p>
          <w:p w14:paraId="197B732A">
            <w:pPr>
              <w:pStyle w:val="49"/>
              <w:spacing w:after="0" w:afterLines="55" w:line="240" w:lineRule="auto"/>
              <w:ind w:left="1140"/>
              <w:jc w:val="both"/>
              <w:rPr>
                <w:highlight w:val="green"/>
              </w:rPr>
            </w:pPr>
          </w:p>
          <w:p w14:paraId="08D78A2A">
            <w:pPr>
              <w:pStyle w:val="49"/>
              <w:numPr>
                <w:ilvl w:val="1"/>
                <w:numId w:val="10"/>
              </w:numPr>
              <w:adjustRightInd w:val="0"/>
              <w:spacing w:after="0" w:afterLines="55" w:line="240" w:lineRule="auto"/>
              <w:jc w:val="both"/>
            </w:pPr>
            <w:r>
              <w:t xml:space="preserve">     Não poderão participar da presente licitação:</w:t>
            </w:r>
          </w:p>
          <w:p w14:paraId="14F36739">
            <w:pPr>
              <w:spacing w:after="0" w:afterLines="55" w:line="240" w:lineRule="auto"/>
              <w:ind w:left="1173" w:hanging="1173"/>
              <w:jc w:val="both"/>
            </w:pPr>
            <w:r>
              <w:t xml:space="preserve">               (a)  Aquele que não atenda às condições deste edital e seu(s) anexo(s);</w:t>
            </w:r>
          </w:p>
          <w:p w14:paraId="5D721069">
            <w:pPr>
              <w:spacing w:after="0" w:afterLines="55" w:line="240" w:lineRule="auto"/>
              <w:ind w:left="1173" w:hanging="425"/>
              <w:jc w:val="both"/>
            </w:pPr>
            <w:r>
              <w:t xml:space="preserve"> (b)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9575B0">
            <w:pPr>
              <w:spacing w:after="0" w:afterLines="55" w:line="240" w:lineRule="auto"/>
              <w:ind w:left="1173" w:hanging="283"/>
              <w:jc w:val="both"/>
            </w:pPr>
            <w:r>
              <w:t>(c) Agente público de órgão ou entidade licitante ou contratante, devendo ser observadas as situações que possam configurar conflito de interesses no exercício ou após o exercício do cargo ou emprego, nos termos da legislação que disciplina a matéria;</w:t>
            </w:r>
          </w:p>
          <w:p w14:paraId="59922FAB">
            <w:pPr>
              <w:spacing w:after="0" w:afterLines="55" w:line="240" w:lineRule="auto"/>
              <w:ind w:left="1173"/>
              <w:jc w:val="both"/>
            </w:pPr>
            <w:r>
              <w:t>I.</w:t>
            </w:r>
            <w:r>
              <w:tab/>
            </w:r>
            <w:r>
              <w:t>As vedações de que trata o subitem anterior estendem-se a terceiro que auxilie a condução da contratação na qualidade de integrante de equipe de apoio, profissional especializado ou funcionário ou representante de empresa que preste assessoria técnica.</w:t>
            </w:r>
          </w:p>
          <w:p w14:paraId="5CE0B986">
            <w:pPr>
              <w:spacing w:after="0" w:afterLines="55" w:line="240" w:lineRule="auto"/>
              <w:ind w:left="1173" w:hanging="283"/>
              <w:jc w:val="both"/>
            </w:pPr>
            <w:r>
              <w:t>(d) Pessoa física ou jurídica que se encontre, ao tempo da licitação, impossibilitada de participar da licitação em decorrência de sanção que lhe foi imposta, nos termos do artigo 156, III, §4º e artigo 156, IV, §5º da Lei Federal n.° 14.133/2021;</w:t>
            </w:r>
          </w:p>
          <w:p w14:paraId="56B27D66">
            <w:pPr>
              <w:spacing w:after="0" w:afterLines="55" w:line="240" w:lineRule="auto"/>
              <w:ind w:left="1173"/>
              <w:jc w:val="both"/>
            </w:pPr>
            <w:r>
              <w:t>I.</w:t>
            </w:r>
            <w:r>
              <w:tab/>
            </w:r>
            <w:r>
              <w:t>O impedimento de que trata o subitem anterior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3C3E9A1">
            <w:pPr>
              <w:spacing w:after="0" w:afterLines="55" w:line="240" w:lineRule="auto"/>
              <w:ind w:left="1173" w:hanging="283"/>
              <w:jc w:val="both"/>
            </w:pPr>
            <w:r>
              <w:t>(e)Empresas controladoras, controladas ou coligadas, nos termos da Lei n.° 6.404, de 15 de dezembro de 1976, concorrendo entre si.</w:t>
            </w:r>
          </w:p>
          <w:p w14:paraId="254FF750">
            <w:pPr>
              <w:spacing w:after="0" w:afterLines="55" w:line="240" w:lineRule="auto"/>
              <w:ind w:left="1173" w:hanging="283"/>
              <w:jc w:val="both"/>
            </w:pPr>
            <w:r>
              <w:t xml:space="preserve">(f) </w:t>
            </w:r>
            <w:r>
              <w:tab/>
            </w: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A608F7">
            <w:pPr>
              <w:spacing w:after="0" w:afterLines="55" w:line="240" w:lineRule="auto"/>
              <w:ind w:left="1173" w:hanging="283"/>
              <w:jc w:val="both"/>
            </w:pPr>
            <w:r>
              <w:t>(g) Organizações da Sociedade Civil de Interesse Público - OSCIP, atuando nessa condição.</w:t>
            </w:r>
          </w:p>
          <w:p w14:paraId="11ABA2A3">
            <w:pPr>
              <w:spacing w:after="0" w:afterLines="55" w:line="240" w:lineRule="auto"/>
              <w:ind w:left="1173" w:hanging="283"/>
              <w:jc w:val="both"/>
            </w:pPr>
            <w:r>
              <w:t>(h) Pessoa física que tenha sido proibida de contratar com o Poder Público em razão de condenação por ato de improbidade administrativa, nos termos do artigo 12 da Lei Federal n.° 8.429/1992, ou pessoa jurídica que tenha como sócio majoritário aquele a quem foi dirigida mencionada penalidade, durante o prazo que apontar a decisão condenatória.</w:t>
            </w:r>
          </w:p>
          <w:p w14:paraId="31018DEE">
            <w:pPr>
              <w:spacing w:after="0" w:afterLines="55" w:line="240" w:lineRule="auto"/>
              <w:ind w:left="1173" w:hanging="283"/>
              <w:jc w:val="both"/>
            </w:pPr>
            <w:r>
              <w:t>(i) Empresa cujo estatuto ou contrato social não seja pertinente e compatível com o objeto desta licitação.</w:t>
            </w:r>
          </w:p>
          <w:p w14:paraId="2B28B421">
            <w:pPr>
              <w:spacing w:after="0" w:afterLines="55" w:line="240" w:lineRule="auto"/>
              <w:ind w:left="1173" w:hanging="283"/>
              <w:jc w:val="both"/>
            </w:pPr>
            <w:r>
              <w:t>(j)</w:t>
            </w:r>
            <w:r>
              <w:tab/>
            </w:r>
            <w:r>
              <w:t>Ainda, conforme art. 14 da Lei Federal n.° 14.133/2021, não poderão participar:</w:t>
            </w:r>
          </w:p>
          <w:p w14:paraId="5AD1F087">
            <w:pPr>
              <w:spacing w:after="0" w:afterLines="55" w:line="240" w:lineRule="auto"/>
              <w:ind w:left="1173" w:hanging="283"/>
              <w:jc w:val="both"/>
            </w:pPr>
            <w:r>
              <w:t>I.</w:t>
            </w:r>
            <w:r>
              <w:tab/>
            </w:r>
            <w:r>
              <w:t>Autor do anteprojeto, do projeto básico ou do projeto executivo, pessoa física ou jurídica, quando a licitação versar sobre obra, serviços ou fornecimento de bens a ele relacionados;</w:t>
            </w:r>
          </w:p>
          <w:p w14:paraId="3B494E57">
            <w:pPr>
              <w:spacing w:after="0" w:afterLines="55" w:line="240" w:lineRule="auto"/>
              <w:ind w:left="1173" w:hanging="283"/>
              <w:jc w:val="both"/>
            </w:pPr>
            <w:r>
              <w:t>II.</w:t>
            </w:r>
            <w:r>
              <w:tab/>
            </w:r>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253FCC2">
            <w:pPr>
              <w:spacing w:after="0" w:afterLines="55" w:line="240" w:lineRule="auto"/>
              <w:ind w:left="1173"/>
              <w:jc w:val="both"/>
            </w:pPr>
            <w:r>
              <w:t>Equiparam-se aos autores do projeto as empresas integrantes do mesmo grupo econômico.</w:t>
            </w:r>
          </w:p>
          <w:p w14:paraId="3D611EC1">
            <w:pPr>
              <w:spacing w:after="0" w:afterLines="55" w:line="240" w:lineRule="auto"/>
              <w:ind w:left="1173" w:hanging="283"/>
              <w:jc w:val="both"/>
            </w:pPr>
            <w:r>
              <w:t>(k) Empresa em processo de falência, dissolução ou em liquidação.</w:t>
            </w:r>
          </w:p>
          <w:p w14:paraId="457B7FC0">
            <w:pPr>
              <w:spacing w:after="0" w:afterLines="55" w:line="240" w:lineRule="auto"/>
              <w:ind w:left="1173" w:hanging="283"/>
              <w:jc w:val="both"/>
              <w:rPr>
                <w:color w:val="FF0000"/>
              </w:rPr>
            </w:pPr>
            <w:r>
              <w:t>(l) Pessoas jurídicas reunidas em consórcio.</w:t>
            </w:r>
          </w:p>
        </w:tc>
      </w:tr>
      <w:tr w14:paraId="3F81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562D77B">
            <w:pPr>
              <w:pStyle w:val="71"/>
            </w:pPr>
            <w:bookmarkStart w:id="10" w:name="_Toc174536344"/>
            <w:r>
              <w:t>4.</w:t>
            </w:r>
            <w:r>
              <w:tab/>
            </w:r>
            <w:r>
              <w:t>Qualificação e Habilitação dos Concorrentes</w:t>
            </w:r>
            <w:bookmarkEnd w:id="10"/>
          </w:p>
        </w:tc>
        <w:tc>
          <w:tcPr>
            <w:tcW w:w="5653" w:type="dxa"/>
          </w:tcPr>
          <w:p w14:paraId="7FD6E96D">
            <w:pPr>
              <w:spacing w:before="120" w:after="120" w:line="240" w:lineRule="auto"/>
              <w:ind w:left="783" w:hanging="709"/>
              <w:jc w:val="both"/>
            </w:pPr>
            <w:r>
              <w:t>4.1</w:t>
            </w:r>
            <w:r>
              <w:tab/>
            </w:r>
            <w:r>
              <w:rPr>
                <w:rFonts w:hint="default"/>
              </w:rPr>
              <w:t>Na presente licitação, a fase de apresentação de propostas e lances e julgamento sucedera as fases de habilitação. A documentação requerida para a qualificação e habilitação dos concorrentes estabelecida na Seção 3 – Requisitos de Elegibilidade e Qualificação, é aplicável aos concorrentes nacionais do Brasil</w:t>
            </w:r>
            <w:r>
              <w:t>.</w:t>
            </w:r>
          </w:p>
          <w:p w14:paraId="36BF8E92">
            <w:pPr>
              <w:spacing w:before="120" w:after="120" w:line="240" w:lineRule="auto"/>
              <w:ind w:left="783" w:hanging="709"/>
              <w:jc w:val="both"/>
            </w:pPr>
            <w:r>
              <w:t>4.2</w:t>
            </w:r>
            <w:r>
              <w:tab/>
            </w:r>
            <w:r>
              <w:t>A documentação relativa à elegibilidade do concorrente deverá comprovar, por ocasião da apresentação de sua proposta, que o mesmo cumpre com os requisitos fixados nas IAC 3.</w:t>
            </w:r>
          </w:p>
          <w:p w14:paraId="602EAFF3">
            <w:pPr>
              <w:spacing w:before="120" w:after="120" w:line="240" w:lineRule="auto"/>
              <w:ind w:left="783" w:hanging="709"/>
              <w:jc w:val="both"/>
            </w:pPr>
            <w:r>
              <w:t>4.3</w:t>
            </w:r>
            <w:r>
              <w:tab/>
            </w:r>
            <w:r>
              <w:t>A comprovação relativa à qualificação e à habilitação do Concorrente para executar o Contrato, deverá apresentar, como parte de sua proposta e de forma completa e satisfatória para o Contratante, a documentação solicitada na Seção 3.</w:t>
            </w:r>
          </w:p>
          <w:p w14:paraId="5BC10C8B">
            <w:pPr>
              <w:spacing w:before="120" w:after="120" w:line="240" w:lineRule="auto"/>
              <w:ind w:left="783" w:hanging="709"/>
              <w:jc w:val="both"/>
            </w:pPr>
            <w:r>
              <w:t>4.4</w:t>
            </w:r>
            <w:r>
              <w:tab/>
            </w:r>
            <w:r>
              <w:t>A documentação referida na Seção 3 deverá ser: apresentada</w:t>
            </w:r>
            <w:r>
              <w:rPr>
                <w:rFonts w:hint="default"/>
                <w:lang w:val="pt-BR"/>
              </w:rPr>
              <w:t>s</w:t>
            </w:r>
            <w:r>
              <w:t xml:space="preserve">  nos formatos  PDF, </w:t>
            </w:r>
            <w:r>
              <w:rPr>
                <w:rFonts w:hint="default"/>
                <w:lang w:val="pt-BR"/>
              </w:rPr>
              <w:t>que</w:t>
            </w:r>
            <w:r>
              <w:t xml:space="preserve"> deverá estar assinado pelo representante legal da licitante.</w:t>
            </w:r>
            <w:r>
              <w:rPr>
                <w:color w:val="FF0000"/>
              </w:rPr>
              <w:t xml:space="preserve"> </w:t>
            </w:r>
            <w:r>
              <w:t xml:space="preserve"> </w:t>
            </w:r>
          </w:p>
          <w:p w14:paraId="6A9D86A1">
            <w:pPr>
              <w:spacing w:before="120" w:after="120" w:line="240" w:lineRule="auto"/>
              <w:jc w:val="both"/>
              <w:rPr>
                <w:color w:val="FF0000"/>
              </w:rPr>
            </w:pPr>
          </w:p>
        </w:tc>
      </w:tr>
      <w:tr w14:paraId="0F3E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3363" w:type="dxa"/>
          </w:tcPr>
          <w:p w14:paraId="3E73E003">
            <w:pPr>
              <w:pStyle w:val="71"/>
              <w:rPr>
                <w:b w:val="0"/>
                <w:i/>
                <w:sz w:val="16"/>
                <w:szCs w:val="16"/>
              </w:rPr>
            </w:pPr>
            <w:bookmarkStart w:id="11" w:name="_Toc174536345"/>
            <w:r>
              <w:t>5.</w:t>
            </w:r>
            <w:r>
              <w:tab/>
            </w:r>
            <w:r>
              <w:t>Uma Proposta por Concorrente</w:t>
            </w:r>
            <w:bookmarkEnd w:id="11"/>
          </w:p>
        </w:tc>
        <w:tc>
          <w:tcPr>
            <w:tcW w:w="5653" w:type="dxa"/>
          </w:tcPr>
          <w:p w14:paraId="28FCC11F">
            <w:pPr>
              <w:spacing w:before="120" w:after="120" w:line="240" w:lineRule="auto"/>
              <w:ind w:left="783" w:hanging="709"/>
              <w:jc w:val="both"/>
            </w:pPr>
            <w:r>
              <w:t>5.1</w:t>
            </w:r>
            <w:r>
              <w:tab/>
            </w:r>
            <w:r>
              <w:t>Cada Concorrente deverá apresentar apenas uma proposta.</w:t>
            </w:r>
          </w:p>
        </w:tc>
      </w:tr>
      <w:tr w14:paraId="4C51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E920989">
            <w:pPr>
              <w:pStyle w:val="71"/>
            </w:pPr>
            <w:bookmarkStart w:id="12" w:name="_Toc174536346"/>
            <w:r>
              <w:t>6.</w:t>
            </w:r>
            <w:r>
              <w:tab/>
            </w:r>
            <w:r>
              <w:t>Custo da Proposta</w:t>
            </w:r>
            <w:bookmarkEnd w:id="12"/>
          </w:p>
        </w:tc>
        <w:tc>
          <w:tcPr>
            <w:tcW w:w="5653" w:type="dxa"/>
          </w:tcPr>
          <w:p w14:paraId="6A23368A">
            <w:pPr>
              <w:spacing w:before="120" w:after="120" w:line="240" w:lineRule="auto"/>
              <w:ind w:left="783" w:hanging="709"/>
              <w:jc w:val="both"/>
            </w:pPr>
            <w:r>
              <w:t>6.1</w:t>
            </w:r>
            <w:r>
              <w:tab/>
            </w:r>
            <w:r>
              <w:t>O concorrente arcará com todos os custos relativos à elaboração e apresentação de sua proposta, não recaindo sobre o Contratante, quaisquer ônus de caráter indenizatório, independentemente do resultado do procedimento licitatório.</w:t>
            </w:r>
          </w:p>
        </w:tc>
      </w:tr>
      <w:tr w14:paraId="40CD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5B12E410">
            <w:pPr>
              <w:pStyle w:val="71"/>
            </w:pPr>
            <w:bookmarkStart w:id="13" w:name="_Toc174536347"/>
            <w:r>
              <w:t>7.</w:t>
            </w:r>
            <w:r>
              <w:tab/>
            </w:r>
            <w:r>
              <w:t>Visita ao Local das Obras, Estudos e Dados Básicos Disponíveis</w:t>
            </w:r>
            <w:bookmarkEnd w:id="13"/>
          </w:p>
        </w:tc>
        <w:tc>
          <w:tcPr>
            <w:tcW w:w="5653" w:type="dxa"/>
          </w:tcPr>
          <w:p w14:paraId="1ED03524">
            <w:pPr>
              <w:spacing w:before="120" w:after="120" w:line="240" w:lineRule="auto"/>
              <w:ind w:left="460" w:hanging="460"/>
              <w:jc w:val="both"/>
              <w:rPr>
                <w:b/>
                <w:bCs/>
                <w:color w:val="auto"/>
              </w:rPr>
            </w:pPr>
            <w:r>
              <w:rPr>
                <w:b/>
                <w:bCs/>
                <w:color w:val="auto"/>
              </w:rPr>
              <w:t>Visita ao Local das Obras</w:t>
            </w:r>
          </w:p>
          <w:p w14:paraId="28845662">
            <w:pPr>
              <w:spacing w:before="120" w:after="120" w:line="240" w:lineRule="auto"/>
              <w:ind w:left="783" w:hanging="709"/>
              <w:jc w:val="both"/>
              <w:rPr>
                <w:color w:val="auto"/>
              </w:rPr>
            </w:pPr>
            <w:r>
              <w:rPr>
                <w:color w:val="auto"/>
              </w:rPr>
              <w:t>7.1</w:t>
            </w:r>
            <w:r>
              <w:rPr>
                <w:color w:val="auto"/>
              </w:rPr>
              <w:tab/>
            </w:r>
            <w:r>
              <w:rPr>
                <w:color w:val="auto"/>
              </w:rPr>
              <w:t xml:space="preserve">Recomenda-se que o concorrente visite o(s) Local(is) das Obras, o que deverá ocorrer com anterioridade a apresentação da proposta, para inteirar-se de todos os aspectos referentes à sua execução.  Para todos os efeitos, considerar-se-á que o concorrente tem pleno conhecimento da natureza e do escopo das obras, dos serviços e dos fornecimentos, das condições topográficas, hidrológicas e climáticas que possam afetar sua execução e dos materiais necessários para que sejam utilizados durante a construção e dos acessos aos locais onde serão realizados as obras e os serviços. Não poderá o concorrente alegar posteriormente a insuficiência de dados e/ou informações sobre o(s) local(is) e as condições pertinentes ao objeto do contrato. Para agendar a visita, o concorrente deverá contatar o Contratante no endereço indicado nos </w:t>
            </w:r>
            <w:r>
              <w:rPr>
                <w:b/>
                <w:bCs/>
                <w:color w:val="auto"/>
              </w:rPr>
              <w:t>DDL</w:t>
            </w:r>
            <w:r>
              <w:rPr>
                <w:color w:val="auto"/>
              </w:rPr>
              <w:t>.</w:t>
            </w:r>
          </w:p>
          <w:p w14:paraId="4774FCBC">
            <w:pPr>
              <w:spacing w:before="120" w:after="120" w:line="240" w:lineRule="auto"/>
              <w:ind w:left="783" w:hanging="709"/>
              <w:jc w:val="both"/>
              <w:rPr>
                <w:color w:val="auto"/>
              </w:rPr>
            </w:pPr>
            <w:r>
              <w:rPr>
                <w:color w:val="auto"/>
              </w:rPr>
              <w:t>7.2</w:t>
            </w:r>
            <w:r>
              <w:rPr>
                <w:color w:val="auto"/>
              </w:rPr>
              <w:tab/>
            </w:r>
            <w:r>
              <w:rPr>
                <w:color w:val="auto"/>
              </w:rPr>
              <w:t>O Contratante permitirá que o concorrente e qualquer um de seus funcionários ou agentes entrem nas instalações e locais das obras para o propósito da visita, mas somente sob a condição expressa de que o concorrente, seus funcionários e agentes eximirão o Contratante e seus funcionários de qualquer responsabilidade pela mesma, e serão responsáveis pela morte ou ferimento de funcionários, perda ou danos a propriedade, e qualquer outra perda, dano, custo e gastos incorridos como resultado da inspeção.</w:t>
            </w:r>
          </w:p>
          <w:p w14:paraId="68376394">
            <w:pPr>
              <w:spacing w:before="120" w:after="120" w:line="240" w:lineRule="auto"/>
              <w:ind w:left="783" w:hanging="709"/>
              <w:jc w:val="both"/>
              <w:rPr>
                <w:rFonts w:hint="default"/>
                <w:color w:val="auto"/>
                <w:lang w:val="pt-BR"/>
              </w:rPr>
            </w:pPr>
            <w:r>
              <w:rPr>
                <w:rFonts w:hint="default"/>
                <w:color w:val="auto"/>
                <w:lang w:val="pt-BR"/>
              </w:rPr>
              <w:t>7.3</w:t>
            </w:r>
            <w:r>
              <w:rPr>
                <w:rFonts w:hint="default"/>
                <w:color w:val="auto"/>
                <w:lang w:val="pt-BR"/>
              </w:rPr>
              <w:tab/>
            </w:r>
            <w:r>
              <w:rPr>
                <w:rFonts w:hint="default"/>
                <w:color w:val="auto"/>
                <w:lang w:val="pt-BR"/>
              </w:rPr>
              <w:t>Não há obrigatoriedade de realização de vistoria para avaliação prévia do local de execução das obras. No entanto, é assegurado ao interessado o direito de realização de vistoria prévia, acompanhado por servidor municipal designado para esse fim, de segunda à sexta-feira, das 7:30 horas às 10:00 horas. Para tanto deverá agendar previamente a visita até o terceiro dia útil anterior à data prevista para realização da licitação, sendo que a vistoria poderá ocorrer até o segundo dia útil anterior à data da licitação. O agendamento poderá ser feito diretamente na Secretaria Municipal de Obras Pública - SEMOP, no Centro Administrativo Municipal, à rua Coronel Ponciano, n.° 1.700, Parque dos Jequitibás em Dourados/MS ou pelo telefone (67) 3411-7112 ou, ainda, pelo e-mail semop@dourados.ms.gov.br</w:t>
            </w:r>
          </w:p>
          <w:p w14:paraId="604249A9">
            <w:pPr>
              <w:spacing w:before="120" w:after="120" w:line="240" w:lineRule="auto"/>
              <w:ind w:left="460" w:hanging="460"/>
              <w:jc w:val="both"/>
              <w:rPr>
                <w:b/>
                <w:bCs/>
                <w:iCs/>
                <w:color w:val="auto"/>
              </w:rPr>
            </w:pPr>
            <w:r>
              <w:rPr>
                <w:b/>
                <w:bCs/>
                <w:iCs/>
                <w:color w:val="auto"/>
              </w:rPr>
              <w:t>Estudos e Dados Básicos Disponíveis</w:t>
            </w:r>
          </w:p>
          <w:p w14:paraId="1017F98F">
            <w:pPr>
              <w:spacing w:before="120" w:after="120" w:line="240" w:lineRule="auto"/>
              <w:ind w:left="783" w:hanging="709"/>
              <w:jc w:val="both"/>
              <w:rPr>
                <w:color w:val="00B050"/>
              </w:rPr>
            </w:pPr>
            <w:r>
              <w:rPr>
                <w:color w:val="auto"/>
              </w:rPr>
              <w:t>7.</w:t>
            </w:r>
            <w:r>
              <w:rPr>
                <w:rFonts w:hint="default"/>
                <w:color w:val="auto"/>
                <w:lang w:val="pt-BR"/>
              </w:rPr>
              <w:t>4</w:t>
            </w:r>
            <w:r>
              <w:rPr>
                <w:color w:val="auto"/>
              </w:rPr>
              <w:tab/>
            </w:r>
            <w:r>
              <w:rPr>
                <w:color w:val="auto"/>
              </w:rPr>
              <w:t xml:space="preserve">Estão à disposição dos concorrentes os estudos e dados indicados nos </w:t>
            </w:r>
            <w:r>
              <w:rPr>
                <w:b/>
                <w:bCs/>
                <w:color w:val="auto"/>
              </w:rPr>
              <w:t>DDL</w:t>
            </w:r>
            <w:r>
              <w:rPr>
                <w:color w:val="auto"/>
              </w:rPr>
              <w:t>.</w:t>
            </w:r>
          </w:p>
        </w:tc>
      </w:tr>
      <w:tr w14:paraId="22E1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142CFF34">
            <w:pPr>
              <w:pStyle w:val="69"/>
            </w:pPr>
            <w:bookmarkStart w:id="14" w:name="_Toc174536348"/>
            <w:r>
              <w:t>B – EDITAL</w:t>
            </w:r>
            <w:bookmarkEnd w:id="14"/>
          </w:p>
        </w:tc>
      </w:tr>
      <w:tr w14:paraId="3815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B76DF68">
            <w:pPr>
              <w:pStyle w:val="71"/>
              <w:rPr>
                <w:b w:val="0"/>
                <w:bCs w:val="0"/>
              </w:rPr>
            </w:pPr>
            <w:bookmarkStart w:id="15" w:name="_Toc174536349"/>
            <w:r>
              <w:t>8.</w:t>
            </w:r>
            <w:r>
              <w:tab/>
            </w:r>
            <w:r>
              <w:t>Conteúdo do Edital</w:t>
            </w:r>
            <w:bookmarkEnd w:id="15"/>
          </w:p>
        </w:tc>
        <w:tc>
          <w:tcPr>
            <w:tcW w:w="5653" w:type="dxa"/>
          </w:tcPr>
          <w:p w14:paraId="7A22FAA6">
            <w:pPr>
              <w:spacing w:before="120" w:after="120" w:line="240" w:lineRule="auto"/>
              <w:ind w:left="783" w:hanging="709"/>
              <w:jc w:val="both"/>
            </w:pPr>
            <w:r>
              <w:t>8.1</w:t>
            </w:r>
            <w:r>
              <w:tab/>
            </w:r>
            <w:r>
              <w:t>Este edital é composto pela documentação abaixo listada e/ou quaisquer outros adendos que estejam em conformidade com o disposto nas IAC 9:</w:t>
            </w:r>
          </w:p>
          <w:p w14:paraId="210C1A11">
            <w:pPr>
              <w:spacing w:before="120" w:after="120" w:line="240" w:lineRule="auto"/>
              <w:ind w:left="947" w:hanging="142"/>
              <w:jc w:val="both"/>
              <w:rPr>
                <w:b/>
              </w:rPr>
            </w:pPr>
            <w:r>
              <w:rPr>
                <w:b/>
              </w:rPr>
              <w:t>PARTE 1 – Procedimentos de Licitação</w:t>
            </w:r>
          </w:p>
          <w:p w14:paraId="7C5CC4AE">
            <w:pPr>
              <w:spacing w:before="120" w:after="120" w:line="240" w:lineRule="auto"/>
              <w:ind w:left="947" w:hanging="142"/>
              <w:jc w:val="both"/>
              <w:rPr>
                <w:bCs/>
              </w:rPr>
            </w:pPr>
            <w:r>
              <w:rPr>
                <w:bCs/>
              </w:rPr>
              <w:t>Seção 1 – Instruções aos Concorrentes (IAC)</w:t>
            </w:r>
          </w:p>
          <w:p w14:paraId="3077D555">
            <w:pPr>
              <w:spacing w:before="120" w:after="120" w:line="240" w:lineRule="auto"/>
              <w:ind w:left="947" w:hanging="142"/>
              <w:jc w:val="both"/>
              <w:rPr>
                <w:bCs/>
              </w:rPr>
            </w:pPr>
            <w:r>
              <w:rPr>
                <w:bCs/>
              </w:rPr>
              <w:t>Seção 2 – Dados da Licitação (DDL)</w:t>
            </w:r>
          </w:p>
          <w:p w14:paraId="4BB42216">
            <w:pPr>
              <w:spacing w:before="120" w:after="120" w:line="240" w:lineRule="auto"/>
              <w:ind w:left="947" w:hanging="142"/>
              <w:jc w:val="both"/>
              <w:rPr>
                <w:bCs/>
              </w:rPr>
            </w:pPr>
            <w:r>
              <w:rPr>
                <w:bCs/>
              </w:rPr>
              <w:t>Seção 3 – Critérios de Elegibilidade e Qualificação</w:t>
            </w:r>
          </w:p>
          <w:p w14:paraId="1C719A71">
            <w:pPr>
              <w:spacing w:before="120" w:after="120" w:line="240" w:lineRule="auto"/>
              <w:ind w:left="947" w:hanging="142"/>
              <w:jc w:val="both"/>
              <w:rPr>
                <w:bCs/>
              </w:rPr>
            </w:pPr>
            <w:r>
              <w:rPr>
                <w:bCs/>
              </w:rPr>
              <w:t>Seção 4 – Formulários da Proposta</w:t>
            </w:r>
          </w:p>
          <w:p w14:paraId="7309D491">
            <w:pPr>
              <w:spacing w:before="120" w:after="120" w:line="240" w:lineRule="auto"/>
              <w:ind w:left="947" w:hanging="142"/>
              <w:jc w:val="both"/>
              <w:rPr>
                <w:bCs/>
              </w:rPr>
            </w:pPr>
            <w:r>
              <w:rPr>
                <w:bCs/>
              </w:rPr>
              <w:t>Seção 5 – Países Elegíveis</w:t>
            </w:r>
          </w:p>
          <w:p w14:paraId="5449B99F">
            <w:pPr>
              <w:spacing w:before="120" w:after="120" w:line="240" w:lineRule="auto"/>
              <w:ind w:left="947" w:hanging="142"/>
              <w:jc w:val="both"/>
              <w:rPr>
                <w:b/>
              </w:rPr>
            </w:pPr>
            <w:r>
              <w:rPr>
                <w:b/>
              </w:rPr>
              <w:t>PARTE 2 – Requisitos das Obras</w:t>
            </w:r>
          </w:p>
          <w:p w14:paraId="042909B6">
            <w:pPr>
              <w:spacing w:before="120" w:after="120" w:line="240" w:lineRule="auto"/>
              <w:ind w:left="947" w:hanging="142"/>
              <w:jc w:val="both"/>
              <w:rPr>
                <w:bCs/>
              </w:rPr>
            </w:pPr>
            <w:r>
              <w:rPr>
                <w:bCs/>
              </w:rPr>
              <w:t>Seção 6 – Requisitos das Obras</w:t>
            </w:r>
          </w:p>
          <w:p w14:paraId="1F2B56EC">
            <w:pPr>
              <w:spacing w:before="120" w:after="120" w:line="240" w:lineRule="auto"/>
              <w:ind w:left="947" w:hanging="142"/>
              <w:jc w:val="both"/>
              <w:rPr>
                <w:b/>
              </w:rPr>
            </w:pPr>
            <w:r>
              <w:rPr>
                <w:b/>
              </w:rPr>
              <w:t>PARTE 3 – Contrato</w:t>
            </w:r>
          </w:p>
          <w:p w14:paraId="30D267A3">
            <w:pPr>
              <w:spacing w:before="120" w:after="120" w:line="240" w:lineRule="auto"/>
              <w:ind w:left="947" w:hanging="142"/>
              <w:jc w:val="both"/>
              <w:rPr>
                <w:bCs/>
              </w:rPr>
            </w:pPr>
            <w:r>
              <w:rPr>
                <w:bCs/>
              </w:rPr>
              <w:t>Seção 7 – Condições Gerais do Contrato (CGC)</w:t>
            </w:r>
          </w:p>
          <w:p w14:paraId="0011A8C4">
            <w:pPr>
              <w:spacing w:before="120" w:after="120" w:line="240" w:lineRule="auto"/>
              <w:ind w:left="947" w:hanging="142"/>
              <w:jc w:val="both"/>
              <w:rPr>
                <w:bCs/>
              </w:rPr>
            </w:pPr>
            <w:r>
              <w:rPr>
                <w:bCs/>
              </w:rPr>
              <w:t>Seção 8 – Dados do Contrato (DDC)</w:t>
            </w:r>
          </w:p>
          <w:p w14:paraId="3CE67372">
            <w:pPr>
              <w:spacing w:before="120" w:after="120" w:line="240" w:lineRule="auto"/>
              <w:ind w:left="947" w:hanging="142"/>
              <w:jc w:val="both"/>
              <w:rPr>
                <w:bCs/>
              </w:rPr>
            </w:pPr>
            <w:r>
              <w:rPr>
                <w:bCs/>
              </w:rPr>
              <w:t>Seção 9 – Formulários do Contrato</w:t>
            </w:r>
          </w:p>
          <w:p w14:paraId="4A715552">
            <w:pPr>
              <w:spacing w:before="120" w:after="120" w:line="240" w:lineRule="auto"/>
              <w:ind w:left="947" w:hanging="142"/>
              <w:jc w:val="both"/>
              <w:rPr>
                <w:b/>
              </w:rPr>
            </w:pPr>
            <w:r>
              <w:rPr>
                <w:b/>
              </w:rPr>
              <w:t>PARTE 4 – Orçamento</w:t>
            </w:r>
          </w:p>
          <w:p w14:paraId="3AC4DC85">
            <w:pPr>
              <w:spacing w:before="120" w:after="120" w:line="240" w:lineRule="auto"/>
              <w:ind w:left="947" w:hanging="142"/>
              <w:jc w:val="both"/>
              <w:rPr>
                <w:bCs/>
              </w:rPr>
            </w:pPr>
            <w:r>
              <w:rPr>
                <w:bCs/>
              </w:rPr>
              <w:t>Seção 10 – Orçamento Base</w:t>
            </w:r>
          </w:p>
          <w:p w14:paraId="06EB8545">
            <w:pPr>
              <w:spacing w:before="120" w:after="120" w:line="240" w:lineRule="auto"/>
              <w:ind w:left="947" w:hanging="142"/>
              <w:jc w:val="both"/>
              <w:rPr>
                <w:b/>
              </w:rPr>
            </w:pPr>
            <w:r>
              <w:rPr>
                <w:b/>
              </w:rPr>
              <w:t>PARTE 5 – Anexos</w:t>
            </w:r>
          </w:p>
          <w:p w14:paraId="233F4F0A">
            <w:pPr>
              <w:spacing w:before="120" w:after="120" w:line="240" w:lineRule="auto"/>
              <w:ind w:left="947" w:hanging="142"/>
              <w:jc w:val="both"/>
              <w:rPr>
                <w:bCs/>
              </w:rPr>
            </w:pPr>
            <w:r>
              <w:rPr>
                <w:bCs/>
              </w:rPr>
              <w:t>Seção 11 – Anexos</w:t>
            </w:r>
          </w:p>
          <w:p w14:paraId="273B422F">
            <w:pPr>
              <w:spacing w:before="120" w:after="120" w:line="240" w:lineRule="auto"/>
              <w:ind w:left="783" w:hanging="709"/>
              <w:jc w:val="both"/>
            </w:pPr>
            <w:r>
              <w:t>8.2</w:t>
            </w:r>
            <w:r>
              <w:tab/>
            </w:r>
            <w:r>
              <w:t>O Concorrente deverá examinar todas as instruções, formulários, termos e especificações contidos no edital.  A falha no fornecimento de informações exigidas será de responsabilidade do concorrente e a proposta que não atender substancialmente às condições previstas no edital será rejeitada.</w:t>
            </w:r>
          </w:p>
        </w:tc>
      </w:tr>
      <w:tr w14:paraId="5CA8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E5205C1">
            <w:pPr>
              <w:pStyle w:val="71"/>
            </w:pPr>
            <w:bookmarkStart w:id="16" w:name="_Toc174536350"/>
            <w:r>
              <w:t>9.</w:t>
            </w:r>
            <w:r>
              <w:tab/>
            </w:r>
            <w:r>
              <w:t>Disponibilização e Informações do Edital</w:t>
            </w:r>
            <w:bookmarkEnd w:id="16"/>
          </w:p>
        </w:tc>
        <w:tc>
          <w:tcPr>
            <w:tcW w:w="5653" w:type="dxa"/>
          </w:tcPr>
          <w:p w14:paraId="71D4AAB7">
            <w:pPr>
              <w:spacing w:before="120" w:after="120" w:line="240" w:lineRule="auto"/>
              <w:ind w:left="783" w:hanging="709"/>
              <w:jc w:val="both"/>
            </w:pPr>
            <w:r>
              <w:t>9.1</w:t>
            </w:r>
            <w:r>
              <w:tab/>
            </w:r>
            <w:r>
              <w:t xml:space="preserve">O </w:t>
            </w:r>
            <w:r>
              <w:rPr>
                <w:rFonts w:hint="default"/>
                <w:lang w:val="pt-BR"/>
              </w:rPr>
              <w:t>e</w:t>
            </w:r>
            <w:r>
              <w:t xml:space="preserve">dital estará disponível nos </w:t>
            </w:r>
            <w:r>
              <w:rPr>
                <w:i/>
                <w:iCs/>
              </w:rPr>
              <w:t>sites</w:t>
            </w:r>
            <w:r>
              <w:t xml:space="preserve"> indicados nos </w:t>
            </w:r>
            <w:r>
              <w:rPr>
                <w:b/>
                <w:bCs/>
              </w:rPr>
              <w:t>DDL</w:t>
            </w:r>
            <w:r>
              <w:t>.</w:t>
            </w:r>
          </w:p>
          <w:p w14:paraId="2E08EDCC">
            <w:pPr>
              <w:spacing w:before="120" w:after="120" w:line="240" w:lineRule="auto"/>
              <w:ind w:left="783" w:hanging="709"/>
              <w:jc w:val="both"/>
            </w:pPr>
            <w:r>
              <w:t>9.2</w:t>
            </w:r>
            <w:r>
              <w:tab/>
            </w:r>
            <w:r>
              <w:t xml:space="preserve">As empresas interessadas em participar deste certame, deverão estar atentas às informações disponibilizadas nos </w:t>
            </w:r>
            <w:r>
              <w:rPr>
                <w:i/>
                <w:iCs/>
              </w:rPr>
              <w:t>sites</w:t>
            </w:r>
            <w:r>
              <w:t xml:space="preserve"> indicados nas IAC 9.1</w:t>
            </w:r>
            <w:r>
              <w:rPr>
                <w:b/>
                <w:bCs/>
              </w:rPr>
              <w:t xml:space="preserve">, </w:t>
            </w:r>
            <w:r>
              <w:t>a qualquer momento, em virtude de esclarecimentos, erratas ou outras informações relevantes acerca do processo licitatório em curso.</w:t>
            </w:r>
          </w:p>
          <w:p w14:paraId="62CEC9E5">
            <w:pPr>
              <w:spacing w:before="120" w:after="120" w:line="240" w:lineRule="auto"/>
              <w:ind w:left="783" w:hanging="709"/>
              <w:jc w:val="both"/>
            </w:pPr>
            <w:r>
              <w:t>9.3</w:t>
            </w:r>
            <w:r>
              <w:tab/>
            </w:r>
            <w:r>
              <w:rPr>
                <w:b/>
                <w:bCs/>
              </w:rPr>
              <w:t>O Contratante</w:t>
            </w:r>
            <w:r>
              <w:t xml:space="preserve"> não se responsabilizará pelo edital, suas planilhas, formulários e demais informações, obtidos ou conhecidos de forma ou em local diverso do disposto acima.</w:t>
            </w:r>
          </w:p>
        </w:tc>
      </w:tr>
      <w:tr w14:paraId="1CA1B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4BF2D05E">
            <w:pPr>
              <w:pStyle w:val="71"/>
            </w:pPr>
            <w:bookmarkStart w:id="17" w:name="_Toc174536351"/>
            <w:r>
              <w:t>10.</w:t>
            </w:r>
            <w:r>
              <w:tab/>
            </w:r>
            <w:bookmarkEnd w:id="17"/>
            <w:r>
              <w:rPr>
                <w:rFonts w:hint="default"/>
              </w:rPr>
              <w:t>Credenciamento no Provedor do Processo Eletrônico</w:t>
            </w:r>
          </w:p>
        </w:tc>
        <w:tc>
          <w:tcPr>
            <w:tcW w:w="5653" w:type="dxa"/>
          </w:tcPr>
          <w:p w14:paraId="7557D380">
            <w:pPr>
              <w:spacing w:before="120" w:after="120" w:line="240" w:lineRule="auto"/>
              <w:ind w:left="783" w:hanging="709"/>
              <w:jc w:val="both"/>
            </w:pPr>
            <w:r>
              <w:t>10.1</w:t>
            </w:r>
            <w:r>
              <w:tab/>
            </w:r>
            <w:r>
              <w:rPr>
                <w:rFonts w:hint="default"/>
              </w:rPr>
              <w:t>A Licitação será realizada em sessão pública, por meio do sistema eletrônico indicado nos DDL, doravante denominado "Portal", mediante condições de segurança (criptografia e autenticação) em todas as suas fases. O credenciamento dar-se-á pela atribuição de chave de identificação e de senha, pessoal e intransferível, para acesso ao Portal</w:t>
            </w:r>
            <w:r>
              <w:t>.</w:t>
            </w:r>
          </w:p>
          <w:p w14:paraId="5BCC0839">
            <w:pPr>
              <w:spacing w:before="120" w:after="120" w:line="240" w:lineRule="auto"/>
              <w:ind w:left="783" w:hanging="709"/>
              <w:jc w:val="both"/>
            </w:pPr>
            <w:r>
              <w:t>10.2</w:t>
            </w:r>
            <w:r>
              <w:tab/>
            </w:r>
            <w:r>
              <w:rPr>
                <w:rFonts w:hint="default"/>
              </w:rPr>
              <w:t>Para ter acesso ao sistema eletrônico, os interessados deverão dispor de chave de identificação e senha pessoal, obtidas junto ao Portal, também deverão informar-se a respeito do seu funcionamento e regulamento e receber instruções detalhadas para sua correta utilização</w:t>
            </w:r>
            <w:r>
              <w:t>.</w:t>
            </w:r>
          </w:p>
          <w:p w14:paraId="0571E197">
            <w:pPr>
              <w:spacing w:before="120" w:after="120" w:line="240" w:lineRule="auto"/>
              <w:ind w:left="783" w:hanging="709"/>
              <w:jc w:val="both"/>
            </w:pPr>
            <w:r>
              <w:t>10.3</w:t>
            </w:r>
            <w:r>
              <w:tab/>
            </w:r>
            <w:r>
              <w:rPr>
                <w:rFonts w:hint="default"/>
              </w:rPr>
              <w:t>O credenciamento junto ao provedor do sistema implica a responsabilidade legal do Concorrente e a presunção de sua capacidade técnica para realização das transações inerentes ao certame na forma eletrônica.</w:t>
            </w:r>
          </w:p>
          <w:p w14:paraId="74966917">
            <w:pPr>
              <w:spacing w:before="120" w:after="120" w:line="240" w:lineRule="auto"/>
              <w:ind w:left="783" w:hanging="709"/>
              <w:jc w:val="both"/>
              <w:rPr>
                <w:rFonts w:hint="default"/>
                <w:lang w:val="pt-BR"/>
              </w:rPr>
            </w:pPr>
            <w:r>
              <w:t>10.4</w:t>
            </w:r>
            <w:r>
              <w:tab/>
            </w:r>
            <w:r>
              <w:rPr>
                <w:rFonts w:hint="default"/>
              </w:rPr>
              <w:t>O concorrente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hint="default"/>
                <w:lang w:val="pt-BR"/>
              </w:rPr>
              <w:t>.</w:t>
            </w:r>
          </w:p>
          <w:p w14:paraId="5BABE972">
            <w:pPr>
              <w:spacing w:before="120" w:after="120" w:line="240" w:lineRule="auto"/>
              <w:ind w:left="783" w:hanging="709"/>
              <w:jc w:val="both"/>
            </w:pPr>
            <w:r>
              <w:t>10.5</w:t>
            </w:r>
            <w:r>
              <w:tab/>
            </w:r>
            <w:r>
              <w:rPr>
                <w:rFonts w:hint="default"/>
              </w:rPr>
              <w:t>É de responsabilidade do Concorrente cadastrado conferir a exatidão dos seus dados cadastrais no Portal e mantê-los atualizados junto aos órgãos responsáveis pela informação, devendo proceder, imediatamente, à correção ou à alteração dos registros tão logo identifique incorreção ou aqueles se tornem desatualizados</w:t>
            </w:r>
            <w:r>
              <w:t>.</w:t>
            </w:r>
          </w:p>
          <w:p w14:paraId="7F15DA54">
            <w:pPr>
              <w:spacing w:before="120" w:after="120" w:line="240" w:lineRule="auto"/>
              <w:ind w:left="783" w:hanging="709"/>
              <w:jc w:val="both"/>
            </w:pPr>
            <w:r>
              <w:t>10.6</w:t>
            </w:r>
            <w:r>
              <w:tab/>
            </w:r>
            <w:r>
              <w:rPr>
                <w:rFonts w:hint="default"/>
              </w:rPr>
              <w:t>A não observância do disposto no subitem anterior poderá ensejar desclassificação no momento da habilitação</w:t>
            </w:r>
            <w:r>
              <w:t>.</w:t>
            </w:r>
          </w:p>
        </w:tc>
      </w:tr>
      <w:tr w14:paraId="79DE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D5B58AE">
            <w:pPr>
              <w:pStyle w:val="71"/>
            </w:pPr>
            <w:bookmarkStart w:id="18" w:name="_Toc174536352"/>
            <w:bookmarkStart w:id="19" w:name="_Toc168378645"/>
            <w:r>
              <w:t>11.</w:t>
            </w:r>
            <w:r>
              <w:tab/>
            </w:r>
            <w:r>
              <w:t xml:space="preserve"> Impugnação e Esclarecimentos sobre o Edital</w:t>
            </w:r>
            <w:bookmarkEnd w:id="18"/>
            <w:bookmarkEnd w:id="19"/>
          </w:p>
        </w:tc>
        <w:tc>
          <w:tcPr>
            <w:tcW w:w="5653" w:type="dxa"/>
          </w:tcPr>
          <w:p w14:paraId="2D5C5ED4">
            <w:pPr>
              <w:spacing w:before="120" w:after="120" w:line="240" w:lineRule="auto"/>
              <w:ind w:left="783" w:hanging="709"/>
              <w:jc w:val="both"/>
            </w:pPr>
            <w:r>
              <w:t>11.1</w:t>
            </w:r>
            <w:r>
              <w:tab/>
            </w:r>
            <w:r>
              <w:rPr>
                <w:rFonts w:hint="default"/>
              </w:rPr>
              <w:t>Qualquer pessoa poderá apresentar pedido de esclarecimentos ou impugnação ao edital de licitação, por meio eletrônico, devendo protocolar o pedido até 3 (três) dias úteis antes da data fixada para a abertura da sessão pública.</w:t>
            </w:r>
          </w:p>
          <w:p w14:paraId="4B5EE82E">
            <w:pPr>
              <w:spacing w:before="120" w:after="120" w:line="240" w:lineRule="auto"/>
              <w:ind w:left="1208" w:hanging="425"/>
              <w:jc w:val="both"/>
              <w:rPr>
                <w:rFonts w:hint="default"/>
                <w:lang w:val="pt-BR"/>
              </w:rPr>
            </w:pPr>
            <w:r>
              <w:rPr>
                <w:rFonts w:hint="default"/>
              </w:rPr>
              <w:t>(a)</w:t>
            </w:r>
            <w:r>
              <w:rPr>
                <w:rFonts w:hint="default"/>
              </w:rPr>
              <w:tab/>
            </w:r>
            <w:r>
              <w:rPr>
                <w:rFonts w:hint="default"/>
              </w:rPr>
              <w:t>O contratação, conforme o caso,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r>
              <w:rPr>
                <w:rFonts w:hint="default"/>
                <w:lang w:val="pt-BR"/>
              </w:rPr>
              <w:t>.</w:t>
            </w:r>
          </w:p>
          <w:p w14:paraId="60B15236">
            <w:pPr>
              <w:spacing w:before="120" w:after="120" w:line="240" w:lineRule="auto"/>
              <w:ind w:left="1208" w:hanging="425"/>
              <w:jc w:val="both"/>
              <w:rPr>
                <w:rFonts w:hint="default"/>
                <w:lang w:val="pt-BR"/>
              </w:rPr>
            </w:pPr>
            <w:r>
              <w:rPr>
                <w:rFonts w:hint="default"/>
                <w:lang w:val="pt-BR"/>
              </w:rPr>
              <w:t>(b)</w:t>
            </w:r>
            <w:r>
              <w:rPr>
                <w:rFonts w:hint="default"/>
                <w:lang w:val="pt-BR"/>
              </w:rPr>
              <w:tab/>
            </w:r>
            <w:r>
              <w:rPr>
                <w:rFonts w:hint="default"/>
                <w:lang w:val="pt-BR"/>
              </w:rPr>
              <w:t>A impugnação não possui efeito suspensivo, sendo a sua concessão medida excepcional que deverá ser motivada pelo Agente de contratação nos autos do processo de licitação.</w:t>
            </w:r>
          </w:p>
          <w:p w14:paraId="50442020">
            <w:pPr>
              <w:spacing w:before="120" w:after="120" w:line="240" w:lineRule="auto"/>
              <w:ind w:left="1208" w:hanging="425"/>
              <w:jc w:val="both"/>
              <w:rPr>
                <w:rFonts w:hint="default"/>
                <w:lang w:val="pt-BR"/>
              </w:rPr>
            </w:pPr>
            <w:r>
              <w:rPr>
                <w:rFonts w:hint="default"/>
                <w:lang w:val="pt-BR"/>
              </w:rPr>
              <w:t>(b)</w:t>
            </w:r>
            <w:r>
              <w:rPr>
                <w:rFonts w:hint="default"/>
                <w:lang w:val="pt-BR"/>
              </w:rPr>
              <w:tab/>
            </w:r>
            <w:r>
              <w:rPr>
                <w:rFonts w:hint="default"/>
                <w:lang w:val="pt-BR"/>
              </w:rPr>
              <w:t>As respostas aos pedidos de esclarecimentos e impugnações serão divulgadas em sítio eletrônico oficial do Município e no sistema e vincularão os participantes e a Administração Municipal;</w:t>
            </w:r>
          </w:p>
          <w:p w14:paraId="2A85D6A9">
            <w:pPr>
              <w:spacing w:before="120" w:after="120" w:line="240" w:lineRule="auto"/>
              <w:ind w:left="783" w:hanging="709"/>
              <w:jc w:val="both"/>
              <w:rPr>
                <w:rFonts w:hint="default"/>
                <w:lang w:val="pt-BR"/>
              </w:rPr>
            </w:pPr>
            <w:r>
              <w:rPr>
                <w:rFonts w:hint="default"/>
                <w:lang w:val="pt-BR"/>
              </w:rPr>
              <w:t>11.2</w:t>
            </w:r>
            <w:r>
              <w:rPr>
                <w:rFonts w:hint="default"/>
                <w:lang w:val="pt-BR"/>
              </w:rPr>
              <w:tab/>
            </w:r>
            <w:r>
              <w:rPr>
                <w:rFonts w:hint="default"/>
                <w:lang w:val="pt-BR"/>
              </w:rPr>
              <w:t>Na hipótese de alteração do instrumento convocatório em decorrência do acolhimento da impugnação ou do esclarecimento feito, aplica-se o disposto no §1º do art. 55 da Lei Federal n.° 14.133/2021.</w:t>
            </w:r>
          </w:p>
          <w:p w14:paraId="7294F97E">
            <w:pPr>
              <w:spacing w:before="120" w:after="120" w:line="240" w:lineRule="auto"/>
              <w:ind w:left="783" w:hanging="709"/>
              <w:jc w:val="both"/>
            </w:pPr>
            <w:r>
              <w:rPr>
                <w:rFonts w:hint="default"/>
              </w:rPr>
              <w:t>11.</w:t>
            </w:r>
            <w:r>
              <w:rPr>
                <w:rFonts w:hint="default"/>
                <w:lang w:val="pt-BR"/>
              </w:rPr>
              <w:t>3</w:t>
            </w:r>
            <w:r>
              <w:rPr>
                <w:rFonts w:hint="default"/>
              </w:rPr>
              <w:tab/>
            </w:r>
            <w:r>
              <w:t>Se a impugnação e/ou esclarecimento resultar em alterações de elementos essenciais do Edital, o Contratante deverá modificar o mesmo seguindo o procedimento indicado nas IAC 12 e 22.</w:t>
            </w:r>
          </w:p>
          <w:p w14:paraId="16FBAAD0">
            <w:pPr>
              <w:spacing w:before="120" w:after="120" w:line="240" w:lineRule="auto"/>
              <w:ind w:left="783" w:hanging="709"/>
              <w:jc w:val="both"/>
            </w:pPr>
            <w:r>
              <w:t>11.</w:t>
            </w:r>
            <w:r>
              <w:rPr>
                <w:rFonts w:hint="default"/>
                <w:lang w:val="pt-BR"/>
              </w:rPr>
              <w:t>4</w:t>
            </w:r>
            <w:r>
              <w:tab/>
            </w:r>
            <w:r>
              <w:t xml:space="preserve">Os Concorrentes poderão alertar o Contratante, mediante documento formalizado e apresentado exclusivamente por meio do </w:t>
            </w:r>
            <w:r>
              <w:rPr>
                <w:i/>
                <w:iCs/>
              </w:rPr>
              <w:t>Portal</w:t>
            </w:r>
            <w:r>
              <w:t>, com uma cópia ao FONPLATA (</w:t>
            </w:r>
            <w:r>
              <w:rPr>
                <w:i/>
                <w:iCs/>
              </w:rPr>
              <w:t>cumplimiento@fonplata.org</w:t>
            </w:r>
            <w:r>
              <w:t>)</w:t>
            </w:r>
            <w:r>
              <w:rPr>
                <w:rFonts w:hint="default"/>
                <w:lang w:val="pt-BR"/>
              </w:rPr>
              <w:t>.</w:t>
            </w:r>
          </w:p>
          <w:p w14:paraId="71A531AF">
            <w:pPr>
              <w:spacing w:before="120" w:after="120" w:line="240" w:lineRule="auto"/>
              <w:ind w:left="1208" w:hanging="425"/>
              <w:jc w:val="both"/>
              <w:rPr>
                <w:bCs/>
              </w:rPr>
            </w:pPr>
            <w:r>
              <w:rPr>
                <w:rFonts w:hint="default"/>
                <w:lang w:val="pt-BR"/>
              </w:rPr>
              <w:t>(a)</w:t>
            </w:r>
            <w:r>
              <w:rPr>
                <w:rFonts w:hint="default"/>
                <w:lang w:val="pt-BR"/>
              </w:rPr>
              <w:tab/>
            </w:r>
            <w:r>
              <w:rPr>
                <w:rFonts w:hint="default"/>
              </w:rPr>
              <w:t>A licitante declarará, em campo próprio do sistema, sem prejuízo da exigência de outras declarações previstas em legislação específica e na Lei Federal n.° 14.133/2021, o cumprimento dos requisitos para a habilitação e a conformidade de sua proposta com as exigências do edital de licitação</w:t>
            </w:r>
            <w:r>
              <w:rPr>
                <w:bCs/>
              </w:rPr>
              <w:t>as cláusulas e/ou especificações técnicas incluídas no Edital restrinjam a concorrência nacional/internacional; e/ou</w:t>
            </w:r>
          </w:p>
          <w:p w14:paraId="6DE4CBDD">
            <w:pPr>
              <w:spacing w:before="120" w:after="120" w:line="240" w:lineRule="auto"/>
              <w:ind w:left="1208" w:hanging="425"/>
              <w:jc w:val="both"/>
              <w:rPr>
                <w:bCs/>
              </w:rPr>
            </w:pPr>
            <w:r>
              <w:rPr>
                <w:bCs/>
              </w:rPr>
              <w:t>(b)</w:t>
            </w:r>
            <w:r>
              <w:tab/>
            </w:r>
            <w:r>
              <w:rPr>
                <w:bCs/>
              </w:rPr>
              <w:t>concedem uma vantagem injusta a um ou mais concorrente(s).</w:t>
            </w:r>
          </w:p>
          <w:p w14:paraId="44FD9A7E">
            <w:pPr>
              <w:spacing w:before="120" w:after="120" w:line="240" w:lineRule="auto"/>
              <w:ind w:left="783" w:hanging="709"/>
              <w:jc w:val="both"/>
              <w:rPr>
                <w:bCs/>
                <w:color w:val="FF0000"/>
              </w:rPr>
            </w:pPr>
            <w:r>
              <w:rPr>
                <w:bCs/>
              </w:rPr>
              <w:t>11.</w:t>
            </w:r>
            <w:r>
              <w:rPr>
                <w:rFonts w:hint="default"/>
                <w:bCs/>
                <w:lang w:val="pt-BR"/>
              </w:rPr>
              <w:t>5</w:t>
            </w:r>
            <w:r>
              <w:tab/>
            </w:r>
            <w:r>
              <w:t xml:space="preserve">A comunicação entre o Contratante e os concorrentes durante as diversas etapas do processo de aquisição e contratação deverá ser feita exclusivamente por meio do </w:t>
            </w:r>
            <w:r>
              <w:rPr>
                <w:i/>
                <w:iCs/>
              </w:rPr>
              <w:t>Portal</w:t>
            </w:r>
            <w:r>
              <w:t xml:space="preserve">. </w:t>
            </w:r>
          </w:p>
          <w:p w14:paraId="4B34202B">
            <w:pPr>
              <w:spacing w:before="120" w:after="120" w:line="240" w:lineRule="auto"/>
              <w:ind w:left="783" w:hanging="709"/>
              <w:jc w:val="both"/>
            </w:pPr>
            <w:r>
              <w:rPr>
                <w:bCs/>
              </w:rPr>
              <w:t>11.</w:t>
            </w:r>
            <w:r>
              <w:rPr>
                <w:rFonts w:hint="default"/>
                <w:bCs/>
                <w:lang w:val="pt-BR"/>
              </w:rPr>
              <w:t>6</w:t>
            </w:r>
            <w:r>
              <w:tab/>
            </w:r>
            <w:r>
              <w:rPr>
                <w:bCs/>
              </w:rPr>
              <w:t xml:space="preserve">A comunicação verbal não terá efeito no processo. As comunicações entre o </w:t>
            </w:r>
            <w:r>
              <w:rPr>
                <w:iCs/>
              </w:rPr>
              <w:t>Contratante</w:t>
            </w:r>
            <w:r>
              <w:rPr>
                <w:bCs/>
              </w:rPr>
              <w:t xml:space="preserve"> e o Concorrente </w:t>
            </w:r>
            <w:r>
              <w:t>devem ser realizadas por escrito</w:t>
            </w:r>
            <w:r>
              <w:rPr>
                <w:bCs/>
              </w:rPr>
              <w:t xml:space="preserve"> sempre que o ato exigir tal formalidade, admitindo-se o uso de mensagem eletrônica para esse fim.</w:t>
            </w:r>
          </w:p>
        </w:tc>
      </w:tr>
      <w:tr w14:paraId="79BA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0E089C42">
            <w:pPr>
              <w:pStyle w:val="71"/>
            </w:pPr>
            <w:bookmarkStart w:id="20" w:name="_Toc174536353"/>
            <w:r>
              <w:t>12.</w:t>
            </w:r>
            <w:r>
              <w:tab/>
            </w:r>
            <w:r>
              <w:t>Adendos ao Edital</w:t>
            </w:r>
            <w:bookmarkEnd w:id="20"/>
          </w:p>
        </w:tc>
        <w:tc>
          <w:tcPr>
            <w:tcW w:w="5653" w:type="dxa"/>
          </w:tcPr>
          <w:p w14:paraId="5499198C">
            <w:pPr>
              <w:spacing w:before="120" w:after="120" w:line="240" w:lineRule="auto"/>
              <w:ind w:left="783" w:hanging="709"/>
              <w:jc w:val="both"/>
            </w:pPr>
            <w:r>
              <w:t>12.1</w:t>
            </w:r>
            <w:r>
              <w:tab/>
            </w:r>
            <w:r>
              <w:t>A qualquer tempo antes da data limite para a apresentação das propostas, o Contratante poderá, por qualquer motivo, por sua própria iniciativa ou em resposta a alguma indagação de um concorrente, modificar o edital por meio de um adendo.</w:t>
            </w:r>
          </w:p>
          <w:p w14:paraId="5E877EC1">
            <w:pPr>
              <w:spacing w:before="120" w:after="120" w:line="240" w:lineRule="auto"/>
              <w:ind w:left="783" w:hanging="709"/>
              <w:jc w:val="both"/>
            </w:pPr>
            <w:r>
              <w:t>12.2</w:t>
            </w:r>
            <w:r>
              <w:tab/>
            </w:r>
            <w:r>
              <w:t xml:space="preserve">Os adendos serão publicados pelo Contratante no site do identificado nos </w:t>
            </w:r>
            <w:r>
              <w:rPr>
                <w:b/>
                <w:bCs/>
              </w:rPr>
              <w:t>DDL</w:t>
            </w:r>
            <w:r>
              <w:t>.</w:t>
            </w:r>
          </w:p>
          <w:p w14:paraId="7FA56055">
            <w:pPr>
              <w:spacing w:before="120" w:after="120" w:line="240" w:lineRule="auto"/>
              <w:ind w:left="783" w:hanging="709"/>
              <w:jc w:val="both"/>
            </w:pPr>
            <w:r>
              <w:t>12.3</w:t>
            </w:r>
            <w:r>
              <w:tab/>
            </w:r>
            <w:r>
              <w:t>A fim de dar tempo suficiente aos concorrentes para que considerem o adendo na preparação de suas propostas, o Contratante prorrogará, se necessário, o prazo para apresentação das propostas.</w:t>
            </w:r>
          </w:p>
          <w:p w14:paraId="5CE1F073">
            <w:pPr>
              <w:spacing w:before="120" w:after="120" w:line="240" w:lineRule="auto"/>
              <w:ind w:left="783" w:hanging="709"/>
              <w:jc w:val="both"/>
            </w:pPr>
            <w:r>
              <w:t>12.4</w:t>
            </w:r>
            <w:r>
              <w:tab/>
            </w:r>
            <w:r>
              <w:t xml:space="preserve">Toda e qualquer alteração que possivelmente ocorrer neste Edital, tais como errata, adendo, suspensão ou revogação, deverá ser consultada pelos pretensos </w:t>
            </w:r>
            <w:r>
              <w:rPr>
                <w:b/>
                <w:bCs/>
              </w:rPr>
              <w:t>Concorrentes</w:t>
            </w:r>
            <w:r>
              <w:t xml:space="preserve"> nos </w:t>
            </w:r>
            <w:r>
              <w:rPr>
                <w:i/>
                <w:iCs/>
              </w:rPr>
              <w:t>sites</w:t>
            </w:r>
            <w:r>
              <w:t xml:space="preserve"> indicados nas IAC 12.2.</w:t>
            </w:r>
          </w:p>
        </w:tc>
      </w:tr>
      <w:tr w14:paraId="4407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676B727A">
            <w:pPr>
              <w:pStyle w:val="69"/>
              <w:rPr>
                <w:b w:val="0"/>
                <w:bCs w:val="0"/>
              </w:rPr>
            </w:pPr>
            <w:bookmarkStart w:id="21" w:name="_Toc174536354"/>
            <w:r>
              <w:t>C – PREPARAÇÃO DAS PROPOSTAS</w:t>
            </w:r>
            <w:bookmarkEnd w:id="21"/>
          </w:p>
        </w:tc>
      </w:tr>
      <w:tr w14:paraId="4AAC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CADAEFC">
            <w:pPr>
              <w:pStyle w:val="71"/>
            </w:pPr>
            <w:bookmarkStart w:id="22" w:name="_Toc174536355"/>
            <w:r>
              <w:t>13.</w:t>
            </w:r>
            <w:r>
              <w:tab/>
            </w:r>
            <w:r>
              <w:t>Idioma da Proposta</w:t>
            </w:r>
            <w:bookmarkEnd w:id="22"/>
          </w:p>
        </w:tc>
        <w:tc>
          <w:tcPr>
            <w:tcW w:w="5653" w:type="dxa"/>
          </w:tcPr>
          <w:p w14:paraId="7D088504">
            <w:pPr>
              <w:spacing w:before="120" w:after="120" w:line="240" w:lineRule="auto"/>
              <w:ind w:left="783" w:hanging="709"/>
              <w:jc w:val="both"/>
            </w:pPr>
            <w:r>
              <w:t>13.1</w:t>
            </w:r>
            <w:r>
              <w:tab/>
            </w:r>
            <w:r>
              <w:t xml:space="preserve">A proposta e demais documentos deverão ser escritos em português, inclusive o contrato a ser firmado, podendo os documentos complementares fornecidos pelos concorrentes, estar em outro idioma, porém, deverão estar acompanhados de tradução para o português e a mesma prevalecerá sobre os originais, principalmente no que se refere à interpretação da proposta. </w:t>
            </w:r>
          </w:p>
        </w:tc>
      </w:tr>
      <w:tr w14:paraId="5FA5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FA10E29">
            <w:pPr>
              <w:pStyle w:val="71"/>
            </w:pPr>
            <w:bookmarkStart w:id="23" w:name="_Toc174536356"/>
            <w:bookmarkStart w:id="24" w:name="_Toc168378649"/>
            <w:bookmarkStart w:id="25" w:name="_Toc157690431"/>
            <w:bookmarkStart w:id="26" w:name="_Toc155815754"/>
            <w:r>
              <w:t>14.</w:t>
            </w:r>
            <w:r>
              <w:tab/>
            </w:r>
            <w:r>
              <w:t>Apresentação e Documentos que Compõem a Proposta</w:t>
            </w:r>
            <w:bookmarkEnd w:id="23"/>
            <w:bookmarkEnd w:id="24"/>
            <w:bookmarkEnd w:id="25"/>
            <w:bookmarkEnd w:id="26"/>
          </w:p>
        </w:tc>
        <w:tc>
          <w:tcPr>
            <w:tcW w:w="5653" w:type="dxa"/>
          </w:tcPr>
          <w:p w14:paraId="4C69B544">
            <w:pPr>
              <w:spacing w:before="120" w:after="120" w:line="240" w:lineRule="auto"/>
              <w:ind w:left="783" w:hanging="709"/>
              <w:jc w:val="both"/>
              <w:rPr>
                <w:color w:val="auto"/>
              </w:rPr>
            </w:pPr>
            <w:r>
              <w:t>14.1</w:t>
            </w:r>
            <w:r>
              <w:rPr>
                <w:color w:val="auto"/>
              </w:rPr>
              <w:tab/>
            </w:r>
            <w:r>
              <w:rPr>
                <w:rFonts w:hint="default"/>
                <w:color w:val="auto"/>
              </w:rPr>
              <w:t>Os concorrentes encaminharão, exclusivamente por meio do sistema eletrônico</w:t>
            </w:r>
            <w:r>
              <w:rPr>
                <w:rFonts w:hint="default"/>
                <w:color w:val="auto"/>
                <w:lang w:val="pt-BR"/>
              </w:rPr>
              <w:t xml:space="preserve"> BLL COMPRAS</w:t>
            </w:r>
            <w:r>
              <w:rPr>
                <w:rFonts w:hint="default"/>
                <w:color w:val="auto"/>
              </w:rPr>
              <w:t>, a proposta com o preço, até a data e o horário estabelecidos para abertura da sessão pública, quando, então, encerrar-se-á automaticamente a etapa de envio</w:t>
            </w:r>
            <w:r>
              <w:rPr>
                <w:color w:val="auto"/>
              </w:rPr>
              <w:t xml:space="preserve">. </w:t>
            </w:r>
          </w:p>
          <w:p w14:paraId="0C52D3A7">
            <w:pPr>
              <w:spacing w:before="120" w:after="120" w:line="240" w:lineRule="auto"/>
              <w:ind w:left="783" w:hanging="709"/>
              <w:jc w:val="both"/>
              <w:rPr>
                <w:rFonts w:hint="default"/>
                <w:color w:val="auto"/>
              </w:rPr>
            </w:pPr>
            <w:r>
              <w:rPr>
                <w:color w:val="auto"/>
              </w:rPr>
              <w:t>14.2</w:t>
            </w:r>
            <w:r>
              <w:rPr>
                <w:color w:val="auto"/>
              </w:rPr>
              <w:tab/>
            </w:r>
            <w:r>
              <w:rPr>
                <w:rFonts w:hint="default"/>
                <w:color w:val="auto"/>
              </w:rPr>
              <w:t>A licitante declarará, em campo próprio do sistema, sem prejuízo da exigência de outras declarações previstas em legislação específica e na Lei Federal n.° 14.133/2021, o cumprimento dos requisitos para a habilitação e a conformidade de sua proposta com as exigências do edital de licitação:</w:t>
            </w:r>
          </w:p>
          <w:p w14:paraId="73AC13E4">
            <w:pPr>
              <w:spacing w:before="120" w:after="120" w:line="240" w:lineRule="auto"/>
              <w:ind w:left="1208" w:hanging="425"/>
              <w:jc w:val="both"/>
              <w:rPr>
                <w:rFonts w:hint="default"/>
                <w:color w:val="auto"/>
                <w:lang w:val="pt-BR"/>
              </w:rPr>
            </w:pPr>
            <w:r>
              <w:rPr>
                <w:rFonts w:hint="default"/>
                <w:color w:val="auto"/>
                <w:lang w:val="pt-BR"/>
              </w:rPr>
              <w:t>(a)</w:t>
            </w:r>
            <w:r>
              <w:rPr>
                <w:rFonts w:hint="default"/>
                <w:color w:val="auto"/>
                <w:lang w:val="pt-BR"/>
              </w:rPr>
              <w:tab/>
            </w:r>
            <w:r>
              <w:rPr>
                <w:rFonts w:hint="default"/>
                <w:color w:val="auto"/>
                <w:lang w:val="pt-BR"/>
              </w:rPr>
              <w:t>No cadastramento da proposta inicial, o fornecedor enquadrado como Microempresa, Empresa de Pequeno Porte ou Equiparadas deverá declarar, ainda, em campo próprio do sistema eletrônico, que cumpre os requisitos estabelecidos no art. 3º da Lei Complementar n.° 123/2006, estando apto a usufruir do tratamento favorecido estabelecido em seus arts. 42 a 49, observado o disposto nos §§ 1º ao 3º do art. 4º da Lei Federal n.° 14.133/2021.</w:t>
            </w:r>
          </w:p>
          <w:p w14:paraId="798ED751">
            <w:pPr>
              <w:spacing w:before="120" w:after="120" w:line="240" w:lineRule="auto"/>
              <w:ind w:left="1208" w:hanging="425"/>
              <w:jc w:val="both"/>
              <w:rPr>
                <w:rFonts w:hint="default"/>
                <w:color w:val="auto"/>
                <w:lang w:val="pt-BR"/>
              </w:rPr>
            </w:pPr>
            <w:r>
              <w:rPr>
                <w:rFonts w:hint="default"/>
                <w:color w:val="auto"/>
                <w:lang w:val="pt-BR"/>
              </w:rPr>
              <w:t>(b)</w:t>
            </w:r>
            <w:r>
              <w:rPr>
                <w:rFonts w:hint="default"/>
                <w:color w:val="auto"/>
                <w:lang w:val="pt-BR"/>
              </w:rPr>
              <w:tab/>
            </w:r>
            <w:r>
              <w:rPr>
                <w:rFonts w:hint="default"/>
                <w:color w:val="auto"/>
                <w:lang w:val="pt-BR"/>
              </w:rPr>
              <w:t>A falsidade da declaração sujeitará a licitante às sanções previstas na Lei Federal n.° 14.133/2021 e neste edital.</w:t>
            </w:r>
          </w:p>
          <w:p w14:paraId="43BD458C">
            <w:pPr>
              <w:spacing w:before="120" w:after="120" w:line="240" w:lineRule="auto"/>
              <w:ind w:left="783" w:hanging="709"/>
              <w:jc w:val="both"/>
              <w:rPr>
                <w:color w:val="auto"/>
              </w:rPr>
            </w:pPr>
            <w:r>
              <w:rPr>
                <w:color w:val="auto"/>
              </w:rPr>
              <w:t>14.3</w:t>
            </w:r>
            <w:r>
              <w:rPr>
                <w:color w:val="auto"/>
              </w:rPr>
              <w:tab/>
            </w:r>
            <w:r>
              <w:rPr>
                <w:rFonts w:hint="default"/>
                <w:color w:val="auto"/>
              </w:rPr>
              <w:t>Da limitação de remessa de arquivos eletrônicos: O envio da documentação relativa à proposta, à habilitação jurídica, qualificação econômico-financeira e regularidade fiscal e trabalhista e à qualificação técnica estará limitado ao que está indicado n</w:t>
            </w:r>
            <w:r>
              <w:rPr>
                <w:rFonts w:hint="default"/>
                <w:color w:val="auto"/>
                <w:lang w:val="pt-BR"/>
              </w:rPr>
              <w:t>a</w:t>
            </w:r>
            <w:r>
              <w:rPr>
                <w:rFonts w:hint="default"/>
                <w:color w:val="auto"/>
              </w:rPr>
              <w:t xml:space="preserve"> </w:t>
            </w:r>
            <w:r>
              <w:rPr>
                <w:rFonts w:hint="default"/>
                <w:color w:val="auto"/>
                <w:lang w:val="pt-BR"/>
              </w:rPr>
              <w:t>Seção 3 - Requisitos de Elegibilidade e Qualificação</w:t>
            </w:r>
            <w:r>
              <w:rPr>
                <w:color w:val="auto"/>
              </w:rPr>
              <w:t xml:space="preserve">. </w:t>
            </w:r>
          </w:p>
          <w:p w14:paraId="1FAD8D0D">
            <w:pPr>
              <w:spacing w:before="120" w:after="120" w:line="240" w:lineRule="auto"/>
              <w:ind w:left="783" w:hanging="709"/>
              <w:jc w:val="both"/>
              <w:rPr>
                <w:rFonts w:hint="default"/>
                <w:color w:val="auto"/>
                <w:lang w:val="pt-BR"/>
              </w:rPr>
            </w:pPr>
            <w:r>
              <w:rPr>
                <w:rFonts w:hint="default"/>
                <w:color w:val="auto"/>
                <w:lang w:val="pt-BR"/>
              </w:rPr>
              <w:t>14.5</w:t>
            </w:r>
            <w:r>
              <w:rPr>
                <w:rFonts w:hint="default"/>
                <w:color w:val="auto"/>
                <w:lang w:val="pt-BR"/>
              </w:rPr>
              <w:tab/>
            </w:r>
            <w:r>
              <w:rPr>
                <w:rFonts w:hint="default"/>
                <w:color w:val="auto"/>
                <w:lang w:val="pt-BR"/>
              </w:rPr>
              <w:t>O concorrente poderá inserir junto com a proposta quaisquer informações ou materiais complementares que julgue necessários ao perfeito entendimento da Proposta. A primeira página da proposta deverá conter um índice listando os documentos nela incluídos.</w:t>
            </w:r>
          </w:p>
          <w:p w14:paraId="08AE624A">
            <w:pPr>
              <w:spacing w:before="120" w:after="120" w:line="240" w:lineRule="auto"/>
              <w:ind w:left="783" w:hanging="709"/>
              <w:jc w:val="both"/>
              <w:rPr>
                <w:rFonts w:hint="default"/>
                <w:color w:val="4EA72E" w:themeColor="accent6"/>
                <w:lang w:val="pt-BR"/>
                <w14:textFill>
                  <w14:solidFill>
                    <w14:schemeClr w14:val="accent6"/>
                  </w14:solidFill>
                </w14:textFill>
              </w:rPr>
            </w:pPr>
            <w:r>
              <w:rPr>
                <w:rFonts w:hint="default"/>
                <w:color w:val="auto"/>
                <w:lang w:val="pt-BR"/>
              </w:rPr>
              <w:t>14.6</w:t>
            </w:r>
            <w:r>
              <w:rPr>
                <w:rFonts w:hint="default"/>
                <w:color w:val="auto"/>
                <w:lang w:val="pt-BR"/>
              </w:rPr>
              <w:tab/>
            </w:r>
            <w:r>
              <w:rPr>
                <w:rFonts w:hint="default"/>
                <w:color w:val="auto"/>
                <w:lang w:val="pt-BR"/>
              </w:rPr>
              <w:t>A licitante que apresentar documentação falsa exigidos para o certame ficará sujeita a penalidade de impedimento de contratação e de licitar com a União, Estados, Distrito Federal ou Municípios, pelo prazo de até 06 (seis) anos, sem prejuízo das multas previstas neste edital, contrato e das demais cominações, segundo disposição constante no edital.</w:t>
            </w:r>
          </w:p>
        </w:tc>
      </w:tr>
      <w:tr w14:paraId="1C5F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7361601A">
            <w:pPr>
              <w:pStyle w:val="71"/>
            </w:pPr>
            <w:bookmarkStart w:id="27" w:name="_Toc174536357"/>
            <w:r>
              <w:t>15.</w:t>
            </w:r>
            <w:r>
              <w:tab/>
            </w:r>
            <w:r>
              <w:t>Preço da Proposta</w:t>
            </w:r>
            <w:bookmarkEnd w:id="27"/>
          </w:p>
          <w:p w14:paraId="10B8CD1E">
            <w:pPr>
              <w:spacing w:before="120" w:after="120" w:line="240" w:lineRule="auto"/>
              <w:ind w:left="601" w:hanging="567"/>
              <w:jc w:val="both"/>
            </w:pPr>
          </w:p>
        </w:tc>
        <w:tc>
          <w:tcPr>
            <w:tcW w:w="5653" w:type="dxa"/>
          </w:tcPr>
          <w:p w14:paraId="3ECDD08C">
            <w:pPr>
              <w:spacing w:before="120" w:after="120" w:line="240" w:lineRule="auto"/>
              <w:ind w:left="783" w:hanging="709"/>
              <w:jc w:val="both"/>
              <w:rPr>
                <w:color w:val="auto"/>
              </w:rPr>
            </w:pPr>
            <w:r>
              <w:rPr>
                <w:color w:val="auto"/>
              </w:rPr>
              <w:t>15.1</w:t>
            </w:r>
            <w:r>
              <w:rPr>
                <w:bCs/>
                <w:color w:val="auto"/>
              </w:rPr>
              <w:tab/>
            </w:r>
            <w:r>
              <w:rPr>
                <w:color w:val="auto"/>
              </w:rPr>
              <w:t xml:space="preserve">A menos que especificado em contrário nos </w:t>
            </w:r>
            <w:r>
              <w:rPr>
                <w:b/>
                <w:bCs/>
                <w:iCs/>
                <w:color w:val="auto"/>
              </w:rPr>
              <w:t>DDL</w:t>
            </w:r>
            <w:r>
              <w:rPr>
                <w:color w:val="auto"/>
              </w:rPr>
              <w:t>, a Proposta cobrirá a execução da totalidade das Obras.</w:t>
            </w:r>
          </w:p>
          <w:p w14:paraId="5168C6C5">
            <w:pPr>
              <w:spacing w:before="120" w:after="120" w:line="240" w:lineRule="auto"/>
              <w:ind w:left="783" w:hanging="709"/>
              <w:jc w:val="both"/>
              <w:rPr>
                <w:color w:val="auto"/>
              </w:rPr>
            </w:pPr>
            <w:r>
              <w:rPr>
                <w:color w:val="auto"/>
              </w:rPr>
              <w:t>15.2</w:t>
            </w:r>
            <w:r>
              <w:rPr>
                <w:bCs/>
                <w:color w:val="auto"/>
              </w:rPr>
              <w:tab/>
            </w:r>
            <w:r>
              <w:rPr>
                <w:color w:val="auto"/>
              </w:rPr>
              <w:t xml:space="preserve">O Concorrente deverá preencher a Planilha de Quantidades e Preços e o Cronograma de Atividades (Físico-Financeiro), conforme indicado nos </w:t>
            </w:r>
            <w:r>
              <w:rPr>
                <w:b/>
                <w:color w:val="auto"/>
              </w:rPr>
              <w:t>DDL</w:t>
            </w:r>
            <w:r>
              <w:rPr>
                <w:color w:val="auto"/>
              </w:rPr>
              <w:t>. Itens para os quais nenhuma taxa ou preço tenha sido cotado pelo Concorrente serão considerados, pelo Contratante, cobertos por outras taxas e preços cotados.</w:t>
            </w:r>
          </w:p>
          <w:p w14:paraId="5EB06DD7">
            <w:pPr>
              <w:spacing w:before="120" w:after="120" w:line="240" w:lineRule="auto"/>
              <w:ind w:left="783" w:hanging="709"/>
              <w:jc w:val="both"/>
              <w:rPr>
                <w:color w:val="auto"/>
              </w:rPr>
            </w:pPr>
            <w:r>
              <w:rPr>
                <w:color w:val="auto"/>
              </w:rPr>
              <w:t>15.3</w:t>
            </w:r>
            <w:r>
              <w:rPr>
                <w:bCs/>
                <w:color w:val="auto"/>
              </w:rPr>
              <w:tab/>
            </w:r>
            <w:r>
              <w:rPr>
                <w:color w:val="auto"/>
              </w:rPr>
              <w:t xml:space="preserve">O preço ofertado deverá cobrir todas as despesas relacionadas à execução do Contrato, inclusive tributos e encargos de natureza social, trabalhista, previdenciária, fiscal ou parafiscal, tendo por base a legislação vigente </w:t>
            </w:r>
            <w:r>
              <w:rPr>
                <w:rFonts w:hint="default"/>
                <w:color w:val="auto"/>
              </w:rPr>
              <w:t>90 (noventa)</w:t>
            </w:r>
            <w:r>
              <w:rPr>
                <w:color w:val="auto"/>
              </w:rPr>
              <w:t xml:space="preserve"> dias antes da data prevista para a apresentação de propostas.</w:t>
            </w:r>
          </w:p>
          <w:p w14:paraId="1AC31AF0">
            <w:pPr>
              <w:spacing w:before="120" w:after="120" w:line="240" w:lineRule="auto"/>
              <w:ind w:left="783" w:hanging="709"/>
              <w:jc w:val="both"/>
              <w:rPr>
                <w:color w:val="auto"/>
              </w:rPr>
            </w:pPr>
            <w:r>
              <w:rPr>
                <w:color w:val="auto"/>
              </w:rPr>
              <w:t>15.4     Os preços ofertados, tanto na proposta inicial, quanto na etapa de lances, serão de exclusiva responsabilidade da licitante, não lhe assistindo o direito de pleitear qualquer alteração, sob alegação de erro, omissão ou qualquer outro pretexto.</w:t>
            </w:r>
          </w:p>
          <w:p w14:paraId="765C6CED">
            <w:pPr>
              <w:spacing w:before="120" w:after="120" w:line="240" w:lineRule="auto"/>
              <w:ind w:left="460" w:hanging="460"/>
              <w:jc w:val="both"/>
              <w:rPr>
                <w:b/>
                <w:bCs/>
                <w:iCs/>
                <w:color w:val="auto"/>
              </w:rPr>
            </w:pPr>
            <w:r>
              <w:rPr>
                <w:b/>
                <w:bCs/>
                <w:iCs/>
                <w:color w:val="auto"/>
              </w:rPr>
              <w:t>Reajustamento</w:t>
            </w:r>
          </w:p>
          <w:p w14:paraId="14CC5F1E">
            <w:pPr>
              <w:spacing w:before="120" w:after="120" w:line="240" w:lineRule="auto"/>
              <w:ind w:left="783" w:hanging="709"/>
              <w:jc w:val="both"/>
              <w:rPr>
                <w:color w:val="auto"/>
              </w:rPr>
            </w:pPr>
            <w:r>
              <w:rPr>
                <w:color w:val="auto"/>
              </w:rPr>
              <w:t>15.5</w:t>
            </w:r>
            <w:r>
              <w:rPr>
                <w:bCs/>
                <w:color w:val="auto"/>
              </w:rPr>
              <w:tab/>
            </w:r>
            <w:r>
              <w:rPr>
                <w:color w:val="auto"/>
              </w:rPr>
              <w:t xml:space="preserve">Os </w:t>
            </w:r>
            <w:r>
              <w:rPr>
                <w:b/>
                <w:bCs/>
                <w:color w:val="auto"/>
              </w:rPr>
              <w:t>DDL</w:t>
            </w:r>
            <w:r>
              <w:rPr>
                <w:color w:val="auto"/>
              </w:rPr>
              <w:t xml:space="preserve"> estabelecerão a utilização da Alternativa A ou da Alternativa B descritas a seguir:</w:t>
            </w:r>
          </w:p>
          <w:p w14:paraId="60EA99AE">
            <w:pPr>
              <w:spacing w:before="120" w:after="120" w:line="240" w:lineRule="auto"/>
              <w:ind w:left="1208" w:hanging="425"/>
              <w:jc w:val="both"/>
              <w:rPr>
                <w:color w:val="auto"/>
              </w:rPr>
            </w:pPr>
            <w:r>
              <w:rPr>
                <w:bCs/>
                <w:color w:val="auto"/>
              </w:rPr>
              <w:t>(a)</w:t>
            </w:r>
            <w:r>
              <w:rPr>
                <w:bCs/>
                <w:color w:val="auto"/>
              </w:rPr>
              <w:tab/>
            </w:r>
            <w:r>
              <w:rPr>
                <w:bCs/>
                <w:color w:val="auto"/>
              </w:rPr>
              <w:t xml:space="preserve">Alternativa A: os preços apresentados pelo concorrente serão </w:t>
            </w:r>
            <w:r>
              <w:rPr>
                <w:color w:val="auto"/>
              </w:rPr>
              <w:t>fixos</w:t>
            </w:r>
            <w:r>
              <w:rPr>
                <w:bCs/>
                <w:color w:val="auto"/>
              </w:rPr>
              <w:t xml:space="preserve"> e irreajustáveis.; ou</w:t>
            </w:r>
          </w:p>
          <w:p w14:paraId="55E28AE4">
            <w:pPr>
              <w:spacing w:before="120" w:after="120" w:line="240" w:lineRule="auto"/>
              <w:ind w:left="1208" w:hanging="425"/>
              <w:jc w:val="both"/>
              <w:rPr>
                <w:color w:val="auto"/>
              </w:rPr>
            </w:pPr>
            <w:r>
              <w:rPr>
                <w:color w:val="auto"/>
              </w:rPr>
              <w:t>(b)</w:t>
            </w:r>
            <w:r>
              <w:rPr>
                <w:bCs/>
                <w:color w:val="auto"/>
              </w:rPr>
              <w:tab/>
            </w:r>
            <w:r>
              <w:rPr>
                <w:color w:val="auto"/>
              </w:rPr>
              <w:t xml:space="preserve">Alternativa B: os preços cotados pelo concorrente estarão sujeitos a reajuste anual durante a execução do contrato, de acordo com as disposições da subcláusula 45.1 das Condições Gerais do Contrato. </w:t>
            </w:r>
          </w:p>
        </w:tc>
      </w:tr>
      <w:tr w14:paraId="6319E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BDF29C2">
            <w:pPr>
              <w:pStyle w:val="71"/>
            </w:pPr>
            <w:bookmarkStart w:id="28" w:name="_Toc174536358"/>
            <w:r>
              <w:t>16.</w:t>
            </w:r>
            <w:r>
              <w:tab/>
            </w:r>
            <w:r>
              <w:t>Moeda da Proposta e do Pagamento</w:t>
            </w:r>
            <w:bookmarkEnd w:id="28"/>
          </w:p>
        </w:tc>
        <w:tc>
          <w:tcPr>
            <w:tcW w:w="5653" w:type="dxa"/>
          </w:tcPr>
          <w:p w14:paraId="688273F8">
            <w:pPr>
              <w:spacing w:before="120" w:after="120" w:line="240" w:lineRule="auto"/>
              <w:ind w:left="783" w:hanging="709"/>
              <w:jc w:val="both"/>
            </w:pPr>
            <w:r>
              <w:t>16.1</w:t>
            </w:r>
            <w:r>
              <w:rPr>
                <w:bCs/>
              </w:rPr>
              <w:tab/>
            </w:r>
            <w:r>
              <w:t>Os preços deverão ser cotados pelo concorrente totalmente em real.</w:t>
            </w:r>
          </w:p>
          <w:p w14:paraId="271569CF">
            <w:pPr>
              <w:spacing w:before="120" w:after="120" w:line="240" w:lineRule="auto"/>
              <w:ind w:left="783" w:hanging="709"/>
              <w:jc w:val="both"/>
            </w:pPr>
            <w:r>
              <w:t>16.2</w:t>
            </w:r>
            <w:r>
              <w:rPr>
                <w:bCs/>
              </w:rPr>
              <w:tab/>
            </w:r>
            <w:r>
              <w:t>O pagamento de acordo com o contrato será feito em real.</w:t>
            </w:r>
          </w:p>
        </w:tc>
      </w:tr>
      <w:tr w14:paraId="5858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7C7357DE">
            <w:pPr>
              <w:pStyle w:val="71"/>
            </w:pPr>
            <w:bookmarkStart w:id="29" w:name="_Toc174536359"/>
            <w:r>
              <w:t>17.</w:t>
            </w:r>
            <w:r>
              <w:tab/>
            </w:r>
            <w:r>
              <w:t>Período de Validade da Proposta</w:t>
            </w:r>
            <w:bookmarkEnd w:id="29"/>
          </w:p>
        </w:tc>
        <w:tc>
          <w:tcPr>
            <w:tcW w:w="5653" w:type="dxa"/>
          </w:tcPr>
          <w:p w14:paraId="7C6386B7">
            <w:pPr>
              <w:spacing w:before="120" w:after="120" w:line="240" w:lineRule="auto"/>
              <w:ind w:left="783" w:hanging="709"/>
              <w:jc w:val="both"/>
            </w:pPr>
            <w:r>
              <w:rPr>
                <w:bCs/>
              </w:rPr>
              <w:t>17.1</w:t>
            </w:r>
            <w:r>
              <w:rPr>
                <w:bCs/>
              </w:rPr>
              <w:tab/>
            </w:r>
            <w:r>
              <w:rPr>
                <w:bCs/>
              </w:rPr>
              <w:t xml:space="preserve">As propostas deverão permanecer válidas pelo período de 90 (noventa) dias. Será rejeitada a proposta que fixe período de validade menor do que o </w:t>
            </w:r>
            <w:r>
              <w:t>exigido.</w:t>
            </w:r>
          </w:p>
          <w:p w14:paraId="64BDDE29">
            <w:pPr>
              <w:spacing w:before="120" w:after="120" w:line="240" w:lineRule="auto"/>
              <w:ind w:left="783" w:hanging="709"/>
              <w:jc w:val="both"/>
              <w:rPr>
                <w:bCs/>
              </w:rPr>
            </w:pPr>
            <w:r>
              <w:t>17.2</w:t>
            </w:r>
            <w:r>
              <w:tab/>
            </w:r>
            <w:r>
              <w:t>Em casos excepcionais o Contratante poderá, antes de expirado o prazo original de validade da Proposta, solicitar aos Concorrentes uma prorrogação</w:t>
            </w:r>
            <w:r>
              <w:rPr>
                <w:bCs/>
              </w:rPr>
              <w:t xml:space="preserve"> </w:t>
            </w:r>
            <w:r>
              <w:rPr>
                <w:rFonts w:hint="default"/>
                <w:bCs/>
              </w:rPr>
              <w:t>Poderá a Contratante solicitar à empresa adjudicada Termo de Prorrogação de Validade da Proposta, que deverá compreender o mesmo período inicial (90 dias), caso seja de interesse da licitante manter sua proposta</w:t>
            </w:r>
            <w:r>
              <w:rPr>
                <w:bCs/>
              </w:rPr>
              <w:t xml:space="preserve">, obter as aprovações necessárias e adjudicar o objeto do contrato. Neste caso, a solicitação e as respostas serão feitas por escrito (carta ou e-mail). O Concorrente poderá recusar-se a estender o prazo de validade da proposta, sem que resulte na execução de sua </w:t>
            </w:r>
            <w:r>
              <w:t>Declaração de Manutenção</w:t>
            </w:r>
            <w:r>
              <w:rPr>
                <w:bCs/>
              </w:rPr>
              <w:t xml:space="preserve"> de Proposta. É vedado ao Concorrente que concordar com a prorrogação, modificar a proposta, devendo providenciar a prorrogação da correspondente.</w:t>
            </w:r>
          </w:p>
          <w:p w14:paraId="26C97B04">
            <w:pPr>
              <w:spacing w:before="120" w:after="120" w:line="240" w:lineRule="auto"/>
              <w:ind w:left="783" w:hanging="709"/>
              <w:jc w:val="both"/>
              <w:rPr>
                <w:bCs/>
              </w:rPr>
            </w:pPr>
            <w:r>
              <w:rPr>
                <w:bCs/>
              </w:rPr>
              <w:t>17.3</w:t>
            </w:r>
            <w:r>
              <w:rPr>
                <w:bCs/>
              </w:rPr>
              <w:tab/>
            </w:r>
            <w:r>
              <w:rPr>
                <w:bCs/>
              </w:rPr>
              <w:t>O prazo de validade da proposta será de 90 (noventa) dias, a contar da data de sua apresentação.</w:t>
            </w:r>
          </w:p>
          <w:p w14:paraId="459388A0">
            <w:pPr>
              <w:spacing w:before="120" w:after="120" w:line="240" w:lineRule="auto"/>
              <w:ind w:left="783" w:hanging="709"/>
              <w:jc w:val="both"/>
            </w:pPr>
            <w:r>
              <w:rPr>
                <w:bCs/>
              </w:rPr>
              <w:t>17.3.1</w:t>
            </w:r>
            <w:r>
              <w:rPr>
                <w:bCs/>
              </w:rPr>
              <w:tab/>
            </w:r>
            <w:r>
              <w:rPr>
                <w:bCs/>
              </w:rPr>
              <w:t>Decorrido o prazo de validade da proposta sem convocação para a contratação, ficarão as licitantes liberadas dos compromissos assumidos. (§ 3º do art. 90 da Lei Federal n.º 14.133/2021).</w:t>
            </w:r>
            <w:r>
              <w:t xml:space="preserve"> </w:t>
            </w:r>
          </w:p>
        </w:tc>
      </w:tr>
      <w:tr w14:paraId="5671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1CEA275">
            <w:pPr>
              <w:pStyle w:val="71"/>
            </w:pPr>
            <w:bookmarkStart w:id="30" w:name="_Toc174536360"/>
            <w:bookmarkStart w:id="31" w:name="_Toc168378653"/>
            <w:r>
              <w:t>18.</w:t>
            </w:r>
            <w:r>
              <w:tab/>
            </w:r>
            <w:r>
              <w:t>Declaração de Manutenção de Proposta</w:t>
            </w:r>
            <w:bookmarkEnd w:id="30"/>
            <w:bookmarkEnd w:id="31"/>
            <w:r>
              <w:rPr>
                <w:color w:val="FF0000"/>
              </w:rPr>
              <w:t xml:space="preserve"> </w:t>
            </w:r>
          </w:p>
        </w:tc>
        <w:tc>
          <w:tcPr>
            <w:tcW w:w="5653" w:type="dxa"/>
          </w:tcPr>
          <w:p w14:paraId="4F585418">
            <w:pPr>
              <w:spacing w:before="120" w:after="120" w:line="240" w:lineRule="auto"/>
              <w:ind w:left="783" w:hanging="709"/>
              <w:jc w:val="both"/>
            </w:pPr>
            <w:r>
              <w:t>18.1</w:t>
            </w:r>
            <w:r>
              <w:rPr>
                <w:bCs/>
              </w:rPr>
              <w:tab/>
            </w:r>
            <w:r>
              <w:t xml:space="preserve">O Concorrente deverá fornecer como parte integrante de sua proposta, em conformidade com as IAC 14.3, uma Declaração de </w:t>
            </w:r>
            <w:r>
              <w:rPr>
                <w:bCs/>
              </w:rPr>
              <w:t>Manutenção</w:t>
            </w:r>
            <w:r>
              <w:t xml:space="preserve"> da Proposta.</w:t>
            </w:r>
          </w:p>
          <w:p w14:paraId="2DC3000F">
            <w:pPr>
              <w:spacing w:before="120" w:after="120" w:line="240" w:lineRule="auto"/>
              <w:ind w:left="783" w:hanging="709"/>
              <w:jc w:val="both"/>
              <w:rPr>
                <w:color w:val="FF0000"/>
              </w:rPr>
            </w:pPr>
            <w:r>
              <w:t>18.2</w:t>
            </w:r>
            <w:r>
              <w:rPr>
                <w:bCs/>
              </w:rPr>
              <w:tab/>
            </w:r>
            <w:r>
              <w:t xml:space="preserve">Todas as propostas que não </w:t>
            </w:r>
            <w:r>
              <w:rPr>
                <w:bCs/>
              </w:rPr>
              <w:t>estiverem</w:t>
            </w:r>
            <w:r>
              <w:t xml:space="preserve"> acompanhadas por uma Declaração de Manutenção da Proposta substancialmente correspondente ao exigido nas IAC 18.3 serão rejeitadas pelo Contratante por não cumprimento.</w:t>
            </w:r>
          </w:p>
          <w:p w14:paraId="1858958D">
            <w:pPr>
              <w:spacing w:before="120" w:after="120" w:line="240" w:lineRule="auto"/>
              <w:ind w:left="783" w:hanging="709"/>
              <w:jc w:val="both"/>
              <w:rPr>
                <w:bCs/>
              </w:rPr>
            </w:pPr>
            <w:r>
              <w:t>18.3</w:t>
            </w:r>
            <w:r>
              <w:rPr>
                <w:bCs/>
              </w:rPr>
              <w:tab/>
            </w:r>
            <w:r>
              <w:t xml:space="preserve">Deverá ser utilizado </w:t>
            </w:r>
            <w:r>
              <w:rPr>
                <w:bCs/>
              </w:rPr>
              <w:t>o modelo especificado na Seção 4, Formulários da Proposta.</w:t>
            </w:r>
            <w:r>
              <w:t xml:space="preserve"> </w:t>
            </w:r>
          </w:p>
          <w:p w14:paraId="7B4D400D">
            <w:pPr>
              <w:spacing w:before="120" w:after="120" w:line="240" w:lineRule="auto"/>
              <w:ind w:left="783" w:hanging="709"/>
              <w:jc w:val="both"/>
            </w:pPr>
            <w:r>
              <w:t>18.4</w:t>
            </w:r>
            <w:r>
              <w:rPr>
                <w:bCs/>
              </w:rPr>
              <w:tab/>
            </w:r>
            <w:r>
              <w:t>O Concorrente será declarado inelegível caso:</w:t>
            </w:r>
          </w:p>
          <w:p w14:paraId="27F54232">
            <w:pPr>
              <w:spacing w:before="120" w:after="120" w:line="240" w:lineRule="auto"/>
              <w:ind w:left="1208" w:hanging="425"/>
              <w:jc w:val="both"/>
            </w:pPr>
            <w:r>
              <w:rPr>
                <w:bCs/>
              </w:rPr>
              <w:t>(a)</w:t>
            </w:r>
            <w:r>
              <w:rPr>
                <w:bCs/>
              </w:rPr>
              <w:tab/>
            </w:r>
            <w:r>
              <w:rPr>
                <w:bCs/>
              </w:rPr>
              <w:t xml:space="preserve">retirar sua proposta dentro do período de validade da mesma, especificado pelo Concorrente no Formulário Carta </w:t>
            </w:r>
            <w:r>
              <w:t>de Apresentação da Proposta, exceto conforme estabelecido nas IAC 17.2, ou</w:t>
            </w:r>
          </w:p>
          <w:p w14:paraId="5CBC11E2">
            <w:pPr>
              <w:spacing w:before="120" w:after="120" w:line="240" w:lineRule="auto"/>
              <w:ind w:left="1208" w:hanging="425"/>
              <w:jc w:val="both"/>
              <w:rPr>
                <w:bCs/>
              </w:rPr>
            </w:pPr>
            <w:r>
              <w:t>(b)</w:t>
            </w:r>
            <w:r>
              <w:tab/>
            </w:r>
            <w:r>
              <w:t>selecionado, não assinar o contrato em conformidade com as IAC 37 ou não fornecer a Garantia de Ex</w:t>
            </w:r>
            <w:r>
              <w:rPr>
                <w:bCs/>
              </w:rPr>
              <w:t>ecução do Contrato em conformidade com as IAC 38,</w:t>
            </w:r>
          </w:p>
          <w:p w14:paraId="05E00F3C">
            <w:pPr>
              <w:spacing w:before="120" w:after="120" w:line="240" w:lineRule="auto"/>
              <w:ind w:left="783" w:hanging="709"/>
              <w:jc w:val="both"/>
            </w:pPr>
            <w:r>
              <w:rPr>
                <w:bCs/>
              </w:rPr>
              <w:tab/>
            </w:r>
            <w:r>
              <w:t xml:space="preserve">O Contratante pode, caso assim determinado nos </w:t>
            </w:r>
            <w:r>
              <w:rPr>
                <w:b/>
                <w:bCs/>
                <w:iCs/>
              </w:rPr>
              <w:t>DDL</w:t>
            </w:r>
            <w:r>
              <w:t xml:space="preserve">, declarar o Concorrente desqualificado para a adjudicação de um contrato com o Contratante por um período de tempo, conforme estabelecido nos </w:t>
            </w:r>
            <w:r>
              <w:rPr>
                <w:b/>
                <w:bCs/>
                <w:iCs/>
              </w:rPr>
              <w:t>DDL</w:t>
            </w:r>
            <w:r>
              <w:t>.</w:t>
            </w:r>
          </w:p>
          <w:p w14:paraId="50EA3D90">
            <w:pPr>
              <w:spacing w:before="120" w:after="120" w:line="240" w:lineRule="auto"/>
              <w:ind w:left="783" w:hanging="709"/>
              <w:jc w:val="both"/>
              <w:rPr>
                <w:bCs/>
              </w:rPr>
            </w:pPr>
            <w:r>
              <w:t>18.5</w:t>
            </w:r>
            <w:r>
              <w:rPr>
                <w:bCs/>
              </w:rPr>
              <w:tab/>
            </w:r>
            <w:r>
              <w:t>O concorrente ou contratado estará sujeito a todas as penalidades previstas nos artigos 155 e 156 da Lei 14.133/21.</w:t>
            </w:r>
          </w:p>
        </w:tc>
      </w:tr>
      <w:tr w14:paraId="006A5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726AAAA4">
            <w:pPr>
              <w:pStyle w:val="71"/>
            </w:pPr>
            <w:bookmarkStart w:id="32" w:name="_Toc155815759"/>
            <w:bookmarkStart w:id="33" w:name="_Toc174536361"/>
            <w:bookmarkStart w:id="34" w:name="_Toc168378654"/>
            <w:bookmarkStart w:id="35" w:name="_Toc157690436"/>
            <w:r>
              <w:t>19.</w:t>
            </w:r>
            <w:r>
              <w:tab/>
            </w:r>
            <w:r>
              <w:t>Apresentação de Propostas Alternativas</w:t>
            </w:r>
            <w:bookmarkEnd w:id="32"/>
            <w:bookmarkEnd w:id="33"/>
            <w:bookmarkEnd w:id="34"/>
            <w:bookmarkEnd w:id="35"/>
          </w:p>
        </w:tc>
        <w:tc>
          <w:tcPr>
            <w:tcW w:w="5653" w:type="dxa"/>
          </w:tcPr>
          <w:p w14:paraId="4F3E1FE0">
            <w:pPr>
              <w:spacing w:before="120" w:after="120" w:line="240" w:lineRule="auto"/>
              <w:ind w:left="783" w:hanging="709"/>
              <w:jc w:val="both"/>
            </w:pPr>
            <w:r>
              <w:t>19.1</w:t>
            </w:r>
            <w:r>
              <w:rPr>
                <w:bCs/>
              </w:rPr>
              <w:tab/>
            </w:r>
            <w:r>
              <w:t>Não são permitidas propostas alternativas. Os concorrentes devem apresentar propostas que atendam aos requisitos do edital, inclusive os Projetos Básicos e/ou Executivos conforme indicado nos desenhos e especificações técnicas.</w:t>
            </w:r>
          </w:p>
        </w:tc>
      </w:tr>
      <w:tr w14:paraId="7DDA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82A7E06">
            <w:pPr>
              <w:pStyle w:val="71"/>
            </w:pPr>
            <w:bookmarkStart w:id="36" w:name="_Toc168378655"/>
            <w:bookmarkStart w:id="37" w:name="_Toc174536362"/>
            <w:r>
              <w:t>20.</w:t>
            </w:r>
            <w:r>
              <w:tab/>
            </w:r>
            <w:bookmarkEnd w:id="36"/>
            <w:bookmarkEnd w:id="37"/>
            <w:r>
              <w:rPr>
                <w:rFonts w:hint="default"/>
              </w:rPr>
              <w:t>Da Condução do Certame</w:t>
            </w:r>
          </w:p>
        </w:tc>
        <w:tc>
          <w:tcPr>
            <w:tcW w:w="5653" w:type="dxa"/>
          </w:tcPr>
          <w:p w14:paraId="3E5572E3">
            <w:pPr>
              <w:spacing w:before="120" w:after="120" w:line="240" w:lineRule="auto"/>
              <w:ind w:left="783" w:hanging="709"/>
              <w:jc w:val="both"/>
              <w:rPr>
                <w:color w:val="auto"/>
              </w:rPr>
            </w:pPr>
            <w:r>
              <w:t>20.1</w:t>
            </w:r>
            <w:r>
              <w:rPr>
                <w:bCs/>
              </w:rPr>
              <w:tab/>
            </w:r>
            <w:r>
              <w:rPr>
                <w:rFonts w:hint="default"/>
                <w:color w:val="auto"/>
              </w:rPr>
              <w:t>Os trabalhos serão conduzidos pelo Agente de Contratação e/ou Comissão de Contratação, que atuará mediante a inserção e monitoramento de dados gerados ou transferidos no Portal</w:t>
            </w:r>
            <w:r>
              <w:rPr>
                <w:color w:val="auto"/>
              </w:rPr>
              <w:t>.</w:t>
            </w:r>
          </w:p>
          <w:p w14:paraId="456F8C73">
            <w:pPr>
              <w:spacing w:before="120" w:after="120" w:line="240" w:lineRule="auto"/>
              <w:ind w:left="783" w:hanging="709"/>
              <w:jc w:val="both"/>
              <w:rPr>
                <w:color w:val="FF0000"/>
              </w:rPr>
            </w:pPr>
            <w:r>
              <w:rPr>
                <w:color w:val="auto"/>
              </w:rPr>
              <w:t>20.2</w:t>
            </w:r>
            <w:r>
              <w:rPr>
                <w:bCs/>
                <w:color w:val="auto"/>
              </w:rPr>
              <w:tab/>
            </w:r>
            <w:r>
              <w:rPr>
                <w:rFonts w:hint="default"/>
                <w:color w:val="auto"/>
              </w:rPr>
              <w:t>Todas as referências de tempo do Edital, do Aviso e da Sessão Pública observarão, obrigatoriamente, o horário de Brasília – DF e, dessa forma, serão registradas no sistema eletrônico e na documentação relativa ao certame.</w:t>
            </w:r>
          </w:p>
          <w:p w14:paraId="5533E629">
            <w:pPr>
              <w:spacing w:before="120" w:after="120" w:line="240" w:lineRule="auto"/>
              <w:ind w:left="783" w:hanging="709"/>
              <w:jc w:val="both"/>
              <w:rPr>
                <w:bCs/>
              </w:rPr>
            </w:pPr>
            <w:r>
              <w:t>20.</w:t>
            </w:r>
            <w:r>
              <w:rPr>
                <w:rFonts w:hint="default"/>
                <w:lang w:val="pt-BR"/>
              </w:rPr>
              <w:t>3</w:t>
            </w:r>
            <w:r>
              <w:rPr>
                <w:bCs/>
              </w:rPr>
              <w:tab/>
            </w:r>
            <w:r>
              <w:rPr>
                <w:rFonts w:hint="default"/>
              </w:rPr>
              <w:t>A operacionalidade do Sistema se fará por meio do Portal, junto ao qual as concorrentes deverão informar-se a respeito do seu funcionamento e regulamento, e receber instruções detalhadas para sua correta utilização</w:t>
            </w:r>
            <w:r>
              <w:t>.</w:t>
            </w:r>
            <w:r>
              <w:rPr>
                <w:bCs/>
              </w:rPr>
              <w:tab/>
            </w:r>
          </w:p>
          <w:p w14:paraId="5C211DA8">
            <w:pPr>
              <w:spacing w:before="120" w:after="120" w:line="240" w:lineRule="auto"/>
              <w:ind w:left="783" w:hanging="709"/>
              <w:jc w:val="both"/>
              <w:rPr>
                <w:rFonts w:hint="default"/>
                <w:bCs/>
                <w:lang w:val="pt-BR"/>
              </w:rPr>
            </w:pPr>
            <w:r>
              <w:rPr>
                <w:rFonts w:hint="default"/>
                <w:bCs/>
                <w:lang w:val="pt-BR"/>
              </w:rPr>
              <w:t>20.4</w:t>
            </w:r>
            <w:r>
              <w:rPr>
                <w:rFonts w:hint="default"/>
                <w:bCs/>
                <w:lang w:val="pt-BR"/>
              </w:rPr>
              <w:tab/>
            </w:r>
            <w:r>
              <w:rPr>
                <w:rFonts w:hint="default"/>
                <w:bCs/>
                <w:lang w:val="pt-BR"/>
              </w:rPr>
              <w:t>Todos os prazos serão contados a partir das publicações nos diários oficiais.</w:t>
            </w:r>
          </w:p>
          <w:p w14:paraId="2FFEBD90">
            <w:pPr>
              <w:spacing w:before="120" w:after="120" w:line="240" w:lineRule="auto"/>
              <w:ind w:left="783" w:hanging="709"/>
              <w:jc w:val="both"/>
              <w:rPr>
                <w:rFonts w:hint="default"/>
                <w:bCs/>
                <w:lang w:val="pt-BR"/>
              </w:rPr>
            </w:pPr>
            <w:r>
              <w:rPr>
                <w:rFonts w:hint="default"/>
                <w:bCs/>
                <w:lang w:val="pt-BR"/>
              </w:rPr>
              <w:t>20.5</w:t>
            </w:r>
            <w:r>
              <w:rPr>
                <w:rFonts w:hint="default"/>
                <w:bCs/>
                <w:lang w:val="pt-BR"/>
              </w:rPr>
              <w:tab/>
            </w:r>
            <w:r>
              <w:rPr>
                <w:rFonts w:hint="default"/>
                <w:bCs/>
                <w:lang w:val="pt-BR"/>
              </w:rPr>
              <w:t>O Portal se destina a realização de todo procedimento licitatório desde a publicação do edital até a homologação do resultado.</w:t>
            </w:r>
          </w:p>
          <w:p w14:paraId="46281E63">
            <w:pPr>
              <w:spacing w:before="120" w:after="120" w:line="240" w:lineRule="auto"/>
              <w:ind w:left="783" w:hanging="709"/>
              <w:jc w:val="both"/>
              <w:rPr>
                <w:rFonts w:hint="default"/>
                <w:bCs/>
                <w:lang w:val="pt-BR"/>
              </w:rPr>
            </w:pPr>
            <w:r>
              <w:rPr>
                <w:rFonts w:hint="default"/>
                <w:bCs/>
                <w:lang w:val="pt-BR"/>
              </w:rPr>
              <w:t>20.6</w:t>
            </w:r>
            <w:r>
              <w:rPr>
                <w:rFonts w:hint="default"/>
                <w:bCs/>
                <w:lang w:val="pt-BR"/>
              </w:rPr>
              <w:tab/>
            </w:r>
            <w:r>
              <w:rPr>
                <w:rFonts w:hint="default"/>
                <w:bCs/>
                <w:lang w:val="pt-BR"/>
              </w:rPr>
              <w:t>A fase externa da concorrência, na forma eletrônica, será iniciada com a convocação dos interessados por meio da publicação do aviso do edital no Portal, nos veículos oficiais e no site oficial do Contratante.</w:t>
            </w:r>
          </w:p>
          <w:p w14:paraId="1ACA30C5">
            <w:pPr>
              <w:spacing w:before="120" w:after="120" w:line="240" w:lineRule="auto"/>
              <w:ind w:left="783" w:hanging="709"/>
              <w:jc w:val="both"/>
              <w:rPr>
                <w:rFonts w:hint="default"/>
                <w:bCs/>
                <w:lang w:val="pt-BR"/>
              </w:rPr>
            </w:pPr>
            <w:r>
              <w:rPr>
                <w:rFonts w:hint="default"/>
                <w:bCs/>
                <w:lang w:val="pt-BR"/>
              </w:rPr>
              <w:t>20.7</w:t>
            </w:r>
            <w:r>
              <w:rPr>
                <w:rFonts w:hint="default"/>
                <w:bCs/>
                <w:lang w:val="pt-BR"/>
              </w:rPr>
              <w:tab/>
            </w:r>
            <w:r>
              <w:rPr>
                <w:rFonts w:hint="default"/>
                <w:bCs/>
                <w:lang w:val="pt-BR"/>
              </w:rPr>
              <w:t>As informações referentes à condução do processo licitatório também poderão ser acompanhadas no site indicado nos DDL.</w:t>
            </w:r>
          </w:p>
          <w:p w14:paraId="4217C577">
            <w:pPr>
              <w:spacing w:before="120" w:after="120" w:line="240" w:lineRule="auto"/>
              <w:ind w:left="783" w:hanging="709"/>
              <w:jc w:val="both"/>
              <w:rPr>
                <w:rFonts w:hint="default"/>
                <w:bCs/>
                <w:lang w:val="pt-BR"/>
              </w:rPr>
            </w:pPr>
            <w:r>
              <w:rPr>
                <w:rFonts w:hint="default"/>
                <w:bCs/>
                <w:lang w:val="pt-BR"/>
              </w:rPr>
              <w:t>20.8</w:t>
            </w:r>
            <w:r>
              <w:rPr>
                <w:rFonts w:hint="default"/>
                <w:bCs/>
                <w:lang w:val="pt-BR"/>
              </w:rPr>
              <w:tab/>
            </w:r>
            <w:r>
              <w:rPr>
                <w:rFonts w:hint="default"/>
                <w:bCs/>
                <w:lang w:val="pt-BR"/>
              </w:rPr>
              <w:t>A participação na licitação, na forma eletrônica, se dará por meio da digitação da senha pessoal e intransferível do representante credenciado junto ao Portal, e subsequente encaminhamento da Proposta, exclusivamente por meio do Portal, observados data e horário estabelecidos neste Edital.</w:t>
            </w:r>
          </w:p>
          <w:p w14:paraId="79D3C53F">
            <w:pPr>
              <w:spacing w:before="120" w:after="120" w:line="240" w:lineRule="auto"/>
              <w:ind w:left="783" w:hanging="709"/>
              <w:jc w:val="both"/>
              <w:rPr>
                <w:rFonts w:hint="default"/>
                <w:bCs/>
                <w:lang w:val="pt-BR"/>
              </w:rPr>
            </w:pPr>
            <w:r>
              <w:rPr>
                <w:rFonts w:hint="default"/>
                <w:bCs/>
                <w:lang w:val="pt-BR"/>
              </w:rPr>
              <w:t>20.9</w:t>
            </w:r>
            <w:r>
              <w:rPr>
                <w:rFonts w:hint="default"/>
                <w:bCs/>
                <w:lang w:val="pt-BR"/>
              </w:rPr>
              <w:tab/>
            </w:r>
            <w:r>
              <w:rPr>
                <w:rFonts w:hint="default"/>
                <w:bCs/>
                <w:lang w:val="pt-BR"/>
              </w:rPr>
              <w:t xml:space="preserve">O encaminhamento da Proposta e dos documentos pressupõe o pleno conhecimento e atendimento às exigências de habilitação previstas neste Edital. O Concorrente será responsável por todas as transações que forem efetuadas em seu nome no sistema eletrônico assumindo como firmes e verdadeiros sua Proposta e seus lances. </w:t>
            </w:r>
          </w:p>
          <w:p w14:paraId="25D7D96F">
            <w:pPr>
              <w:spacing w:before="120" w:after="120" w:line="240" w:lineRule="auto"/>
              <w:ind w:left="783" w:hanging="709"/>
              <w:jc w:val="both"/>
              <w:rPr>
                <w:rFonts w:hint="default"/>
                <w:bCs/>
                <w:lang w:val="pt-BR"/>
              </w:rPr>
            </w:pPr>
            <w:r>
              <w:rPr>
                <w:rFonts w:hint="default"/>
                <w:bCs/>
                <w:lang w:val="pt-BR"/>
              </w:rPr>
              <w:t>20.10</w:t>
            </w:r>
            <w:r>
              <w:rPr>
                <w:rFonts w:hint="default"/>
                <w:bCs/>
                <w:lang w:val="pt-BR"/>
              </w:rPr>
              <w:tab/>
            </w:r>
            <w:r>
              <w:rPr>
                <w:rFonts w:hint="default"/>
                <w:bCs/>
                <w:lang w:val="pt-BR"/>
              </w:rPr>
              <w:t>Caberá ao Concorrente acompanhar as operações no sistema eletrônico durante a sessão pública do certame eletrônico, ficando responsável pelo ônus decorrente da perda de negócios diante da inobservância de qualquer mensagem emitida pelo sistema eletrônico ou de sua desconexão.</w:t>
            </w:r>
          </w:p>
          <w:p w14:paraId="05C61D30">
            <w:pPr>
              <w:spacing w:before="120" w:after="120" w:line="240" w:lineRule="auto"/>
              <w:ind w:left="783" w:hanging="709"/>
              <w:jc w:val="both"/>
              <w:rPr>
                <w:rFonts w:hint="default"/>
                <w:bCs/>
                <w:lang w:val="pt-BR"/>
              </w:rPr>
            </w:pPr>
            <w:r>
              <w:rPr>
                <w:rFonts w:hint="default"/>
                <w:bCs/>
                <w:lang w:val="pt-BR"/>
              </w:rPr>
              <w:t>20.11</w:t>
            </w:r>
            <w:r>
              <w:rPr>
                <w:rFonts w:hint="default"/>
                <w:bCs/>
                <w:lang w:val="pt-BR"/>
              </w:rPr>
              <w:tab/>
            </w:r>
            <w:r>
              <w:rPr>
                <w:rFonts w:hint="default"/>
                <w:bCs/>
                <w:lang w:val="pt-BR"/>
              </w:rPr>
              <w:t>Se ocorrer a desconexão o Agente de Contratação e/ou Comissão de Contratação, no decorrer da etapa de lances, e o sistema eletrônico permanecer acessível aos Concorrentes, os lances continuarão sendo recebidos, sem prejuízo dos atos realizados.</w:t>
            </w:r>
          </w:p>
          <w:p w14:paraId="11AEC46A">
            <w:pPr>
              <w:spacing w:before="120" w:after="120" w:line="240" w:lineRule="auto"/>
              <w:ind w:left="783" w:hanging="709"/>
              <w:jc w:val="both"/>
              <w:rPr>
                <w:rFonts w:hint="default"/>
                <w:bCs/>
                <w:lang w:val="pt-BR"/>
              </w:rPr>
            </w:pPr>
            <w:r>
              <w:rPr>
                <w:rFonts w:hint="default"/>
                <w:bCs/>
                <w:lang w:val="pt-BR"/>
              </w:rPr>
              <w:t>20.12</w:t>
            </w:r>
            <w:r>
              <w:rPr>
                <w:rFonts w:hint="default"/>
                <w:bCs/>
                <w:lang w:val="pt-BR"/>
              </w:rPr>
              <w:tab/>
            </w:r>
            <w:r>
              <w:rPr>
                <w:rFonts w:hint="default"/>
                <w:bCs/>
                <w:lang w:val="pt-BR"/>
              </w:rPr>
              <w:t>Quando a desconexão persistir por tempo superior a 10 (dez) minutos, a sessão do certame eletrônico será suspensa e terá reinício, com o aproveitamento dos atos anteriormente praticados, somente após comunicação expressa do Agente de Contratação, aos participantes, no sítio.</w:t>
            </w:r>
          </w:p>
          <w:p w14:paraId="4C1E57A3">
            <w:pPr>
              <w:spacing w:before="120" w:after="120" w:line="240" w:lineRule="auto"/>
              <w:ind w:left="783" w:hanging="709"/>
              <w:jc w:val="both"/>
              <w:rPr>
                <w:rFonts w:hint="default"/>
                <w:bCs/>
                <w:lang w:val="pt-BR"/>
              </w:rPr>
            </w:pPr>
            <w:r>
              <w:rPr>
                <w:rFonts w:hint="default"/>
                <w:bCs/>
                <w:lang w:val="pt-BR"/>
              </w:rPr>
              <w:t>20.13</w:t>
            </w:r>
            <w:r>
              <w:rPr>
                <w:rFonts w:hint="default"/>
                <w:bCs/>
                <w:lang w:val="pt-BR"/>
              </w:rPr>
              <w:tab/>
            </w:r>
            <w:r>
              <w:rPr>
                <w:rFonts w:hint="default"/>
                <w:bCs/>
                <w:lang w:val="pt-BR"/>
              </w:rPr>
              <w:t>Quando a desconexão representar uma efetiva e irreparável ruptura no certame, ou quando, após uma desconexão superior a 10 minutos, não se retomar, em prazo razoável, o processo de formulação de lances, a sessão do certame eletrônico será definitivamente interrompida, o que acarretará, consequentemente, a renovação do procedimento, inclusive com nova publicação do aviso.</w:t>
            </w:r>
          </w:p>
          <w:p w14:paraId="3F7F8FA4">
            <w:pPr>
              <w:spacing w:before="120" w:after="120" w:line="240" w:lineRule="auto"/>
              <w:ind w:left="783" w:hanging="709"/>
              <w:jc w:val="both"/>
              <w:rPr>
                <w:rFonts w:hint="default"/>
                <w:bCs/>
                <w:lang w:val="pt-BR"/>
              </w:rPr>
            </w:pPr>
            <w:r>
              <w:rPr>
                <w:rFonts w:hint="default"/>
                <w:bCs/>
                <w:lang w:val="pt-BR"/>
              </w:rPr>
              <w:t>20.14</w:t>
            </w:r>
            <w:r>
              <w:rPr>
                <w:rFonts w:hint="default"/>
                <w:bCs/>
                <w:lang w:val="pt-BR"/>
              </w:rPr>
              <w:tab/>
            </w:r>
            <w:r>
              <w:rPr>
                <w:rFonts w:hint="default"/>
                <w:bCs/>
                <w:lang w:val="pt-BR"/>
              </w:rPr>
              <w:t>No caso de desconexão, cada Concorrente deverá de imediato, sob sua inteira responsabilidade, providenciar sua conexão ao sistema eletrônico.</w:t>
            </w:r>
          </w:p>
          <w:p w14:paraId="19B972F2">
            <w:pPr>
              <w:spacing w:before="120" w:after="120" w:line="240" w:lineRule="auto"/>
              <w:ind w:left="783" w:hanging="709"/>
              <w:jc w:val="both"/>
              <w:rPr>
                <w:rFonts w:hint="default"/>
                <w:bCs/>
                <w:lang w:val="pt-BR"/>
              </w:rPr>
            </w:pPr>
            <w:r>
              <w:rPr>
                <w:rFonts w:hint="default"/>
                <w:bCs/>
                <w:lang w:val="pt-BR"/>
              </w:rPr>
              <w:t>20.15</w:t>
            </w:r>
            <w:r>
              <w:rPr>
                <w:rFonts w:hint="default"/>
                <w:bCs/>
                <w:lang w:val="pt-BR"/>
              </w:rPr>
              <w:tab/>
            </w:r>
            <w:r>
              <w:rPr>
                <w:rFonts w:hint="default"/>
                <w:bCs/>
                <w:lang w:val="pt-BR"/>
              </w:rPr>
              <w:t>A abertura da sessão pública deste certame Eletrônico ocorrerá na data e na hora indicadas nos DDL, no Portal.</w:t>
            </w:r>
          </w:p>
          <w:p w14:paraId="60B959D6">
            <w:pPr>
              <w:spacing w:before="120" w:after="120" w:line="240" w:lineRule="auto"/>
              <w:ind w:left="783" w:hanging="709"/>
              <w:jc w:val="both"/>
              <w:rPr>
                <w:rFonts w:hint="default"/>
                <w:bCs/>
                <w:color w:val="FF0000"/>
                <w:lang w:val="pt-BR"/>
              </w:rPr>
            </w:pPr>
            <w:r>
              <w:rPr>
                <w:rFonts w:hint="default"/>
                <w:bCs/>
                <w:lang w:val="pt-BR"/>
              </w:rPr>
              <w:t>20.16</w:t>
            </w:r>
            <w:r>
              <w:rPr>
                <w:rFonts w:hint="default"/>
                <w:bCs/>
                <w:lang w:val="pt-BR"/>
              </w:rPr>
              <w:tab/>
            </w:r>
            <w:r>
              <w:rPr>
                <w:rFonts w:hint="default"/>
                <w:bCs/>
                <w:color w:val="auto"/>
                <w:lang w:val="pt-BR"/>
              </w:rPr>
              <w:t xml:space="preserve">Durante a sessão pública, a comunicação entre o Agente de Contratação e/ou Comissão de Contratação e os Concorrentes ocorrerá exclusivamente mediante troca de mensagens, via chat, ou em campo próprio do sistema eletrônico. Não será aceito nenhum outro tipo de contato, como meio telefônico ou e-mail. </w:t>
            </w:r>
          </w:p>
          <w:p w14:paraId="146A1924">
            <w:pPr>
              <w:spacing w:before="120" w:after="120" w:line="240" w:lineRule="auto"/>
              <w:ind w:left="783" w:hanging="709"/>
              <w:jc w:val="both"/>
              <w:rPr>
                <w:rFonts w:hint="default"/>
                <w:bCs/>
                <w:lang w:val="pt-BR"/>
              </w:rPr>
            </w:pPr>
            <w:r>
              <w:rPr>
                <w:rFonts w:hint="default"/>
                <w:bCs/>
                <w:lang w:val="pt-BR"/>
              </w:rPr>
              <w:t>20.17</w:t>
            </w:r>
            <w:r>
              <w:rPr>
                <w:rFonts w:hint="default"/>
                <w:bCs/>
                <w:lang w:val="pt-BR"/>
              </w:rPr>
              <w:tab/>
            </w:r>
            <w:r>
              <w:rPr>
                <w:rFonts w:hint="default"/>
                <w:bCs/>
                <w:lang w:val="pt-BR"/>
              </w:rPr>
              <w:t>O Agente de Contratação e/ou Comissão de Contratação, verificará as propostas apresentadas e desclassificará, motivadamente, aquelas que não estejam em conformidade com os requisitos estabelecidos neste Edital.</w:t>
            </w:r>
          </w:p>
          <w:p w14:paraId="1E58F628">
            <w:pPr>
              <w:spacing w:before="120" w:after="120" w:line="240" w:lineRule="auto"/>
              <w:ind w:left="783" w:hanging="709"/>
              <w:jc w:val="both"/>
              <w:rPr>
                <w:rFonts w:hint="default"/>
                <w:bCs/>
                <w:lang w:val="pt-BR"/>
              </w:rPr>
            </w:pPr>
            <w:r>
              <w:rPr>
                <w:rFonts w:hint="default"/>
                <w:bCs/>
                <w:lang w:val="pt-BR"/>
              </w:rPr>
              <w:t>20.18</w:t>
            </w:r>
            <w:r>
              <w:rPr>
                <w:rFonts w:hint="default"/>
                <w:bCs/>
                <w:lang w:val="pt-BR"/>
              </w:rPr>
              <w:tab/>
            </w:r>
            <w:r>
              <w:rPr>
                <w:rFonts w:hint="default"/>
                <w:bCs/>
                <w:color w:val="auto"/>
                <w:lang w:val="pt-BR"/>
              </w:rPr>
              <w:t>Somente os concorrentes com propostas cadastradas participarão da fase de lances.</w:t>
            </w:r>
            <w:r>
              <w:rPr>
                <w:rFonts w:hint="default"/>
                <w:bCs/>
                <w:lang w:val="pt-BR"/>
              </w:rPr>
              <w:t xml:space="preserve"> </w:t>
            </w:r>
          </w:p>
          <w:p w14:paraId="75416CD5">
            <w:pPr>
              <w:spacing w:before="120" w:after="120" w:line="240" w:lineRule="auto"/>
              <w:ind w:left="783" w:hanging="709"/>
              <w:jc w:val="both"/>
              <w:rPr>
                <w:rFonts w:hint="default"/>
                <w:bCs/>
                <w:lang w:val="pt-BR"/>
              </w:rPr>
            </w:pPr>
            <w:r>
              <w:rPr>
                <w:rFonts w:hint="default"/>
                <w:bCs/>
                <w:lang w:val="pt-BR"/>
              </w:rPr>
              <w:t>20.19</w:t>
            </w:r>
            <w:r>
              <w:rPr>
                <w:rFonts w:hint="default"/>
                <w:bCs/>
                <w:lang w:val="pt-BR"/>
              </w:rPr>
              <w:tab/>
            </w:r>
            <w:r>
              <w:rPr>
                <w:rFonts w:hint="default"/>
                <w:bCs/>
                <w:lang w:val="pt-BR"/>
              </w:rPr>
              <w:t>As propostas cadastradas pelas licitantes no sistema eletrônico que descumprirem as exigências do edital quanto à forma de sua apresentação e/ou apresentarem erros que prejudiquem a oferta de lances e o caráter competitivo do certame também serão desclassificadas, mediante decisão fundamentada do gente de contratação, em consonância ao princípio da vinculação ao edital e inciso III do art. 59 da Lei Federal n.° 14.133/2021.</w:t>
            </w:r>
          </w:p>
          <w:p w14:paraId="33450C26">
            <w:pPr>
              <w:spacing w:before="120" w:after="120" w:line="240" w:lineRule="auto"/>
              <w:ind w:left="783" w:hanging="709"/>
              <w:jc w:val="both"/>
              <w:rPr>
                <w:rFonts w:hint="default"/>
                <w:bCs/>
                <w:lang w:val="pt-BR"/>
              </w:rPr>
            </w:pPr>
            <w:r>
              <w:rPr>
                <w:rFonts w:hint="default"/>
                <w:bCs/>
                <w:lang w:val="pt-BR"/>
              </w:rPr>
              <w:t>20.20</w:t>
            </w:r>
            <w:r>
              <w:rPr>
                <w:rFonts w:hint="default"/>
                <w:bCs/>
                <w:lang w:val="pt-BR"/>
              </w:rPr>
              <w:tab/>
            </w:r>
            <w:r>
              <w:rPr>
                <w:rFonts w:hint="default"/>
                <w:bCs/>
                <w:lang w:val="pt-BR"/>
              </w:rPr>
              <w:t>A desclassificação da proposta será sempre fundamentada e registrada no sistema eletrônico, com acompanhamento em tempo real pelos Concorrentes.</w:t>
            </w:r>
          </w:p>
          <w:p w14:paraId="1DFB62FC">
            <w:pPr>
              <w:spacing w:before="120" w:after="120" w:line="240" w:lineRule="auto"/>
              <w:ind w:left="783" w:hanging="709"/>
              <w:jc w:val="both"/>
              <w:rPr>
                <w:rFonts w:hint="default"/>
                <w:bCs/>
                <w:lang w:val="pt-BR"/>
              </w:rPr>
            </w:pPr>
            <w:r>
              <w:rPr>
                <w:rFonts w:hint="default"/>
                <w:bCs/>
                <w:lang w:val="pt-BR"/>
              </w:rPr>
              <w:t>20.21</w:t>
            </w:r>
            <w:r>
              <w:rPr>
                <w:rFonts w:hint="default"/>
                <w:bCs/>
                <w:lang w:val="pt-BR"/>
              </w:rPr>
              <w:tab/>
            </w:r>
            <w:r>
              <w:rPr>
                <w:rFonts w:hint="default"/>
                <w:bCs/>
                <w:lang w:val="pt-BR"/>
              </w:rPr>
              <w:t>No caso de desclassificação da proposta melhor colocada, a Administração Municipal examinará as ofertas subsequentes, na ordem de classificação, ate a apuração de uma proposta que atenda a todas as exigências e negociará diretamente com a proponente para obtenção de preço melhor.</w:t>
            </w:r>
          </w:p>
        </w:tc>
      </w:tr>
      <w:tr w14:paraId="2695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7D34E4A6">
            <w:pPr>
              <w:pStyle w:val="69"/>
            </w:pPr>
            <w:bookmarkStart w:id="38" w:name="_Toc174536363"/>
            <w:r>
              <w:t>D – APRESENTAÇÃO DAS PROPOSTAS</w:t>
            </w:r>
            <w:bookmarkEnd w:id="38"/>
          </w:p>
        </w:tc>
      </w:tr>
      <w:tr w14:paraId="4199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D63EDD4">
            <w:pPr>
              <w:pStyle w:val="71"/>
              <w:rPr>
                <w:b w:val="0"/>
                <w:bCs w:val="0"/>
              </w:rPr>
            </w:pPr>
            <w:bookmarkStart w:id="39" w:name="_Toc174536364"/>
            <w:r>
              <w:t>21.</w:t>
            </w:r>
            <w:r>
              <w:tab/>
            </w:r>
            <w:r>
              <w:t>Apresentação e Envio das Propostas</w:t>
            </w:r>
            <w:bookmarkEnd w:id="39"/>
          </w:p>
        </w:tc>
        <w:tc>
          <w:tcPr>
            <w:tcW w:w="5653" w:type="dxa"/>
          </w:tcPr>
          <w:p w14:paraId="74BD02A4">
            <w:pPr>
              <w:spacing w:before="120" w:after="120" w:line="240" w:lineRule="auto"/>
              <w:ind w:left="783" w:hanging="709"/>
              <w:jc w:val="both"/>
              <w:rPr>
                <w:rFonts w:hint="default"/>
                <w:lang w:val="pt-BR"/>
              </w:rPr>
            </w:pPr>
            <w:r>
              <w:rPr>
                <w:rFonts w:hint="default"/>
                <w:lang w:val="pt-BR"/>
              </w:rPr>
              <w:t>21.1</w:t>
            </w:r>
            <w:r>
              <w:rPr>
                <w:rFonts w:hint="default"/>
                <w:lang w:val="pt-BR"/>
              </w:rPr>
              <w:tab/>
            </w:r>
            <w:r>
              <w:rPr>
                <w:rFonts w:hint="default"/>
                <w:lang w:val="pt-BR"/>
              </w:rPr>
              <w:t>Os concorrentes encaminharão, exclusivamente por meio do Portal, a proposta com o preço, até a data e o horário estabelecidos nas IAC 22.1 para recebimento e abertura da sessão pública</w:t>
            </w:r>
          </w:p>
          <w:p w14:paraId="278583C4">
            <w:pPr>
              <w:spacing w:before="120" w:after="120" w:line="240" w:lineRule="auto"/>
              <w:ind w:left="783" w:hanging="709"/>
              <w:jc w:val="both"/>
              <w:rPr>
                <w:rFonts w:hint="default"/>
                <w:lang w:val="pt-BR"/>
              </w:rPr>
            </w:pPr>
            <w:r>
              <w:rPr>
                <w:rFonts w:hint="default"/>
                <w:lang w:val="pt-BR"/>
              </w:rPr>
              <w:t>21.2</w:t>
            </w:r>
            <w:r>
              <w:rPr>
                <w:rFonts w:hint="default"/>
                <w:lang w:val="pt-BR"/>
              </w:rPr>
              <w:tab/>
            </w:r>
            <w:r>
              <w:rPr>
                <w:rFonts w:hint="default"/>
                <w:lang w:val="pt-BR"/>
              </w:rPr>
              <w:t>As propostas deverão ser preenchidas em conformidade com os DDL.</w:t>
            </w:r>
          </w:p>
          <w:p w14:paraId="1F67D8EA">
            <w:pPr>
              <w:spacing w:before="120" w:after="120" w:line="240" w:lineRule="auto"/>
              <w:ind w:left="783" w:hanging="709"/>
              <w:jc w:val="both"/>
              <w:rPr>
                <w:rFonts w:hint="default"/>
                <w:lang w:val="pt-BR"/>
              </w:rPr>
            </w:pPr>
            <w:r>
              <w:rPr>
                <w:rFonts w:hint="default"/>
                <w:lang w:val="pt-BR"/>
              </w:rPr>
              <w:t>21.3</w:t>
            </w:r>
            <w:r>
              <w:rPr>
                <w:rFonts w:hint="default"/>
                <w:lang w:val="pt-BR"/>
              </w:rPr>
              <w:tab/>
            </w:r>
            <w:r>
              <w:rPr>
                <w:rFonts w:hint="default"/>
                <w:lang w:val="pt-BR"/>
              </w:rPr>
              <w:t>O envio da proposta e dos documentos de habilitação exigidos neste Edital, ocorrerá por meio de chave de acesso e senha intransferíveis.</w:t>
            </w:r>
          </w:p>
          <w:p w14:paraId="32EDC5EA">
            <w:pPr>
              <w:spacing w:before="120" w:after="120" w:line="240" w:lineRule="auto"/>
              <w:ind w:left="783" w:hanging="709"/>
              <w:jc w:val="both"/>
              <w:rPr>
                <w:rFonts w:hint="default"/>
                <w:lang w:val="pt-BR"/>
              </w:rPr>
            </w:pPr>
            <w:r>
              <w:rPr>
                <w:rFonts w:hint="default"/>
                <w:lang w:val="pt-BR"/>
              </w:rPr>
              <w:t>21.4</w:t>
            </w:r>
            <w:r>
              <w:rPr>
                <w:rFonts w:hint="default"/>
                <w:lang w:val="pt-BR"/>
              </w:rPr>
              <w:tab/>
            </w:r>
            <w:r>
              <w:rPr>
                <w:rFonts w:hint="default"/>
                <w:lang w:val="pt-BR"/>
              </w:rPr>
              <w:t>O Concorrente deverá apresentar enviar sua proposta no sistema eletrônico, dos seguintes campos:</w:t>
            </w:r>
          </w:p>
          <w:p w14:paraId="6513E0D4">
            <w:pPr>
              <w:spacing w:before="120" w:after="120" w:line="240" w:lineRule="auto"/>
              <w:ind w:left="1208" w:hanging="425"/>
              <w:jc w:val="both"/>
              <w:rPr>
                <w:rFonts w:hint="default"/>
                <w:lang w:val="pt-BR"/>
              </w:rPr>
            </w:pPr>
            <w:r>
              <w:rPr>
                <w:rFonts w:hint="default"/>
                <w:lang w:val="pt-BR"/>
              </w:rPr>
              <w:t>(a)</w:t>
            </w:r>
            <w:r>
              <w:rPr>
                <w:rFonts w:hint="default"/>
                <w:lang w:val="pt-BR"/>
              </w:rPr>
              <w:tab/>
            </w:r>
            <w:r>
              <w:rPr>
                <w:rFonts w:hint="default"/>
                <w:lang w:val="pt-BR"/>
              </w:rPr>
              <w:t xml:space="preserve">Valor unitário e total (lote e/ou seus itens); </w:t>
            </w:r>
          </w:p>
          <w:p w14:paraId="56469AD7">
            <w:pPr>
              <w:spacing w:before="120" w:after="120" w:line="240" w:lineRule="auto"/>
              <w:ind w:left="1208" w:hanging="425"/>
              <w:jc w:val="both"/>
              <w:rPr>
                <w:rFonts w:hint="default"/>
                <w:lang w:val="pt-BR"/>
              </w:rPr>
            </w:pPr>
            <w:r>
              <w:rPr>
                <w:rFonts w:hint="default"/>
                <w:lang w:val="pt-BR"/>
              </w:rPr>
              <w:t>(b</w:t>
            </w:r>
            <w:r>
              <w:rPr>
                <w:rFonts w:hint="default"/>
                <w:lang w:val="pt-BR"/>
              </w:rPr>
              <w:tab/>
            </w:r>
            <w:r>
              <w:rPr>
                <w:rFonts w:hint="default"/>
                <w:lang w:val="pt-BR"/>
              </w:rPr>
              <w:t>Quantidade;</w:t>
            </w:r>
          </w:p>
          <w:p w14:paraId="0EB2B367">
            <w:pPr>
              <w:spacing w:before="120" w:after="120" w:line="240" w:lineRule="auto"/>
              <w:ind w:left="1208" w:hanging="425"/>
              <w:jc w:val="both"/>
              <w:rPr>
                <w:rFonts w:hint="default"/>
                <w:color w:val="FF0000"/>
                <w:lang w:val="pt-BR"/>
              </w:rPr>
            </w:pPr>
            <w:r>
              <w:rPr>
                <w:rFonts w:hint="default"/>
                <w:lang w:val="pt-BR"/>
              </w:rPr>
              <w:t xml:space="preserve">(c) </w:t>
            </w:r>
            <w:r>
              <w:rPr>
                <w:rFonts w:hint="default"/>
                <w:lang w:val="pt-BR"/>
              </w:rPr>
              <w:tab/>
            </w:r>
            <w:r>
              <w:rPr>
                <w:rFonts w:hint="default"/>
                <w:lang w:val="pt-BR"/>
              </w:rPr>
              <w:t>Descrição detalhada do objeto, conforme Planilha Orçamentária anexo ao Edital.</w:t>
            </w:r>
          </w:p>
          <w:p w14:paraId="080823A5">
            <w:pPr>
              <w:spacing w:before="120" w:after="120" w:line="240" w:lineRule="auto"/>
              <w:ind w:left="783" w:hanging="709"/>
              <w:jc w:val="both"/>
              <w:rPr>
                <w:rFonts w:hint="default"/>
                <w:lang w:val="pt-BR"/>
              </w:rPr>
            </w:pPr>
            <w:r>
              <w:rPr>
                <w:rFonts w:hint="default"/>
                <w:lang w:val="pt-BR"/>
              </w:rPr>
              <w:t>21.5</w:t>
            </w:r>
            <w:r>
              <w:rPr>
                <w:rFonts w:hint="default"/>
                <w:lang w:val="pt-BR"/>
              </w:rPr>
              <w:tab/>
            </w:r>
            <w:r>
              <w:rPr>
                <w:rFonts w:hint="default"/>
                <w:lang w:val="pt-BR"/>
              </w:rPr>
              <w:t>O concorrente deve fornecer as informações em conformidade com o solicitado na Seção 4 – Carta de Apresentação da Proposta (Modelo 4).</w:t>
            </w:r>
          </w:p>
          <w:p w14:paraId="58454BE1">
            <w:pPr>
              <w:spacing w:before="120" w:after="120" w:line="240" w:lineRule="auto"/>
              <w:ind w:left="783" w:hanging="709"/>
              <w:jc w:val="both"/>
              <w:rPr>
                <w:rFonts w:hint="default"/>
                <w:lang w:val="pt-BR"/>
              </w:rPr>
            </w:pPr>
            <w:r>
              <w:rPr>
                <w:rFonts w:hint="default"/>
                <w:lang w:val="pt-BR"/>
              </w:rPr>
              <w:t>21.6</w:t>
            </w:r>
            <w:r>
              <w:rPr>
                <w:rFonts w:hint="default"/>
                <w:lang w:val="pt-BR"/>
              </w:rPr>
              <w:tab/>
            </w:r>
            <w:r>
              <w:rPr>
                <w:rFonts w:hint="default"/>
                <w:lang w:val="pt-BR"/>
              </w:rPr>
              <w:t>Havendo necessidade de analisar minuciosamente os documentos exigidos, o Agente de Contratação e/ou Comissão de Contratação suspenderá a sessão, informando no chat a nova data e horário para a continuidade da mesma.</w:t>
            </w:r>
          </w:p>
          <w:p w14:paraId="187BC4BA">
            <w:pPr>
              <w:spacing w:before="120" w:after="120" w:line="240" w:lineRule="auto"/>
              <w:ind w:left="783" w:hanging="709"/>
              <w:jc w:val="both"/>
              <w:rPr>
                <w:rFonts w:hint="default"/>
                <w:lang w:val="pt-BR"/>
              </w:rPr>
            </w:pPr>
            <w:r>
              <w:rPr>
                <w:rFonts w:hint="default"/>
                <w:lang w:val="pt-BR"/>
              </w:rPr>
              <w:t>21.7</w:t>
            </w:r>
            <w:r>
              <w:rPr>
                <w:rFonts w:hint="default"/>
                <w:lang w:val="pt-BR"/>
              </w:rPr>
              <w:tab/>
            </w:r>
            <w:r>
              <w:rPr>
                <w:rFonts w:hint="default"/>
                <w:lang w:val="pt-BR"/>
              </w:rPr>
              <w:t>O Agente de Contratação e/ou Comissão de Contratação, verificará as propostas apresentadas e desclassificará, motivadamente, aquelas que não estejam em conformidade com os requisitos estabelecidos neste Edital.</w:t>
            </w:r>
          </w:p>
          <w:p w14:paraId="3811B555">
            <w:pPr>
              <w:spacing w:before="120" w:after="120" w:line="240" w:lineRule="auto"/>
              <w:ind w:left="783" w:hanging="709"/>
              <w:jc w:val="both"/>
              <w:rPr>
                <w:rFonts w:hint="default"/>
                <w:lang w:val="pt-BR"/>
              </w:rPr>
            </w:pPr>
            <w:r>
              <w:rPr>
                <w:rFonts w:hint="default"/>
                <w:lang w:val="pt-BR"/>
              </w:rPr>
              <w:t>21.8</w:t>
            </w:r>
            <w:r>
              <w:rPr>
                <w:rFonts w:hint="default"/>
                <w:lang w:val="pt-BR"/>
              </w:rPr>
              <w:tab/>
            </w:r>
            <w:r>
              <w:rPr>
                <w:rFonts w:hint="default"/>
                <w:lang w:val="pt-BR"/>
              </w:rPr>
              <w:t>A desclassificação da proposta será sempre fundamentada e registrada no sistema eletrônico, com acompanhamento em tempo real pelas Concorrentes</w:t>
            </w:r>
            <w:r>
              <w:rPr>
                <w:color w:val="00B050"/>
              </w:rPr>
              <w:t>.</w:t>
            </w:r>
          </w:p>
        </w:tc>
      </w:tr>
      <w:tr w14:paraId="54EC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C098DC4">
            <w:pPr>
              <w:pStyle w:val="71"/>
            </w:pPr>
            <w:bookmarkStart w:id="40" w:name="_Toc168378658"/>
            <w:bookmarkStart w:id="41" w:name="_Toc157690440"/>
            <w:bookmarkStart w:id="42" w:name="_Toc155815763"/>
            <w:bookmarkStart w:id="43" w:name="_Toc174536365"/>
            <w:r>
              <w:t>22.</w:t>
            </w:r>
            <w:r>
              <w:tab/>
            </w:r>
            <w:r>
              <w:t>Prazo para Apresentação das Propostas</w:t>
            </w:r>
            <w:bookmarkEnd w:id="40"/>
            <w:bookmarkEnd w:id="41"/>
            <w:bookmarkEnd w:id="42"/>
            <w:bookmarkEnd w:id="43"/>
          </w:p>
        </w:tc>
        <w:tc>
          <w:tcPr>
            <w:tcW w:w="5653" w:type="dxa"/>
          </w:tcPr>
          <w:p w14:paraId="135CD8F0">
            <w:pPr>
              <w:spacing w:before="120" w:after="120" w:line="240" w:lineRule="auto"/>
              <w:ind w:left="783" w:hanging="709"/>
              <w:jc w:val="both"/>
              <w:rPr>
                <w:rFonts w:hint="default"/>
                <w:lang w:val="pt-BR"/>
              </w:rPr>
            </w:pPr>
            <w:r>
              <w:t>22.1</w:t>
            </w:r>
            <w:r>
              <w:tab/>
            </w:r>
            <w:r>
              <w:t xml:space="preserve">As propostas deverão ser apresentadas no prazo estabelecido nos </w:t>
            </w:r>
            <w:r>
              <w:rPr>
                <w:b/>
                <w:bCs/>
              </w:rPr>
              <w:t>DDL</w:t>
            </w:r>
            <w:r>
              <w:t>.</w:t>
            </w:r>
          </w:p>
          <w:p w14:paraId="390082DB">
            <w:pPr>
              <w:spacing w:before="120" w:after="120" w:line="240" w:lineRule="auto"/>
              <w:ind w:left="783" w:hanging="709"/>
              <w:jc w:val="both"/>
              <w:rPr>
                <w:rFonts w:hint="default"/>
                <w:lang w:val="pt-BR"/>
              </w:rPr>
            </w:pPr>
            <w:r>
              <w:rPr>
                <w:rFonts w:hint="default"/>
                <w:lang w:val="pt-BR"/>
              </w:rPr>
              <w:t>22.2</w:t>
            </w:r>
            <w:r>
              <w:rPr>
                <w:rFonts w:hint="default"/>
                <w:lang w:val="pt-BR"/>
              </w:rPr>
              <w:tab/>
            </w:r>
            <w:r>
              <w:rPr>
                <w:rFonts w:hint="default"/>
                <w:lang w:val="pt-BR"/>
              </w:rPr>
              <w:t>O Contratante poderá, a seu critério, prorrogar o prazo de apresentação das propostas mediante adendo, conforme as IAC 10, caso em que todos os direitos e obrigações do Contratante e dos Concorrentes estarão sujeitos à nova data, a qual será informada oficialmente aos Concorrentes que adquiriram o Edital, dentro dos prazos estabelecidos.</w:t>
            </w:r>
          </w:p>
        </w:tc>
      </w:tr>
      <w:tr w14:paraId="3070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490D508E">
            <w:pPr>
              <w:pStyle w:val="71"/>
              <w:rPr>
                <w:color w:val="auto"/>
              </w:rPr>
            </w:pPr>
            <w:bookmarkStart w:id="44" w:name="_Toc174536366"/>
            <w:bookmarkStart w:id="45" w:name="_Toc168378659"/>
            <w:r>
              <w:rPr>
                <w:color w:val="auto"/>
              </w:rPr>
              <w:t>23.</w:t>
            </w:r>
            <w:r>
              <w:rPr>
                <w:color w:val="auto"/>
              </w:rPr>
              <w:tab/>
            </w:r>
            <w:r>
              <w:rPr>
                <w:color w:val="auto"/>
              </w:rPr>
              <w:t>Critério de Julgamento</w:t>
            </w:r>
            <w:r>
              <w:rPr>
                <w:rFonts w:hint="default"/>
                <w:color w:val="auto"/>
                <w:lang w:val="pt-BR"/>
              </w:rPr>
              <w:t xml:space="preserve"> </w:t>
            </w:r>
            <w:r>
              <w:rPr>
                <w:color w:val="auto"/>
              </w:rPr>
              <w:t>e Modo de Disputa</w:t>
            </w:r>
            <w:bookmarkEnd w:id="44"/>
            <w:bookmarkEnd w:id="45"/>
          </w:p>
        </w:tc>
        <w:tc>
          <w:tcPr>
            <w:tcW w:w="5653" w:type="dxa"/>
          </w:tcPr>
          <w:p w14:paraId="7365D0C5">
            <w:pPr>
              <w:spacing w:before="120" w:after="120" w:line="240" w:lineRule="auto"/>
              <w:ind w:left="783" w:hanging="709"/>
              <w:jc w:val="both"/>
              <w:rPr>
                <w:color w:val="auto"/>
              </w:rPr>
            </w:pPr>
            <w:r>
              <w:rPr>
                <w:color w:val="auto"/>
              </w:rPr>
              <w:t>23.1</w:t>
            </w:r>
            <w:r>
              <w:rPr>
                <w:color w:val="auto"/>
              </w:rPr>
              <w:tab/>
            </w:r>
            <w:r>
              <w:rPr>
                <w:color w:val="auto"/>
              </w:rPr>
              <w:t xml:space="preserve">Os critérios de julgamento e o modo de disputa da presente licitação ficam estabelecidos nos </w:t>
            </w:r>
            <w:r>
              <w:rPr>
                <w:b/>
                <w:bCs/>
                <w:color w:val="auto"/>
              </w:rPr>
              <w:t>DDL</w:t>
            </w:r>
            <w:r>
              <w:rPr>
                <w:color w:val="auto"/>
              </w:rPr>
              <w:t>.</w:t>
            </w:r>
          </w:p>
          <w:p w14:paraId="484DC63C">
            <w:pPr>
              <w:spacing w:before="120" w:after="120" w:line="240" w:lineRule="auto"/>
              <w:ind w:left="783" w:hanging="709"/>
              <w:jc w:val="both"/>
              <w:rPr>
                <w:rFonts w:hint="default"/>
                <w:color w:val="auto"/>
              </w:rPr>
            </w:pPr>
            <w:r>
              <w:rPr>
                <w:rFonts w:hint="default"/>
                <w:color w:val="auto"/>
              </w:rPr>
              <w:t xml:space="preserve">Etapa de lances </w:t>
            </w:r>
          </w:p>
          <w:p w14:paraId="48A6B029">
            <w:pPr>
              <w:spacing w:before="120" w:after="120" w:line="240" w:lineRule="auto"/>
              <w:ind w:left="783" w:hanging="709"/>
              <w:jc w:val="both"/>
              <w:rPr>
                <w:rFonts w:hint="default"/>
                <w:color w:val="auto"/>
              </w:rPr>
            </w:pPr>
            <w:r>
              <w:rPr>
                <w:rFonts w:hint="default"/>
                <w:color w:val="auto"/>
              </w:rPr>
              <w:t>23.2</w:t>
            </w:r>
            <w:r>
              <w:rPr>
                <w:rFonts w:hint="default"/>
                <w:color w:val="auto"/>
              </w:rPr>
              <w:tab/>
            </w:r>
            <w:r>
              <w:rPr>
                <w:rFonts w:hint="default"/>
                <w:color w:val="auto"/>
              </w:rPr>
              <w:t>O sistema ordenará automaticamente as propostas classificadas pelo responsável pelo procedimento licitatório, que dará início à fase competitiva.</w:t>
            </w:r>
          </w:p>
          <w:p w14:paraId="49BF4F6E">
            <w:pPr>
              <w:spacing w:before="120" w:after="120" w:line="240" w:lineRule="auto"/>
              <w:ind w:left="783" w:hanging="709"/>
              <w:jc w:val="both"/>
              <w:rPr>
                <w:rFonts w:hint="default"/>
                <w:color w:val="auto"/>
              </w:rPr>
            </w:pPr>
            <w:r>
              <w:rPr>
                <w:rFonts w:hint="default"/>
                <w:color w:val="auto"/>
              </w:rPr>
              <w:t>23.3</w:t>
            </w:r>
            <w:r>
              <w:rPr>
                <w:rFonts w:hint="default"/>
                <w:color w:val="auto"/>
              </w:rPr>
              <w:tab/>
            </w:r>
            <w:r>
              <w:rPr>
                <w:rFonts w:hint="default"/>
                <w:color w:val="auto"/>
              </w:rPr>
              <w:t>Iniciada a fase competitiva, as licitantes poderão encaminhar lances exclusivamente por meio de sistema eletrônico, observado o modo de disputa adotado, sendo imediatamente informadas do seu recebimento e do valor consignado no registro.</w:t>
            </w:r>
          </w:p>
          <w:p w14:paraId="7CFC6F7C">
            <w:pPr>
              <w:spacing w:before="120" w:after="120" w:line="240" w:lineRule="auto"/>
              <w:ind w:left="1320" w:leftChars="0" w:hanging="440" w:firstLineChars="0"/>
              <w:jc w:val="both"/>
              <w:rPr>
                <w:rFonts w:hint="default"/>
                <w:color w:val="auto"/>
              </w:rPr>
            </w:pPr>
            <w:r>
              <w:rPr>
                <w:rFonts w:hint="default"/>
                <w:color w:val="auto"/>
              </w:rPr>
              <w:t>(a)</w:t>
            </w:r>
            <w:r>
              <w:rPr>
                <w:rFonts w:hint="default"/>
                <w:color w:val="auto"/>
              </w:rPr>
              <w:tab/>
            </w:r>
            <w:r>
              <w:rPr>
                <w:rFonts w:hint="default"/>
                <w:color w:val="auto"/>
              </w:rPr>
              <w:t>A licitante somente poderá oferecer valor inferior ou maior percentual de desconto ao último lance por ela ofertado e registrado pelo sistema, observado, o intervalo mínimo de diferença de valores ou de percentuais entre os lances, que incidirão tanto em relação aos lances intermediários quanto em relação ao lance que cobrir a melhor oferta.</w:t>
            </w:r>
          </w:p>
          <w:p w14:paraId="3594038C">
            <w:pPr>
              <w:spacing w:before="120" w:after="120" w:line="240" w:lineRule="auto"/>
              <w:ind w:left="1320" w:leftChars="0" w:hanging="440" w:firstLineChars="0"/>
              <w:jc w:val="both"/>
              <w:rPr>
                <w:rFonts w:hint="default"/>
                <w:color w:val="auto"/>
              </w:rPr>
            </w:pPr>
            <w:r>
              <w:rPr>
                <w:rFonts w:hint="default"/>
                <w:color w:val="auto"/>
              </w:rPr>
              <w:t>(b)</w:t>
            </w:r>
            <w:r>
              <w:rPr>
                <w:rFonts w:hint="default"/>
                <w:color w:val="auto"/>
              </w:rPr>
              <w:tab/>
            </w:r>
            <w:r>
              <w:rPr>
                <w:rFonts w:hint="default"/>
                <w:color w:val="auto"/>
              </w:rPr>
              <w:t>Observado o subitem anterior, a licitante poderá, uma única vez, excluir seu último lance ofertado, no intervalo de quinze segundos após o registro no sistema, na hipótese de lance inconsistente ou inexequível, nos termos dos arts. 33 e 34 da Lei Municipal n.° 2.129/2023</w:t>
            </w:r>
          </w:p>
          <w:p w14:paraId="779F651A">
            <w:pPr>
              <w:spacing w:before="120" w:after="120" w:line="240" w:lineRule="auto"/>
              <w:ind w:left="1320" w:leftChars="0" w:hanging="440" w:firstLineChars="0"/>
              <w:jc w:val="both"/>
              <w:rPr>
                <w:rFonts w:hint="default"/>
                <w:color w:val="auto"/>
              </w:rPr>
            </w:pPr>
            <w:r>
              <w:rPr>
                <w:rFonts w:hint="default"/>
                <w:color w:val="auto"/>
              </w:rPr>
              <w:t>(c)</w:t>
            </w:r>
            <w:r>
              <w:rPr>
                <w:rFonts w:hint="default"/>
                <w:color w:val="auto"/>
              </w:rPr>
              <w:tab/>
            </w:r>
            <w:r>
              <w:rPr>
                <w:rFonts w:hint="default"/>
                <w:color w:val="auto"/>
              </w:rPr>
              <w:t>Serão considerados intermediários os lances:</w:t>
            </w:r>
          </w:p>
          <w:p w14:paraId="4FC1E679">
            <w:pPr>
              <w:spacing w:before="120" w:after="120" w:line="240" w:lineRule="auto"/>
              <w:ind w:left="1760" w:leftChars="0" w:hanging="440" w:firstLineChars="0"/>
              <w:jc w:val="both"/>
              <w:rPr>
                <w:rFonts w:hint="default"/>
                <w:color w:val="auto"/>
              </w:rPr>
            </w:pPr>
            <w:r>
              <w:rPr>
                <w:rFonts w:hint="default"/>
                <w:color w:val="auto"/>
              </w:rPr>
              <w:t>I.</w:t>
            </w:r>
            <w:r>
              <w:rPr>
                <w:rFonts w:hint="default"/>
                <w:color w:val="auto"/>
              </w:rPr>
              <w:tab/>
            </w:r>
            <w:r>
              <w:rPr>
                <w:rFonts w:hint="default"/>
                <w:color w:val="auto"/>
              </w:rPr>
              <w:t>Iguais ou inferiores ao maior já ofertado, quando adotado o critério de julgamento de maior lance;</w:t>
            </w:r>
          </w:p>
          <w:p w14:paraId="00A99900">
            <w:pPr>
              <w:spacing w:before="120" w:after="120" w:line="240" w:lineRule="auto"/>
              <w:ind w:left="1760" w:leftChars="0" w:hanging="440" w:firstLineChars="0"/>
              <w:jc w:val="both"/>
              <w:rPr>
                <w:rFonts w:hint="default"/>
                <w:color w:val="auto"/>
              </w:rPr>
            </w:pPr>
            <w:r>
              <w:rPr>
                <w:rFonts w:hint="default"/>
                <w:color w:val="auto"/>
              </w:rPr>
              <w:t>II.</w:t>
            </w:r>
            <w:r>
              <w:rPr>
                <w:rFonts w:hint="default"/>
                <w:color w:val="auto"/>
              </w:rPr>
              <w:tab/>
            </w:r>
            <w:r>
              <w:rPr>
                <w:rFonts w:hint="default"/>
                <w:color w:val="auto"/>
              </w:rPr>
              <w:t>Iguais ou superiores ao menor já ofertado, quando adotados os demais critérios de julgamento.</w:t>
            </w:r>
          </w:p>
          <w:p w14:paraId="1CCFEC16">
            <w:pPr>
              <w:spacing w:before="120" w:after="120" w:line="240" w:lineRule="auto"/>
              <w:ind w:left="783" w:hanging="709"/>
              <w:jc w:val="both"/>
              <w:rPr>
                <w:rFonts w:hint="default"/>
                <w:color w:val="auto"/>
              </w:rPr>
            </w:pPr>
            <w:r>
              <w:rPr>
                <w:rFonts w:hint="default"/>
                <w:color w:val="auto"/>
              </w:rPr>
              <w:t>23.4</w:t>
            </w:r>
            <w:r>
              <w:rPr>
                <w:rFonts w:hint="default"/>
                <w:color w:val="auto"/>
              </w:rPr>
              <w:tab/>
            </w:r>
            <w:r>
              <w:rPr>
                <w:rFonts w:hint="default"/>
                <w:color w:val="auto"/>
              </w:rPr>
              <w:t>Durante o transcurso da sessão pública, as licitantes serão informadas, em tempo real, do valor do menor lance ou maior desconto registrado, vedada a identificação da licitante.</w:t>
            </w:r>
          </w:p>
          <w:p w14:paraId="09CB6173">
            <w:pPr>
              <w:spacing w:before="120" w:after="120" w:line="240" w:lineRule="auto"/>
              <w:ind w:left="783" w:hanging="709"/>
              <w:jc w:val="both"/>
              <w:rPr>
                <w:rFonts w:hint="default"/>
                <w:color w:val="auto"/>
              </w:rPr>
            </w:pPr>
            <w:r>
              <w:rPr>
                <w:rFonts w:hint="default"/>
                <w:color w:val="auto"/>
              </w:rPr>
              <w:t>23.5</w:t>
            </w:r>
            <w:r>
              <w:rPr>
                <w:rFonts w:hint="default"/>
                <w:color w:val="auto"/>
              </w:rPr>
              <w:tab/>
            </w:r>
            <w:r>
              <w:rPr>
                <w:rFonts w:hint="default"/>
                <w:color w:val="auto"/>
              </w:rPr>
              <w:t>Caso a licitante não apresente lances, concorrerá com o valor de sua proposta.</w:t>
            </w:r>
          </w:p>
          <w:p w14:paraId="75382DD0">
            <w:pPr>
              <w:spacing w:before="120" w:after="120" w:line="240" w:lineRule="auto"/>
              <w:ind w:left="783" w:hanging="709"/>
              <w:jc w:val="both"/>
              <w:rPr>
                <w:rFonts w:hint="default"/>
                <w:color w:val="auto"/>
              </w:rPr>
            </w:pPr>
            <w:r>
              <w:rPr>
                <w:rFonts w:hint="default"/>
                <w:color w:val="auto"/>
              </w:rPr>
              <w:t>23.6</w:t>
            </w:r>
            <w:r>
              <w:rPr>
                <w:rFonts w:hint="default"/>
                <w:color w:val="auto"/>
              </w:rPr>
              <w:tab/>
            </w:r>
            <w:r>
              <w:rPr>
                <w:rFonts w:hint="default"/>
                <w:color w:val="auto"/>
              </w:rPr>
              <w:t>Desde que disponibilizada a funcionalidade no sistema, a licitante poderá parametrizar o seu valor final mínimo ou o seu percentual de desconto final máximo e obedecerá às seguintes regras:</w:t>
            </w:r>
          </w:p>
          <w:p w14:paraId="24D83ADA">
            <w:pPr>
              <w:spacing w:before="120" w:after="120" w:line="240" w:lineRule="auto"/>
              <w:ind w:left="1320" w:leftChars="0" w:hanging="440" w:firstLineChars="0"/>
              <w:jc w:val="both"/>
              <w:rPr>
                <w:rFonts w:hint="default"/>
                <w:color w:val="auto"/>
              </w:rPr>
            </w:pPr>
            <w:r>
              <w:rPr>
                <w:rFonts w:hint="default"/>
                <w:color w:val="auto"/>
              </w:rPr>
              <w:t>(a)</w:t>
            </w:r>
            <w:r>
              <w:rPr>
                <w:rFonts w:hint="default"/>
                <w:color w:val="auto"/>
              </w:rPr>
              <w:tab/>
            </w:r>
            <w:r>
              <w:rPr>
                <w:rFonts w:hint="default"/>
                <w:color w:val="auto"/>
              </w:rPr>
              <w:t>A aplicação do intervalo mínimo de diferença de valores ou de percentuais entre os lances, que incidirá tanto em relação aos lances intermediários quanto em relação ao lance que cobrir a melhor oferta; e</w:t>
            </w:r>
          </w:p>
          <w:p w14:paraId="462D46E2">
            <w:pPr>
              <w:spacing w:before="120" w:after="120" w:line="240" w:lineRule="auto"/>
              <w:ind w:left="1320" w:leftChars="0" w:hanging="440" w:firstLineChars="0"/>
              <w:jc w:val="both"/>
              <w:rPr>
                <w:rFonts w:hint="default"/>
                <w:color w:val="auto"/>
              </w:rPr>
            </w:pPr>
            <w:r>
              <w:rPr>
                <w:rFonts w:hint="default"/>
                <w:color w:val="auto"/>
              </w:rPr>
              <w:t>(b)</w:t>
            </w:r>
            <w:r>
              <w:rPr>
                <w:rFonts w:hint="default"/>
                <w:color w:val="auto"/>
              </w:rPr>
              <w:tab/>
            </w:r>
            <w:r>
              <w:rPr>
                <w:rFonts w:hint="default"/>
                <w:color w:val="auto"/>
              </w:rPr>
              <w:t>Os lances serão de envio automático pelo sistema, respeitado o valor final mínimo estabelecido e o intervalo de que trata o inciso anterior.</w:t>
            </w:r>
          </w:p>
          <w:p w14:paraId="3F19D73D">
            <w:pPr>
              <w:spacing w:before="120" w:after="120" w:line="240" w:lineRule="auto"/>
              <w:ind w:left="783" w:hanging="709"/>
              <w:jc w:val="both"/>
              <w:rPr>
                <w:rFonts w:hint="default"/>
                <w:color w:val="auto"/>
              </w:rPr>
            </w:pPr>
            <w:r>
              <w:rPr>
                <w:rFonts w:hint="default"/>
                <w:color w:val="auto"/>
                <w:lang w:val="pt-BR"/>
              </w:rPr>
              <w:t>23.7</w:t>
            </w:r>
            <w:r>
              <w:rPr>
                <w:rFonts w:hint="default"/>
                <w:color w:val="auto"/>
                <w:lang w:val="pt-BR"/>
              </w:rPr>
              <w:tab/>
            </w:r>
            <w:r>
              <w:rPr>
                <w:rFonts w:hint="default"/>
                <w:color w:val="auto"/>
              </w:rPr>
              <w:t>O valor final mínimo ou o percentual de desconto final máximo poderá ser alterado pelo fornecedor durante a fase de disputa, sendo vedado:</w:t>
            </w:r>
          </w:p>
          <w:p w14:paraId="716F45E4">
            <w:pPr>
              <w:spacing w:before="120" w:after="120" w:line="240" w:lineRule="auto"/>
              <w:ind w:left="1320" w:leftChars="0" w:hanging="440" w:firstLineChars="0"/>
              <w:jc w:val="both"/>
              <w:rPr>
                <w:rFonts w:hint="default"/>
                <w:color w:val="auto"/>
              </w:rPr>
            </w:pPr>
            <w:r>
              <w:rPr>
                <w:rFonts w:hint="default"/>
                <w:color w:val="auto"/>
              </w:rPr>
              <w:t>(a)</w:t>
            </w:r>
            <w:r>
              <w:rPr>
                <w:rFonts w:hint="default"/>
                <w:color w:val="auto"/>
              </w:rPr>
              <w:tab/>
            </w:r>
            <w:r>
              <w:rPr>
                <w:rFonts w:hint="default"/>
                <w:color w:val="auto"/>
              </w:rPr>
              <w:t>Valor superior a lance já registrado pelo fornecedor no sistema, quando adotado o critério de julgamento por menor preço; e</w:t>
            </w:r>
          </w:p>
          <w:p w14:paraId="2C770DEA">
            <w:pPr>
              <w:spacing w:before="120" w:after="120" w:line="240" w:lineRule="auto"/>
              <w:ind w:left="1320" w:leftChars="0" w:hanging="440" w:firstLineChars="0"/>
              <w:jc w:val="both"/>
              <w:rPr>
                <w:color w:val="auto"/>
              </w:rPr>
            </w:pPr>
            <w:r>
              <w:rPr>
                <w:rFonts w:hint="default"/>
                <w:color w:val="auto"/>
              </w:rPr>
              <w:t>(b)</w:t>
            </w:r>
            <w:r>
              <w:rPr>
                <w:rFonts w:hint="default"/>
                <w:color w:val="auto"/>
              </w:rPr>
              <w:tab/>
            </w:r>
            <w:r>
              <w:rPr>
                <w:rFonts w:hint="default"/>
                <w:color w:val="auto"/>
              </w:rPr>
              <w:t>Percentual de desconto inferior a lance já registrado pelo fornecedor no sistema, quando adotado o critério de julgamento por maior desconto.</w:t>
            </w:r>
          </w:p>
        </w:tc>
      </w:tr>
      <w:tr w14:paraId="742B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3B037DC">
            <w:pPr>
              <w:pStyle w:val="71"/>
            </w:pPr>
            <w:bookmarkStart w:id="46" w:name="_Toc157690441"/>
            <w:bookmarkStart w:id="47" w:name="_Toc168378660"/>
            <w:bookmarkStart w:id="48" w:name="_Toc174536367"/>
            <w:bookmarkStart w:id="49" w:name="_Toc155815764"/>
            <w:r>
              <w:t>24.</w:t>
            </w:r>
            <w:r>
              <w:tab/>
            </w:r>
            <w:r>
              <w:t>Propostas Entregues com Atraso</w:t>
            </w:r>
            <w:bookmarkEnd w:id="46"/>
            <w:bookmarkEnd w:id="47"/>
            <w:bookmarkEnd w:id="48"/>
            <w:bookmarkEnd w:id="49"/>
          </w:p>
        </w:tc>
        <w:tc>
          <w:tcPr>
            <w:tcW w:w="5653" w:type="dxa"/>
          </w:tcPr>
          <w:p w14:paraId="5306834B">
            <w:pPr>
              <w:spacing w:before="120" w:after="120" w:line="240" w:lineRule="auto"/>
              <w:ind w:left="783" w:hanging="709"/>
              <w:jc w:val="both"/>
            </w:pPr>
            <w:r>
              <w:t>24.1</w:t>
            </w:r>
            <w:r>
              <w:tab/>
            </w:r>
            <w:r>
              <w:rPr>
                <w:rFonts w:hint="default"/>
              </w:rPr>
              <w:t>O sistema eletrônico não permite que seja enviada qualquer proposta após o horário estabelecido para sua abertura</w:t>
            </w:r>
            <w:r>
              <w:t xml:space="preserve">. </w:t>
            </w:r>
          </w:p>
        </w:tc>
      </w:tr>
      <w:tr w14:paraId="19CD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041F6711">
            <w:pPr>
              <w:pStyle w:val="71"/>
            </w:pPr>
            <w:bookmarkStart w:id="50" w:name="_Toc174536368"/>
            <w:r>
              <w:t>25.</w:t>
            </w:r>
            <w:r>
              <w:tab/>
            </w:r>
            <w:bookmarkEnd w:id="50"/>
            <w:r>
              <w:rPr>
                <w:rFonts w:hint="default"/>
              </w:rPr>
              <w:t xml:space="preserve">Retirada, Modificação e Substituição de Propostas </w:t>
            </w:r>
          </w:p>
        </w:tc>
        <w:tc>
          <w:tcPr>
            <w:tcW w:w="5653" w:type="dxa"/>
          </w:tcPr>
          <w:p w14:paraId="380603FE">
            <w:pPr>
              <w:spacing w:before="120" w:after="120" w:line="240" w:lineRule="auto"/>
              <w:ind w:left="783" w:hanging="709"/>
              <w:jc w:val="both"/>
              <w:rPr>
                <w:rFonts w:hint="default"/>
              </w:rPr>
            </w:pPr>
            <w:r>
              <w:rPr>
                <w:rFonts w:hint="default"/>
              </w:rPr>
              <w:t>25.1</w:t>
            </w:r>
            <w:r>
              <w:rPr>
                <w:rFonts w:hint="default"/>
              </w:rPr>
              <w:tab/>
            </w:r>
            <w:r>
              <w:rPr>
                <w:rFonts w:hint="default"/>
              </w:rPr>
              <w:t>Até a abertura da sessão pública, os concorrentes poderão retirar, modificar ou substituir a proposta e os documentos de habilitação anteriormente inseridos no sistema.</w:t>
            </w:r>
          </w:p>
          <w:p w14:paraId="52DA08E6">
            <w:pPr>
              <w:spacing w:before="120" w:after="120" w:line="240" w:lineRule="auto"/>
              <w:ind w:left="783" w:hanging="709"/>
              <w:jc w:val="both"/>
              <w:rPr>
                <w:rFonts w:hint="default"/>
                <w:lang w:val="pt-BR"/>
              </w:rPr>
            </w:pPr>
            <w:r>
              <w:rPr>
                <w:rFonts w:hint="default"/>
              </w:rPr>
              <w:t>25.2</w:t>
            </w:r>
            <w:r>
              <w:rPr>
                <w:rFonts w:hint="default"/>
              </w:rPr>
              <w:tab/>
            </w:r>
            <w:r>
              <w:rPr>
                <w:rFonts w:hint="default"/>
              </w:rPr>
              <w:t>Nenhum concorrente poderá modificar ou substituir sua proposta após o prazo final estabelecido para sua apresentação.</w:t>
            </w:r>
          </w:p>
        </w:tc>
      </w:tr>
      <w:tr w14:paraId="2350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7253A248">
            <w:pPr>
              <w:pStyle w:val="71"/>
            </w:pPr>
            <w:bookmarkStart w:id="51" w:name="_Toc174536369"/>
            <w:bookmarkStart w:id="52" w:name="_Toc168378662"/>
            <w:r>
              <w:t>26.</w:t>
            </w:r>
            <w:r>
              <w:tab/>
            </w:r>
            <w:r>
              <w:t>Envio de Documentos Complementares</w:t>
            </w:r>
            <w:bookmarkEnd w:id="51"/>
            <w:bookmarkEnd w:id="52"/>
          </w:p>
        </w:tc>
        <w:tc>
          <w:tcPr>
            <w:tcW w:w="5653" w:type="dxa"/>
          </w:tcPr>
          <w:p w14:paraId="0FE6D1C0">
            <w:pPr>
              <w:spacing w:before="120" w:after="120" w:line="240" w:lineRule="auto"/>
              <w:ind w:left="783" w:hanging="709"/>
              <w:jc w:val="both"/>
              <w:rPr>
                <w:rFonts w:hint="default"/>
              </w:rPr>
            </w:pPr>
            <w:r>
              <w:rPr>
                <w:rFonts w:hint="default"/>
              </w:rPr>
              <w:t>26.1</w:t>
            </w:r>
            <w:r>
              <w:rPr>
                <w:rFonts w:hint="default"/>
              </w:rPr>
              <w:tab/>
            </w:r>
            <w:r>
              <w:rPr>
                <w:rFonts w:hint="default"/>
              </w:rPr>
              <w:t xml:space="preserve">A </w:t>
            </w:r>
            <w:r>
              <w:rPr>
                <w:rFonts w:hint="default"/>
                <w:lang w:val="pt-BR"/>
              </w:rPr>
              <w:t>concorrente</w:t>
            </w:r>
            <w:r>
              <w:rPr>
                <w:rFonts w:hint="default"/>
              </w:rPr>
              <w:t xml:space="preserve"> melhor classificada será convocada para reelaborar e apresentar a Proposta de Preços adequada ao lance vencedor, no prazo de 2 (duas) horas contado da solicitação no sistema, sujeitando-se a licitante às sanções previstas neste edital..</w:t>
            </w:r>
          </w:p>
          <w:p w14:paraId="523FC164">
            <w:pPr>
              <w:spacing w:before="120" w:after="120" w:line="240" w:lineRule="auto"/>
              <w:ind w:left="783" w:hanging="709"/>
              <w:jc w:val="both"/>
              <w:rPr>
                <w:rFonts w:hint="default"/>
              </w:rPr>
            </w:pPr>
            <w:r>
              <w:rPr>
                <w:rFonts w:hint="default"/>
              </w:rPr>
              <w:t>26.2</w:t>
            </w:r>
            <w:r>
              <w:rPr>
                <w:rFonts w:hint="default"/>
              </w:rPr>
              <w:tab/>
            </w:r>
            <w:r>
              <w:rPr>
                <w:rFonts w:hint="default"/>
              </w:rPr>
              <w:t>A análise da conformidade das propostas visará ao atendimento das condições estabelecidas neste edital e seus anexos e será feita exclusivamente na fase de julgamento em relação à proposta mais bem classificada.</w:t>
            </w:r>
          </w:p>
          <w:p w14:paraId="1F142436">
            <w:pPr>
              <w:spacing w:before="120" w:after="120" w:line="240" w:lineRule="auto"/>
              <w:ind w:left="1320" w:leftChars="0" w:hanging="440" w:firstLineChars="0"/>
              <w:jc w:val="both"/>
              <w:rPr>
                <w:rFonts w:hint="default"/>
                <w:lang w:val="pt-BR"/>
              </w:rPr>
            </w:pPr>
            <w:r>
              <w:rPr>
                <w:rFonts w:hint="default"/>
                <w:lang w:val="pt-BR"/>
              </w:rPr>
              <w:t>(a)</w:t>
            </w:r>
            <w:r>
              <w:rPr>
                <w:rFonts w:hint="default"/>
                <w:lang w:val="pt-BR"/>
              </w:rPr>
              <w:tab/>
            </w:r>
            <w:r>
              <w:rPr>
                <w:rFonts w:hint="default"/>
                <w:lang w:val="pt-BR"/>
              </w:rPr>
              <w:t>Caso a licitante provisoriamente classificada em primeiro lugar tenha se utilizado de algum tratamento favorecido às Microempresas, Empresas de Pequeno Porte ou Equiparadas, o Agente de Contratação/Pregoeiro diligenciará para verificar o enquadramento, em conformidade com o disposto neste edital;</w:t>
            </w:r>
          </w:p>
          <w:p w14:paraId="1BEB64A1">
            <w:pPr>
              <w:spacing w:before="120" w:after="120" w:line="240" w:lineRule="auto"/>
              <w:ind w:left="1320" w:leftChars="0" w:hanging="440" w:firstLineChars="0"/>
              <w:jc w:val="both"/>
              <w:rPr>
                <w:rFonts w:hint="default"/>
                <w:lang w:val="pt-BR"/>
              </w:rPr>
            </w:pPr>
            <w:r>
              <w:rPr>
                <w:rFonts w:hint="default"/>
                <w:lang w:val="pt-BR"/>
              </w:rPr>
              <w:t>(b)</w:t>
            </w:r>
            <w:r>
              <w:rPr>
                <w:rFonts w:hint="default"/>
                <w:lang w:val="pt-BR"/>
              </w:rPr>
              <w:tab/>
            </w:r>
            <w:r>
              <w:rPr>
                <w:rFonts w:hint="default"/>
                <w:lang w:val="pt-BR"/>
              </w:rPr>
              <w:t>A apresentação de documentos de certificação, de amostra, de exame de conformidade ou de prova de conceito, catálogos, se previstos no edital como condição de aceitabilidade da proposta, serão exigidos apenas da licitante provisoriamente classificada em primeiro lugar</w:t>
            </w:r>
          </w:p>
          <w:p w14:paraId="7AC08D70">
            <w:pPr>
              <w:spacing w:before="120" w:after="120" w:line="240" w:lineRule="auto"/>
              <w:ind w:left="783" w:hanging="709"/>
              <w:jc w:val="both"/>
              <w:rPr>
                <w:rFonts w:hint="default"/>
              </w:rPr>
            </w:pPr>
            <w:r>
              <w:rPr>
                <w:rFonts w:hint="default"/>
              </w:rPr>
              <w:t>26.3</w:t>
            </w:r>
            <w:r>
              <w:rPr>
                <w:rFonts w:hint="default"/>
              </w:rPr>
              <w:tab/>
            </w:r>
            <w:r>
              <w:rPr>
                <w:rFonts w:hint="default"/>
              </w:rPr>
              <w:t>Verificadas as condições de participação e de utilização do tratamento favorecido, o Agente de Contratação/Pregoeiro examinará a proposta mais bem classificada quanto à compatibilidade do preço ofertado com o valor estimado e à compatibilidade da proposta com as especificações técnicas do objeto.</w:t>
            </w:r>
          </w:p>
          <w:p w14:paraId="4FECDC3E">
            <w:pPr>
              <w:spacing w:before="120" w:after="120" w:line="240" w:lineRule="auto"/>
              <w:ind w:left="783" w:hanging="709"/>
              <w:jc w:val="both"/>
              <w:rPr>
                <w:rFonts w:hint="default"/>
              </w:rPr>
            </w:pPr>
            <w:r>
              <w:rPr>
                <w:rFonts w:hint="default"/>
                <w:lang w:val="pt-BR"/>
              </w:rPr>
              <w:t>26.4</w:t>
            </w:r>
            <w:r>
              <w:rPr>
                <w:rFonts w:hint="default"/>
              </w:rPr>
              <w:tab/>
            </w:r>
            <w:r>
              <w:rPr>
                <w:rFonts w:hint="default"/>
              </w:rPr>
              <w:t>O Agente de Contratação/Pregoeiro poderá solicitar manifestação técnica de outros setores ou da área especializada no objeto, a fim de subsidiar sua decisão.</w:t>
            </w:r>
          </w:p>
          <w:p w14:paraId="3E1E3D61">
            <w:pPr>
              <w:spacing w:before="120" w:after="120" w:line="240" w:lineRule="auto"/>
              <w:ind w:left="783" w:hanging="709"/>
              <w:jc w:val="both"/>
              <w:rPr>
                <w:rFonts w:hint="default"/>
              </w:rPr>
            </w:pPr>
            <w:r>
              <w:rPr>
                <w:rFonts w:hint="default"/>
                <w:lang w:val="pt-BR"/>
              </w:rPr>
              <w:t>26.5</w:t>
            </w:r>
            <w:r>
              <w:rPr>
                <w:rFonts w:hint="default"/>
              </w:rPr>
              <w:tab/>
            </w:r>
            <w:r>
              <w:rPr>
                <w:rFonts w:hint="default"/>
              </w:rPr>
              <w:t>A qualquer momento, o Agente de Contratação/Pregoeiro poderá suspender a sessão por prazo a ser informado no chat.</w:t>
            </w:r>
          </w:p>
          <w:p w14:paraId="1ABA4170">
            <w:pPr>
              <w:spacing w:before="120" w:after="120" w:line="240" w:lineRule="auto"/>
              <w:ind w:left="783" w:hanging="709"/>
              <w:jc w:val="both"/>
              <w:rPr>
                <w:rFonts w:hint="default"/>
              </w:rPr>
            </w:pPr>
            <w:r>
              <w:rPr>
                <w:rFonts w:hint="default"/>
              </w:rPr>
              <w:t>26.</w:t>
            </w:r>
            <w:r>
              <w:rPr>
                <w:rFonts w:hint="default"/>
                <w:lang w:val="pt-BR"/>
              </w:rPr>
              <w:t>6</w:t>
            </w:r>
            <w:r>
              <w:rPr>
                <w:rFonts w:hint="default"/>
              </w:rPr>
              <w:tab/>
            </w:r>
            <w:r>
              <w:rPr>
                <w:rFonts w:hint="default"/>
              </w:rPr>
              <w:t>Será desclassificada a proposta vencedora que:</w:t>
            </w:r>
          </w:p>
          <w:p w14:paraId="72731654">
            <w:pPr>
              <w:spacing w:before="120" w:after="120" w:line="240" w:lineRule="auto"/>
              <w:ind w:left="1320" w:leftChars="0" w:hanging="440" w:firstLineChars="0"/>
              <w:jc w:val="both"/>
              <w:rPr>
                <w:rFonts w:hint="default" w:ascii="Times New Roman" w:hAnsi="Times New Roman" w:eastAsia="等线" w:cs="Times New Roman"/>
                <w:snapToGrid w:val="0"/>
                <w:kern w:val="0"/>
                <w:sz w:val="22"/>
                <w:szCs w:val="22"/>
              </w:rPr>
            </w:pPr>
            <w:r>
              <w:rPr>
                <w:rFonts w:hint="default" w:ascii="Times New Roman" w:hAnsi="Times New Roman" w:eastAsia="等线" w:cs="Times New Roman"/>
                <w:snapToGrid w:val="0"/>
                <w:kern w:val="0"/>
                <w:sz w:val="22"/>
                <w:szCs w:val="22"/>
                <w:lang w:val="pt-BR"/>
              </w:rPr>
              <w:t>(a)</w:t>
            </w:r>
            <w:r>
              <w:rPr>
                <w:rFonts w:hint="default" w:ascii="Times New Roman" w:hAnsi="Times New Roman" w:eastAsia="等线" w:cs="Times New Roman"/>
                <w:snapToGrid w:val="0"/>
                <w:kern w:val="0"/>
                <w:sz w:val="22"/>
                <w:szCs w:val="22"/>
                <w:lang w:val="pt-BR"/>
              </w:rPr>
              <w:tab/>
            </w:r>
            <w:r>
              <w:rPr>
                <w:rFonts w:hint="default" w:ascii="Times New Roman" w:hAnsi="Times New Roman" w:eastAsia="等线" w:cs="Times New Roman"/>
                <w:snapToGrid w:val="0"/>
                <w:kern w:val="0"/>
                <w:sz w:val="22"/>
                <w:szCs w:val="22"/>
                <w:lang w:val="pt-BR"/>
              </w:rPr>
              <w:t>C</w:t>
            </w:r>
            <w:r>
              <w:rPr>
                <w:rFonts w:hint="default" w:ascii="Times New Roman" w:hAnsi="Times New Roman" w:eastAsia="等线" w:cs="Times New Roman"/>
                <w:snapToGrid w:val="0"/>
                <w:kern w:val="0"/>
                <w:sz w:val="22"/>
                <w:szCs w:val="22"/>
              </w:rPr>
              <w:t>ontiver vícios insanáveis;</w:t>
            </w:r>
          </w:p>
          <w:p w14:paraId="01F2A08E">
            <w:pPr>
              <w:spacing w:before="120" w:after="120" w:line="240" w:lineRule="auto"/>
              <w:ind w:left="1320" w:leftChars="0" w:hanging="440" w:firstLineChars="0"/>
              <w:jc w:val="both"/>
              <w:rPr>
                <w:rFonts w:hint="default" w:ascii="Times New Roman" w:hAnsi="Times New Roman" w:eastAsia="等线" w:cs="Times New Roman"/>
                <w:snapToGrid w:val="0"/>
                <w:kern w:val="0"/>
                <w:sz w:val="22"/>
                <w:szCs w:val="22"/>
              </w:rPr>
            </w:pPr>
            <w:r>
              <w:rPr>
                <w:rFonts w:hint="default" w:ascii="Times New Roman" w:hAnsi="Times New Roman" w:eastAsia="等线" w:cs="Times New Roman"/>
                <w:snapToGrid w:val="0"/>
                <w:kern w:val="0"/>
                <w:sz w:val="22"/>
                <w:szCs w:val="22"/>
                <w:lang w:val="pt-BR"/>
              </w:rPr>
              <w:t>(b)</w:t>
            </w:r>
            <w:r>
              <w:rPr>
                <w:rFonts w:hint="default" w:ascii="Times New Roman" w:hAnsi="Times New Roman" w:eastAsia="等线" w:cs="Times New Roman"/>
                <w:snapToGrid w:val="0"/>
                <w:kern w:val="0"/>
                <w:sz w:val="22"/>
                <w:szCs w:val="22"/>
                <w:lang w:val="pt-BR"/>
              </w:rPr>
              <w:tab/>
            </w:r>
            <w:r>
              <w:rPr>
                <w:rFonts w:hint="default" w:ascii="Times New Roman" w:hAnsi="Times New Roman" w:eastAsia="等线" w:cs="Times New Roman"/>
                <w:snapToGrid w:val="0"/>
                <w:kern w:val="0"/>
                <w:sz w:val="22"/>
                <w:szCs w:val="22"/>
                <w:lang w:val="pt-BR"/>
              </w:rPr>
              <w:t>N</w:t>
            </w:r>
            <w:r>
              <w:rPr>
                <w:rFonts w:hint="default" w:ascii="Times New Roman" w:hAnsi="Times New Roman" w:eastAsia="等线" w:cs="Times New Roman"/>
                <w:snapToGrid w:val="0"/>
                <w:kern w:val="0"/>
                <w:sz w:val="22"/>
                <w:szCs w:val="22"/>
              </w:rPr>
              <w:t>ão obedecer às especificações técnicas contidas n</w:t>
            </w:r>
            <w:r>
              <w:rPr>
                <w:rFonts w:hint="default" w:ascii="Times New Roman" w:hAnsi="Times New Roman" w:eastAsia="等线" w:cs="Times New Roman"/>
                <w:snapToGrid w:val="0"/>
                <w:kern w:val="0"/>
                <w:sz w:val="22"/>
                <w:szCs w:val="22"/>
                <w:lang w:val="pt-BR"/>
              </w:rPr>
              <w:t>a Proposta e no</w:t>
            </w:r>
            <w:r>
              <w:rPr>
                <w:rFonts w:hint="default" w:ascii="Times New Roman" w:hAnsi="Times New Roman" w:eastAsia="等线" w:cs="Times New Roman"/>
                <w:snapToGrid w:val="0"/>
                <w:kern w:val="0"/>
                <w:sz w:val="22"/>
                <w:szCs w:val="22"/>
              </w:rPr>
              <w:t xml:space="preserve"> </w:t>
            </w:r>
            <w:r>
              <w:rPr>
                <w:rFonts w:hint="default" w:ascii="Times New Roman" w:hAnsi="Times New Roman" w:eastAsia="等线" w:cs="Times New Roman"/>
                <w:snapToGrid w:val="0"/>
                <w:kern w:val="0"/>
                <w:sz w:val="22"/>
                <w:szCs w:val="22"/>
                <w:lang w:val="pt-BR"/>
              </w:rPr>
              <w:t>edital e seus anexos;</w:t>
            </w:r>
          </w:p>
          <w:p w14:paraId="79F9C43C">
            <w:pPr>
              <w:spacing w:before="120" w:after="120" w:line="240" w:lineRule="auto"/>
              <w:ind w:left="1320" w:leftChars="0" w:hanging="440" w:firstLineChars="0"/>
              <w:jc w:val="both"/>
              <w:rPr>
                <w:rFonts w:hint="default" w:ascii="Times New Roman" w:hAnsi="Times New Roman" w:eastAsia="等线" w:cs="Times New Roman"/>
                <w:snapToGrid w:val="0"/>
                <w:kern w:val="0"/>
                <w:sz w:val="22"/>
                <w:szCs w:val="22"/>
              </w:rPr>
            </w:pPr>
            <w:r>
              <w:rPr>
                <w:rFonts w:hint="default" w:ascii="Times New Roman" w:hAnsi="Times New Roman" w:eastAsia="等线" w:cs="Times New Roman"/>
                <w:snapToGrid w:val="0"/>
                <w:kern w:val="0"/>
                <w:sz w:val="22"/>
                <w:szCs w:val="22"/>
                <w:lang w:val="pt-BR"/>
              </w:rPr>
              <w:t>(c)</w:t>
            </w:r>
            <w:r>
              <w:rPr>
                <w:rFonts w:hint="default" w:ascii="Times New Roman" w:hAnsi="Times New Roman" w:eastAsia="等线" w:cs="Times New Roman"/>
                <w:snapToGrid w:val="0"/>
                <w:kern w:val="0"/>
                <w:sz w:val="22"/>
                <w:szCs w:val="22"/>
                <w:lang w:val="pt-BR"/>
              </w:rPr>
              <w:tab/>
            </w:r>
            <w:r>
              <w:rPr>
                <w:rFonts w:hint="default" w:ascii="Times New Roman" w:hAnsi="Times New Roman" w:eastAsia="等线" w:cs="Times New Roman"/>
                <w:snapToGrid w:val="0"/>
                <w:kern w:val="0"/>
                <w:sz w:val="22"/>
                <w:szCs w:val="22"/>
                <w:lang w:val="pt-BR"/>
              </w:rPr>
              <w:t xml:space="preserve">Apresentar preço </w:t>
            </w:r>
            <w:r>
              <w:rPr>
                <w:rFonts w:hint="default" w:ascii="Times New Roman" w:hAnsi="Times New Roman" w:eastAsia="等线" w:cs="Times New Roman"/>
                <w:snapToGrid w:val="0"/>
                <w:kern w:val="0"/>
                <w:sz w:val="22"/>
                <w:szCs w:val="22"/>
              </w:rPr>
              <w:t>acima do máximo definido para a contratação;</w:t>
            </w:r>
          </w:p>
          <w:p w14:paraId="0D3CD7A3">
            <w:pPr>
              <w:spacing w:before="120" w:after="120" w:line="240" w:lineRule="auto"/>
              <w:ind w:left="1320" w:leftChars="0" w:hanging="440" w:firstLineChars="0"/>
              <w:jc w:val="both"/>
              <w:rPr>
                <w:rFonts w:hint="default" w:ascii="Times New Roman" w:hAnsi="Times New Roman" w:eastAsia="等线" w:cs="Times New Roman"/>
                <w:snapToGrid w:val="0"/>
                <w:kern w:val="0"/>
                <w:sz w:val="22"/>
                <w:szCs w:val="22"/>
              </w:rPr>
            </w:pPr>
            <w:r>
              <w:rPr>
                <w:rFonts w:hint="default" w:ascii="Times New Roman" w:hAnsi="Times New Roman" w:eastAsia="等线" w:cs="Times New Roman"/>
                <w:snapToGrid w:val="0"/>
                <w:kern w:val="0"/>
                <w:sz w:val="22"/>
                <w:szCs w:val="22"/>
                <w:lang w:val="pt-BR"/>
              </w:rPr>
              <w:t>(d)</w:t>
            </w:r>
            <w:r>
              <w:rPr>
                <w:rFonts w:hint="default" w:ascii="Times New Roman" w:hAnsi="Times New Roman" w:eastAsia="等线" w:cs="Times New Roman"/>
                <w:snapToGrid w:val="0"/>
                <w:kern w:val="0"/>
                <w:sz w:val="22"/>
                <w:szCs w:val="22"/>
                <w:lang w:val="pt-BR"/>
              </w:rPr>
              <w:tab/>
            </w:r>
            <w:r>
              <w:rPr>
                <w:rFonts w:hint="default" w:ascii="Times New Roman" w:hAnsi="Times New Roman" w:eastAsia="等线" w:cs="Times New Roman"/>
                <w:snapToGrid w:val="0"/>
                <w:kern w:val="0"/>
                <w:sz w:val="22"/>
                <w:szCs w:val="22"/>
                <w:lang w:val="pt-BR"/>
              </w:rPr>
              <w:t>A</w:t>
            </w:r>
            <w:r>
              <w:rPr>
                <w:rFonts w:hint="default" w:ascii="Times New Roman" w:hAnsi="Times New Roman" w:eastAsia="等线" w:cs="Times New Roman"/>
                <w:snapToGrid w:val="0"/>
                <w:kern w:val="0"/>
                <w:sz w:val="22"/>
                <w:szCs w:val="22"/>
              </w:rPr>
              <w:t xml:space="preserve">presentar preços inexequíveis ou </w:t>
            </w:r>
            <w:r>
              <w:rPr>
                <w:rFonts w:hint="default" w:ascii="Times New Roman" w:hAnsi="Times New Roman" w:eastAsia="等线" w:cs="Times New Roman"/>
                <w:snapToGrid w:val="0"/>
                <w:kern w:val="0"/>
                <w:sz w:val="22"/>
                <w:szCs w:val="22"/>
                <w:lang w:val="pt-BR"/>
              </w:rPr>
              <w:t>n</w:t>
            </w:r>
            <w:r>
              <w:rPr>
                <w:rFonts w:hint="default" w:ascii="Times New Roman" w:hAnsi="Times New Roman" w:eastAsia="等线" w:cs="Times New Roman"/>
                <w:snapToGrid w:val="0"/>
                <w:kern w:val="0"/>
                <w:sz w:val="22"/>
                <w:szCs w:val="22"/>
              </w:rPr>
              <w:t>ão tiverem sua exequibilidade demonstrada quando exigido pela Administração;</w:t>
            </w:r>
          </w:p>
          <w:p w14:paraId="437EF8E3">
            <w:pPr>
              <w:keepNext w:val="0"/>
              <w:keepLines w:val="0"/>
              <w:pageBreakBefore w:val="0"/>
              <w:widowControl/>
              <w:numPr>
                <w:ilvl w:val="0"/>
                <w:numId w:val="0"/>
              </w:numPr>
              <w:kinsoku/>
              <w:wordWrap/>
              <w:overflowPunct/>
              <w:topLinePunct w:val="0"/>
              <w:autoSpaceDE/>
              <w:autoSpaceDN/>
              <w:bidi w:val="0"/>
              <w:adjustRightInd/>
              <w:snapToGrid/>
              <w:spacing w:before="0" w:beforeLines="0" w:after="181" w:afterLines="50" w:line="240" w:lineRule="auto"/>
              <w:ind w:left="1804" w:leftChars="600" w:right="0" w:rightChars="0" w:hanging="484" w:hangingChars="220"/>
              <w:jc w:val="both"/>
              <w:textAlignment w:val="auto"/>
              <w:outlineLvl w:val="9"/>
              <w:rPr>
                <w:rFonts w:hint="default" w:ascii="Times New Roman" w:hAnsi="Times New Roman" w:eastAsia="等线" w:cs="Times New Roman"/>
                <w:snapToGrid w:val="0"/>
                <w:spacing w:val="0"/>
                <w:kern w:val="0"/>
                <w:sz w:val="22"/>
                <w:szCs w:val="22"/>
              </w:rPr>
            </w:pPr>
            <w:r>
              <w:rPr>
                <w:rFonts w:hint="default" w:ascii="Times New Roman" w:hAnsi="Times New Roman" w:eastAsia="等线" w:cs="Times New Roman"/>
                <w:snapToGrid w:val="0"/>
                <w:spacing w:val="0"/>
                <w:kern w:val="0"/>
                <w:sz w:val="22"/>
                <w:szCs w:val="22"/>
              </w:rPr>
              <w:t>I.</w:t>
            </w:r>
            <w:r>
              <w:rPr>
                <w:rFonts w:hint="default" w:ascii="Times New Roman" w:hAnsi="Times New Roman" w:eastAsia="等线" w:cs="Times New Roman"/>
                <w:snapToGrid w:val="0"/>
                <w:spacing w:val="0"/>
                <w:kern w:val="0"/>
                <w:sz w:val="22"/>
                <w:szCs w:val="22"/>
              </w:rPr>
              <w:tab/>
            </w:r>
            <w:r>
              <w:rPr>
                <w:rFonts w:hint="default" w:ascii="Times New Roman" w:hAnsi="Times New Roman" w:eastAsia="等线" w:cs="Times New Roman"/>
                <w:snapToGrid w:val="0"/>
                <w:spacing w:val="0"/>
                <w:kern w:val="0"/>
                <w:sz w:val="22"/>
                <w:szCs w:val="22"/>
              </w:rPr>
              <w:t xml:space="preserve">No caso de obras e serviços de engenharia, serão consideradas inexequíveis as propostas cujos valores forem inferiores a </w:t>
            </w:r>
            <w:r>
              <w:rPr>
                <w:rFonts w:hint="default" w:eastAsia="等线" w:cs="Times New Roman"/>
                <w:snapToGrid w:val="0"/>
                <w:spacing w:val="0"/>
                <w:kern w:val="0"/>
                <w:sz w:val="22"/>
                <w:szCs w:val="22"/>
                <w:lang w:val="pt-BR"/>
              </w:rPr>
              <w:t>7</w:t>
            </w:r>
            <w:r>
              <w:rPr>
                <w:rFonts w:hint="default" w:ascii="Times New Roman" w:hAnsi="Times New Roman" w:eastAsia="等线" w:cs="Times New Roman"/>
                <w:snapToGrid w:val="0"/>
                <w:spacing w:val="0"/>
                <w:kern w:val="0"/>
                <w:sz w:val="22"/>
                <w:szCs w:val="22"/>
              </w:rPr>
              <w:t>5% (</w:t>
            </w:r>
            <w:r>
              <w:rPr>
                <w:rFonts w:hint="default" w:eastAsia="等线" w:cs="Times New Roman"/>
                <w:snapToGrid w:val="0"/>
                <w:spacing w:val="0"/>
                <w:kern w:val="0"/>
                <w:sz w:val="22"/>
                <w:szCs w:val="22"/>
                <w:lang w:val="pt-BR"/>
              </w:rPr>
              <w:t>setenta</w:t>
            </w:r>
            <w:r>
              <w:rPr>
                <w:rFonts w:hint="default" w:ascii="Times New Roman" w:hAnsi="Times New Roman" w:eastAsia="等线" w:cs="Times New Roman"/>
                <w:snapToGrid w:val="0"/>
                <w:spacing w:val="0"/>
                <w:kern w:val="0"/>
                <w:sz w:val="22"/>
                <w:szCs w:val="22"/>
              </w:rPr>
              <w:t xml:space="preserve"> e cinco</w:t>
            </w:r>
            <w:r>
              <w:rPr>
                <w:rFonts w:hint="default" w:ascii="Times New Roman" w:hAnsi="Times New Roman" w:eastAsia="等线" w:cs="Times New Roman"/>
                <w:snapToGrid w:val="0"/>
                <w:spacing w:val="0"/>
                <w:kern w:val="0"/>
                <w:sz w:val="22"/>
                <w:szCs w:val="22"/>
                <w:lang w:val="pt-BR"/>
              </w:rPr>
              <w:t xml:space="preserve"> </w:t>
            </w:r>
            <w:r>
              <w:rPr>
                <w:rFonts w:hint="default" w:ascii="Times New Roman" w:hAnsi="Times New Roman" w:eastAsia="等线" w:cs="Times New Roman"/>
                <w:snapToGrid w:val="0"/>
                <w:spacing w:val="0"/>
                <w:kern w:val="0"/>
                <w:sz w:val="22"/>
                <w:szCs w:val="22"/>
              </w:rPr>
              <w:t>por cento) do valor orçado pela Administração Municipal</w:t>
            </w:r>
            <w:r>
              <w:rPr>
                <w:rFonts w:hint="default" w:ascii="Times New Roman" w:hAnsi="Times New Roman" w:eastAsia="等线" w:cs="Times New Roman"/>
                <w:snapToGrid w:val="0"/>
                <w:spacing w:val="0"/>
                <w:kern w:val="0"/>
                <w:sz w:val="22"/>
                <w:szCs w:val="22"/>
                <w:lang w:val="pt-BR"/>
              </w:rPr>
              <w:t>;</w:t>
            </w:r>
          </w:p>
          <w:p w14:paraId="072F87E2">
            <w:pPr>
              <w:keepNext w:val="0"/>
              <w:keepLines w:val="0"/>
              <w:pageBreakBefore w:val="0"/>
              <w:widowControl/>
              <w:numPr>
                <w:ilvl w:val="0"/>
                <w:numId w:val="0"/>
              </w:numPr>
              <w:kinsoku/>
              <w:wordWrap/>
              <w:overflowPunct/>
              <w:topLinePunct w:val="0"/>
              <w:autoSpaceDE/>
              <w:autoSpaceDN/>
              <w:bidi w:val="0"/>
              <w:adjustRightInd/>
              <w:snapToGrid/>
              <w:spacing w:before="0" w:beforeLines="0" w:after="181" w:afterLines="50" w:line="240" w:lineRule="auto"/>
              <w:ind w:left="1804" w:leftChars="600" w:right="0" w:rightChars="0" w:hanging="484" w:hangingChars="220"/>
              <w:jc w:val="both"/>
              <w:textAlignment w:val="auto"/>
              <w:outlineLvl w:val="9"/>
              <w:rPr>
                <w:rFonts w:hint="default" w:ascii="Times New Roman" w:hAnsi="Times New Roman" w:eastAsia="等线" w:cs="Times New Roman"/>
                <w:snapToGrid w:val="0"/>
                <w:spacing w:val="0"/>
                <w:kern w:val="0"/>
                <w:sz w:val="22"/>
                <w:szCs w:val="22"/>
              </w:rPr>
            </w:pPr>
            <w:r>
              <w:rPr>
                <w:rFonts w:hint="default" w:ascii="Times New Roman" w:hAnsi="Times New Roman" w:eastAsia="等线" w:cs="Times New Roman"/>
                <w:snapToGrid w:val="0"/>
                <w:spacing w:val="0"/>
                <w:kern w:val="0"/>
                <w:sz w:val="22"/>
                <w:szCs w:val="22"/>
              </w:rPr>
              <w:t>I</w:t>
            </w:r>
            <w:r>
              <w:rPr>
                <w:rFonts w:hint="default" w:ascii="Times New Roman" w:hAnsi="Times New Roman" w:eastAsia="等线" w:cs="Times New Roman"/>
                <w:snapToGrid w:val="0"/>
                <w:spacing w:val="0"/>
                <w:kern w:val="0"/>
                <w:sz w:val="22"/>
                <w:szCs w:val="22"/>
                <w:lang w:val="pt-BR"/>
              </w:rPr>
              <w:t>I</w:t>
            </w:r>
            <w:r>
              <w:rPr>
                <w:rFonts w:hint="default" w:ascii="Times New Roman" w:hAnsi="Times New Roman" w:eastAsia="等线" w:cs="Times New Roman"/>
                <w:snapToGrid w:val="0"/>
                <w:spacing w:val="0"/>
                <w:kern w:val="0"/>
                <w:sz w:val="22"/>
                <w:szCs w:val="22"/>
              </w:rPr>
              <w:t>.</w:t>
            </w:r>
            <w:r>
              <w:rPr>
                <w:rFonts w:hint="default" w:ascii="Times New Roman" w:hAnsi="Times New Roman" w:eastAsia="等线" w:cs="Times New Roman"/>
                <w:snapToGrid w:val="0"/>
                <w:spacing w:val="0"/>
                <w:kern w:val="0"/>
                <w:sz w:val="22"/>
                <w:szCs w:val="22"/>
              </w:rPr>
              <w:tab/>
            </w:r>
            <w:r>
              <w:rPr>
                <w:rFonts w:hint="default" w:ascii="Times New Roman" w:hAnsi="Times New Roman" w:eastAsia="等线" w:cs="Times New Roman"/>
                <w:snapToGrid w:val="0"/>
                <w:spacing w:val="0"/>
                <w:kern w:val="0"/>
                <w:sz w:val="22"/>
                <w:szCs w:val="22"/>
              </w:rPr>
              <w:t>Se mesmo com as comprovações apresentadas pela licitante ainda houver indícios de inexequibilidade da proposta de preço, ou em caso da necessidade de esclarecimentos complementares, poderão ser efetuadas diligências, para que a empresa comprove a exequibilidade da proposta.</w:t>
            </w:r>
          </w:p>
          <w:p w14:paraId="6720C88B">
            <w:pPr>
              <w:spacing w:before="120" w:after="120" w:line="240" w:lineRule="auto"/>
              <w:ind w:left="1320" w:leftChars="0" w:hanging="440" w:firstLineChars="0"/>
              <w:jc w:val="both"/>
              <w:rPr>
                <w:rFonts w:hint="default" w:ascii="Times New Roman" w:hAnsi="Times New Roman" w:eastAsia="等线" w:cs="Times New Roman"/>
                <w:snapToGrid w:val="0"/>
                <w:spacing w:val="0"/>
                <w:kern w:val="0"/>
                <w:sz w:val="22"/>
                <w:szCs w:val="22"/>
              </w:rPr>
            </w:pPr>
            <w:r>
              <w:rPr>
                <w:rFonts w:hint="default" w:ascii="Times New Roman" w:hAnsi="Times New Roman" w:eastAsia="等线" w:cs="Times New Roman"/>
                <w:snapToGrid w:val="0"/>
                <w:spacing w:val="0"/>
                <w:kern w:val="0"/>
                <w:sz w:val="22"/>
                <w:szCs w:val="22"/>
                <w:lang w:val="pt-BR"/>
              </w:rPr>
              <w:t>(e)</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lang w:val="pt-BR"/>
              </w:rPr>
              <w:t>A</w:t>
            </w:r>
            <w:r>
              <w:rPr>
                <w:rFonts w:hint="default" w:ascii="Times New Roman" w:hAnsi="Times New Roman" w:eastAsia="等线" w:cs="Times New Roman"/>
                <w:snapToGrid w:val="0"/>
                <w:spacing w:val="0"/>
                <w:kern w:val="0"/>
                <w:sz w:val="22"/>
                <w:szCs w:val="22"/>
              </w:rPr>
              <w:t>presentar desconformidade com quaisquer outras exigências deste edital ou seus anexos, desde que insanável</w:t>
            </w:r>
            <w:r>
              <w:rPr>
                <w:rFonts w:hint="default" w:ascii="Times New Roman" w:hAnsi="Times New Roman" w:eastAsia="等线" w:cs="Times New Roman"/>
                <w:snapToGrid w:val="0"/>
                <w:spacing w:val="0"/>
                <w:kern w:val="0"/>
                <w:sz w:val="22"/>
                <w:szCs w:val="22"/>
                <w:lang w:val="pt-BR"/>
              </w:rPr>
              <w:t>;</w:t>
            </w:r>
          </w:p>
          <w:p w14:paraId="7EA54AD4">
            <w:pPr>
              <w:keepNext w:val="0"/>
              <w:keepLines w:val="0"/>
              <w:pageBreakBefore w:val="0"/>
              <w:widowControl/>
              <w:numPr>
                <w:ilvl w:val="0"/>
                <w:numId w:val="0"/>
              </w:numPr>
              <w:kinsoku/>
              <w:wordWrap/>
              <w:overflowPunct/>
              <w:topLinePunct w:val="0"/>
              <w:autoSpaceDE/>
              <w:autoSpaceDN/>
              <w:bidi w:val="0"/>
              <w:adjustRightInd/>
              <w:snapToGrid/>
              <w:spacing w:before="0" w:beforeLines="0" w:after="181" w:afterLines="50" w:line="240" w:lineRule="auto"/>
              <w:ind w:left="1804" w:leftChars="600" w:right="0" w:rightChars="0" w:hanging="484" w:hangingChars="220"/>
              <w:jc w:val="both"/>
              <w:textAlignment w:val="auto"/>
              <w:outlineLvl w:val="9"/>
              <w:rPr>
                <w:rFonts w:hint="default" w:ascii="Times New Roman" w:hAnsi="Times New Roman" w:eastAsia="等线" w:cs="Times New Roman"/>
                <w:snapToGrid w:val="0"/>
                <w:spacing w:val="0"/>
                <w:kern w:val="0"/>
                <w:sz w:val="22"/>
                <w:szCs w:val="22"/>
              </w:rPr>
            </w:pPr>
            <w:r>
              <w:rPr>
                <w:rFonts w:hint="default" w:ascii="Times New Roman" w:hAnsi="Times New Roman" w:eastAsia="等线" w:cs="Times New Roman"/>
                <w:snapToGrid w:val="0"/>
                <w:spacing w:val="0"/>
                <w:kern w:val="0"/>
                <w:sz w:val="22"/>
                <w:szCs w:val="22"/>
                <w:lang w:val="pt-BR"/>
              </w:rPr>
              <w:t>I</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rPr>
              <w:t xml:space="preserve">Em caso de incompatibilidade de algum valor unitário com os parâmetros da Administração, estes poderão ser negociados com </w:t>
            </w:r>
            <w:r>
              <w:rPr>
                <w:rFonts w:hint="default" w:ascii="Times New Roman" w:hAnsi="Times New Roman" w:eastAsia="等线" w:cs="Times New Roman"/>
                <w:snapToGrid w:val="0"/>
                <w:spacing w:val="0"/>
                <w:kern w:val="0"/>
                <w:sz w:val="22"/>
                <w:szCs w:val="22"/>
                <w:lang w:val="pt-BR"/>
              </w:rPr>
              <w:t>a</w:t>
            </w:r>
            <w:r>
              <w:rPr>
                <w:rFonts w:hint="default" w:ascii="Times New Roman" w:hAnsi="Times New Roman" w:eastAsia="等线" w:cs="Times New Roman"/>
                <w:snapToGrid w:val="0"/>
                <w:spacing w:val="0"/>
                <w:kern w:val="0"/>
                <w:sz w:val="22"/>
                <w:szCs w:val="22"/>
              </w:rPr>
              <w:t xml:space="preserve"> licitante provisoriamente classificad</w:t>
            </w:r>
            <w:r>
              <w:rPr>
                <w:rFonts w:hint="default" w:ascii="Times New Roman" w:hAnsi="Times New Roman" w:eastAsia="等线" w:cs="Times New Roman"/>
                <w:snapToGrid w:val="0"/>
                <w:spacing w:val="0"/>
                <w:kern w:val="0"/>
                <w:sz w:val="22"/>
                <w:szCs w:val="22"/>
                <w:lang w:val="pt-BR"/>
              </w:rPr>
              <w:t>a</w:t>
            </w:r>
            <w:r>
              <w:rPr>
                <w:rFonts w:hint="default" w:ascii="Times New Roman" w:hAnsi="Times New Roman" w:eastAsia="等线" w:cs="Times New Roman"/>
                <w:snapToGrid w:val="0"/>
                <w:spacing w:val="0"/>
                <w:kern w:val="0"/>
                <w:sz w:val="22"/>
                <w:szCs w:val="22"/>
              </w:rPr>
              <w:t xml:space="preserve"> em primeiro lugar, sem possibilidade de majoração do preço final alcançado na fase de lances</w:t>
            </w:r>
            <w:r>
              <w:rPr>
                <w:rFonts w:hint="default" w:ascii="Times New Roman" w:hAnsi="Times New Roman" w:eastAsia="等线" w:cs="Times New Roman"/>
                <w:snapToGrid w:val="0"/>
                <w:spacing w:val="0"/>
                <w:kern w:val="0"/>
                <w:sz w:val="22"/>
                <w:szCs w:val="22"/>
                <w:lang w:val="pt-BR"/>
              </w:rPr>
              <w:t xml:space="preserve"> e negociação.</w:t>
            </w:r>
          </w:p>
          <w:p w14:paraId="15445EE3">
            <w:pPr>
              <w:spacing w:before="120" w:after="120" w:line="240" w:lineRule="auto"/>
              <w:ind w:left="1320" w:leftChars="0" w:hanging="440" w:firstLineChars="0"/>
              <w:jc w:val="both"/>
              <w:rPr>
                <w:rFonts w:hint="default" w:ascii="Times New Roman" w:hAnsi="Times New Roman" w:eastAsia="等线" w:cs="Times New Roman"/>
                <w:snapToGrid w:val="0"/>
                <w:spacing w:val="0"/>
                <w:kern w:val="0"/>
                <w:sz w:val="22"/>
                <w:szCs w:val="22"/>
              </w:rPr>
            </w:pPr>
            <w:r>
              <w:rPr>
                <w:rFonts w:hint="default" w:ascii="Times New Roman" w:hAnsi="Times New Roman" w:eastAsia="等线" w:cs="Times New Roman"/>
                <w:snapToGrid w:val="0"/>
                <w:spacing w:val="0"/>
                <w:kern w:val="0"/>
                <w:sz w:val="22"/>
                <w:szCs w:val="22"/>
                <w:lang w:val="pt-BR"/>
              </w:rPr>
              <w:t>(f)</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rPr>
              <w:t>Não corrigir ou não justificar eventuais falhas apontadas pel</w:t>
            </w:r>
            <w:r>
              <w:rPr>
                <w:rFonts w:hint="default" w:ascii="Times New Roman" w:hAnsi="Times New Roman" w:eastAsia="等线" w:cs="Times New Roman"/>
                <w:snapToGrid w:val="0"/>
                <w:spacing w:val="0"/>
                <w:kern w:val="0"/>
                <w:sz w:val="22"/>
                <w:szCs w:val="22"/>
                <w:lang w:val="pt-BR"/>
              </w:rPr>
              <w:t>o Agente de Contratação/Pregoeiro;</w:t>
            </w:r>
          </w:p>
          <w:p w14:paraId="3F1CCF5C">
            <w:pPr>
              <w:spacing w:before="120" w:after="120" w:line="240" w:lineRule="auto"/>
              <w:ind w:left="1320" w:leftChars="0" w:hanging="440" w:firstLineChars="0"/>
              <w:jc w:val="both"/>
              <w:rPr>
                <w:rFonts w:hint="default" w:ascii="Times New Roman" w:hAnsi="Times New Roman" w:eastAsia="等线" w:cs="Times New Roman"/>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(g)</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rPr>
              <w:t>Será desclassificada</w:t>
            </w:r>
            <w:r>
              <w:rPr>
                <w:rFonts w:hint="default" w:ascii="Times New Roman" w:hAnsi="Times New Roman" w:eastAsia="等线" w:cs="Times New Roman"/>
                <w:snapToGrid w:val="0"/>
                <w:spacing w:val="0"/>
                <w:kern w:val="0"/>
                <w:sz w:val="22"/>
                <w:szCs w:val="22"/>
                <w:lang w:val="pt-BR"/>
              </w:rPr>
              <w:t>, ainda,</w:t>
            </w:r>
            <w:r>
              <w:rPr>
                <w:rFonts w:hint="default" w:ascii="Times New Roman" w:hAnsi="Times New Roman" w:eastAsia="等线" w:cs="Times New Roman"/>
                <w:snapToGrid w:val="0"/>
                <w:spacing w:val="0"/>
                <w:kern w:val="0"/>
                <w:sz w:val="22"/>
                <w:szCs w:val="22"/>
              </w:rPr>
              <w:t xml:space="preserve"> a proposta que identifique </w:t>
            </w:r>
            <w:r>
              <w:rPr>
                <w:rFonts w:hint="default" w:ascii="Times New Roman" w:hAnsi="Times New Roman" w:eastAsia="等线" w:cs="Times New Roman"/>
                <w:snapToGrid w:val="0"/>
                <w:spacing w:val="0"/>
                <w:kern w:val="0"/>
                <w:sz w:val="22"/>
                <w:szCs w:val="22"/>
                <w:lang w:val="pt-BR"/>
              </w:rPr>
              <w:t>a licitante.</w:t>
            </w:r>
          </w:p>
          <w:p w14:paraId="3A24E2BD">
            <w:pPr>
              <w:spacing w:before="120" w:after="120" w:line="240" w:lineRule="auto"/>
              <w:ind w:left="783" w:hanging="709"/>
              <w:jc w:val="both"/>
              <w:rPr>
                <w:rFonts w:hint="default" w:ascii="Times New Roman" w:hAnsi="Times New Roman" w:eastAsia="等线" w:cs="Times New Roman"/>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26.7</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lang w:val="pt-BR"/>
              </w:rPr>
              <w:t>Não se considerará qualquer oferta de vantagem não prevista neste edital.</w:t>
            </w:r>
          </w:p>
          <w:p w14:paraId="4A72F3FC">
            <w:pPr>
              <w:spacing w:before="120" w:after="120" w:line="240" w:lineRule="auto"/>
              <w:ind w:left="783" w:hanging="709"/>
              <w:jc w:val="both"/>
              <w:rPr>
                <w:rFonts w:hint="default" w:ascii="Times New Roman" w:hAnsi="Times New Roman" w:eastAsia="等线" w:cs="Times New Roman"/>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26.8</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lang w:val="pt-BR"/>
              </w:rPr>
              <w:t>A licitante melhor classificada deverá reelaborar e enviar ao Agente de Contratação, por meio eletrônico, no prazo de 2 (duas) horas contado da solicitação no sistema, a planilha que contenha o preço global, os quantitativos e os preços unitários, conforme planilha orçamentária elaborada pela Administração, bem como com detalhamento das Bonificações e Despesas Indiretas (BDI) e dos Encargos Sociais (ES), com os respectivos valores readequados à proposta vencedora.</w:t>
            </w:r>
          </w:p>
          <w:p w14:paraId="62FD6C50">
            <w:pPr>
              <w:spacing w:before="120" w:after="120" w:line="240" w:lineRule="auto"/>
              <w:ind w:left="1320" w:leftChars="0" w:hanging="440" w:firstLineChars="0"/>
              <w:jc w:val="both"/>
              <w:rPr>
                <w:rFonts w:hint="default" w:ascii="Times New Roman" w:hAnsi="Times New Roman" w:eastAsia="等线" w:cs="Times New Roman"/>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(a)</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lang w:val="pt-BR"/>
              </w:rPr>
              <w:t>Caso a proponente apresente planilha com quantitativos de itens de serviços (materiais + mão de obra ou mão de obra ou materiais) diferentes daqueles disponibilizados pela Administração e considerados essenciais para execução do objeto, à proponente será concedido o direito de correções. Porém, se as correções resultarem na majoração do preço final obtido na fase de lances e negociações deverá ser promovida a desclassificação da proposta;</w:t>
            </w:r>
          </w:p>
          <w:p w14:paraId="0D83628F">
            <w:pPr>
              <w:spacing w:before="120" w:after="120" w:line="240" w:lineRule="auto"/>
              <w:ind w:left="1320" w:leftChars="0" w:hanging="440" w:firstLineChars="0"/>
              <w:jc w:val="both"/>
              <w:rPr>
                <w:rFonts w:hint="default" w:ascii="Times New Roman" w:hAnsi="Times New Roman" w:eastAsia="等线" w:cs="Times New Roman"/>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(b)</w:t>
            </w:r>
            <w:r>
              <w:rPr>
                <w:rFonts w:hint="default" w:ascii="Times New Roman" w:hAnsi="Times New Roman" w:eastAsia="等线" w:cs="Times New Roman"/>
                <w:snapToGrid w:val="0"/>
                <w:spacing w:val="0"/>
                <w:kern w:val="0"/>
                <w:sz w:val="22"/>
                <w:szCs w:val="22"/>
                <w:lang w:val="pt-BR"/>
              </w:rPr>
              <w:tab/>
            </w:r>
            <w:r>
              <w:rPr>
                <w:rFonts w:hint="default" w:ascii="Times New Roman" w:hAnsi="Times New Roman" w:eastAsia="等线" w:cs="Times New Roman"/>
                <w:snapToGrid w:val="0"/>
                <w:spacing w:val="0"/>
                <w:kern w:val="0"/>
                <w:sz w:val="22"/>
                <w:szCs w:val="22"/>
                <w:lang w:val="pt-BR"/>
              </w:rPr>
              <w:t>Em razão da complexidade do objeto e dificuldade na composição e adaptação das planilhas dos valores do objeto, a critério do Agente de Contratação, usando sempre a razoabilidade, poderá prorrogar o prazo estabelecido, a partir de solicitação fundamentada feita no “chat” pela licitante, antes de findo o prazo, nos termos do §2º do inciso I do art. 30 da Decreto Municipal n.° 2.129/2023</w:t>
            </w:r>
          </w:p>
          <w:p w14:paraId="1069F1F7">
            <w:pPr>
              <w:spacing w:before="120" w:after="120" w:line="240" w:lineRule="auto"/>
              <w:ind w:left="783" w:hanging="709"/>
              <w:jc w:val="both"/>
              <w:rPr>
                <w:rFonts w:hint="default" w:ascii="Times New Roman" w:hAnsi="Times New Roman" w:eastAsia="等线"/>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26.9</w:t>
            </w:r>
            <w:r>
              <w:rPr>
                <w:rFonts w:hint="default" w:ascii="Times New Roman" w:hAnsi="Times New Roman" w:eastAsia="等线"/>
                <w:snapToGrid w:val="0"/>
                <w:spacing w:val="0"/>
                <w:kern w:val="0"/>
                <w:sz w:val="22"/>
                <w:szCs w:val="22"/>
                <w:lang w:val="pt-BR"/>
              </w:rPr>
              <w:tab/>
            </w:r>
            <w:r>
              <w:rPr>
                <w:rFonts w:hint="default" w:ascii="Times New Roman" w:hAnsi="Times New Roman" w:eastAsia="等线"/>
                <w:snapToGrid w:val="0"/>
                <w:spacing w:val="0"/>
                <w:kern w:val="0"/>
                <w:sz w:val="22"/>
                <w:szCs w:val="22"/>
                <w:lang w:val="pt-BR"/>
              </w:rPr>
              <w:t>A apresentação dos documentos supracitados será exigida apenas da licitante provisoriamente classificada em primeiro lugar.</w:t>
            </w:r>
          </w:p>
          <w:p w14:paraId="568CEB9A">
            <w:pPr>
              <w:spacing w:before="120" w:after="120" w:line="240" w:lineRule="auto"/>
              <w:ind w:left="783" w:hanging="709"/>
              <w:jc w:val="both"/>
              <w:rPr>
                <w:rFonts w:hint="default" w:ascii="Times New Roman" w:hAnsi="Times New Roman" w:eastAsia="等线"/>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26</w:t>
            </w:r>
            <w:r>
              <w:rPr>
                <w:rFonts w:hint="default" w:ascii="Times New Roman" w:hAnsi="Times New Roman" w:eastAsia="等线"/>
                <w:snapToGrid w:val="0"/>
                <w:spacing w:val="0"/>
                <w:kern w:val="0"/>
                <w:sz w:val="22"/>
                <w:szCs w:val="22"/>
                <w:lang w:val="pt-BR"/>
              </w:rPr>
              <w:t>.9</w:t>
            </w:r>
            <w:r>
              <w:rPr>
                <w:rFonts w:hint="default" w:ascii="Times New Roman" w:hAnsi="Times New Roman" w:eastAsia="等线"/>
                <w:snapToGrid w:val="0"/>
                <w:spacing w:val="0"/>
                <w:kern w:val="0"/>
                <w:sz w:val="22"/>
                <w:szCs w:val="22"/>
                <w:lang w:val="pt-BR"/>
              </w:rPr>
              <w:tab/>
            </w:r>
            <w:r>
              <w:rPr>
                <w:rFonts w:hint="default" w:ascii="Times New Roman" w:hAnsi="Times New Roman" w:eastAsia="等线"/>
                <w:snapToGrid w:val="0"/>
                <w:spacing w:val="0"/>
                <w:kern w:val="0"/>
                <w:sz w:val="22"/>
                <w:szCs w:val="22"/>
                <w:lang w:val="pt-BR"/>
              </w:rPr>
              <w:t>A avaliação da conformidade e da compatibilidade da documentação será efetuada pelo setor técnico competente do órgão requisitante, cujo resultado será reproduzido em Parecer Técnico de Análise, consignando as razões que levaram à aceitação ou rejeição da mesma.</w:t>
            </w:r>
          </w:p>
          <w:p w14:paraId="1796F168">
            <w:pPr>
              <w:spacing w:before="120" w:after="120" w:line="240" w:lineRule="auto"/>
              <w:ind w:left="783" w:hanging="709"/>
              <w:jc w:val="both"/>
              <w:rPr>
                <w:rFonts w:hint="default" w:ascii="Times New Roman" w:hAnsi="Times New Roman" w:eastAsia="等线"/>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26</w:t>
            </w:r>
            <w:r>
              <w:rPr>
                <w:rFonts w:hint="default" w:ascii="Times New Roman" w:hAnsi="Times New Roman" w:eastAsia="等线"/>
                <w:snapToGrid w:val="0"/>
                <w:spacing w:val="0"/>
                <w:kern w:val="0"/>
                <w:sz w:val="22"/>
                <w:szCs w:val="22"/>
                <w:lang w:val="pt-BR"/>
              </w:rPr>
              <w:t>.9</w:t>
            </w:r>
            <w:r>
              <w:rPr>
                <w:rFonts w:hint="default" w:ascii="Times New Roman" w:hAnsi="Times New Roman" w:eastAsia="等线"/>
                <w:snapToGrid w:val="0"/>
                <w:spacing w:val="0"/>
                <w:kern w:val="0"/>
                <w:sz w:val="22"/>
                <w:szCs w:val="22"/>
                <w:lang w:val="pt-BR"/>
              </w:rPr>
              <w:tab/>
            </w:r>
            <w:r>
              <w:rPr>
                <w:rFonts w:hint="default" w:ascii="Times New Roman" w:hAnsi="Times New Roman" w:eastAsia="等线"/>
                <w:snapToGrid w:val="0"/>
                <w:spacing w:val="0"/>
                <w:kern w:val="0"/>
                <w:sz w:val="22"/>
                <w:szCs w:val="22"/>
                <w:lang w:val="pt-BR"/>
              </w:rPr>
              <w:t>A Comissão terá o prazo de 3 (três) dias úteis para encaminhar o parecer ao Agente de Contratação.</w:t>
            </w:r>
          </w:p>
          <w:p w14:paraId="29E003E4">
            <w:pPr>
              <w:spacing w:before="120" w:after="120" w:line="240" w:lineRule="auto"/>
              <w:ind w:left="783" w:hanging="709"/>
              <w:jc w:val="both"/>
              <w:rPr>
                <w:rFonts w:hint="default" w:ascii="Times New Roman" w:hAnsi="Times New Roman" w:eastAsia="等线"/>
                <w:snapToGrid w:val="0"/>
                <w:spacing w:val="0"/>
                <w:kern w:val="0"/>
                <w:sz w:val="22"/>
                <w:szCs w:val="22"/>
                <w:lang w:val="pt-BR"/>
              </w:rPr>
            </w:pPr>
            <w:r>
              <w:rPr>
                <w:rFonts w:hint="default" w:ascii="Times New Roman" w:hAnsi="Times New Roman" w:eastAsia="等线" w:cs="Times New Roman"/>
                <w:snapToGrid w:val="0"/>
                <w:spacing w:val="0"/>
                <w:kern w:val="0"/>
                <w:sz w:val="22"/>
                <w:szCs w:val="22"/>
                <w:lang w:val="pt-BR"/>
              </w:rPr>
              <w:t>26</w:t>
            </w:r>
            <w:r>
              <w:rPr>
                <w:rFonts w:hint="default" w:ascii="Times New Roman" w:hAnsi="Times New Roman" w:eastAsia="等线"/>
                <w:snapToGrid w:val="0"/>
                <w:spacing w:val="0"/>
                <w:kern w:val="0"/>
                <w:sz w:val="22"/>
                <w:szCs w:val="22"/>
                <w:lang w:val="pt-BR"/>
              </w:rPr>
              <w:t>.9</w:t>
            </w:r>
            <w:r>
              <w:rPr>
                <w:rFonts w:hint="default" w:ascii="Times New Roman" w:hAnsi="Times New Roman" w:eastAsia="等线"/>
                <w:snapToGrid w:val="0"/>
                <w:spacing w:val="0"/>
                <w:kern w:val="0"/>
                <w:sz w:val="22"/>
                <w:szCs w:val="22"/>
                <w:lang w:val="pt-BR"/>
              </w:rPr>
              <w:tab/>
            </w:r>
            <w:r>
              <w:rPr>
                <w:rFonts w:hint="default" w:ascii="Times New Roman" w:hAnsi="Times New Roman" w:eastAsia="等线"/>
                <w:snapToGrid w:val="0"/>
                <w:spacing w:val="0"/>
                <w:kern w:val="0"/>
                <w:sz w:val="22"/>
                <w:szCs w:val="22"/>
                <w:lang w:val="pt-BR"/>
              </w:rPr>
              <w:t>Em caso de reprovação pelo setor técnico competente, a segunda colocada será convocada pelo Agente de Contratação/Pregoeiro para apresentação dos documentos e negociação nas mesmas condições supracitados, o mesmo ocorrendo sucessivamente com as demais licitantes no caso de reprovação, até que seja declarado um vencedor.</w:t>
            </w:r>
          </w:p>
          <w:p w14:paraId="0E35BD2A">
            <w:pPr>
              <w:spacing w:before="120" w:after="120" w:line="240" w:lineRule="auto"/>
              <w:ind w:left="783" w:hanging="709"/>
              <w:jc w:val="both"/>
              <w:rPr>
                <w:rFonts w:hint="default" w:ascii="Times New Roman" w:hAnsi="Times New Roman" w:eastAsia="等线" w:cs="Times New Roman"/>
                <w:snapToGrid w:val="0"/>
                <w:spacing w:val="0"/>
                <w:kern w:val="0"/>
                <w:sz w:val="22"/>
                <w:szCs w:val="22"/>
                <w:lang w:val="pt-BR"/>
              </w:rPr>
            </w:pPr>
            <w:r>
              <w:rPr>
                <w:rFonts w:hint="default" w:ascii="Times New Roman" w:hAnsi="Times New Roman" w:eastAsia="等线"/>
                <w:snapToGrid w:val="0"/>
                <w:spacing w:val="0"/>
                <w:kern w:val="0"/>
                <w:sz w:val="22"/>
                <w:szCs w:val="22"/>
                <w:lang w:val="pt-BR"/>
              </w:rPr>
              <w:t>26.9</w:t>
            </w:r>
            <w:r>
              <w:rPr>
                <w:rFonts w:hint="default" w:ascii="Times New Roman" w:hAnsi="Times New Roman" w:eastAsia="等线"/>
                <w:snapToGrid w:val="0"/>
                <w:spacing w:val="0"/>
                <w:kern w:val="0"/>
                <w:sz w:val="22"/>
                <w:szCs w:val="22"/>
                <w:lang w:val="pt-BR"/>
              </w:rPr>
              <w:tab/>
            </w:r>
            <w:r>
              <w:rPr>
                <w:rFonts w:hint="default" w:ascii="Times New Roman" w:hAnsi="Times New Roman" w:eastAsia="等线"/>
                <w:snapToGrid w:val="0"/>
                <w:spacing w:val="0"/>
                <w:kern w:val="0"/>
                <w:sz w:val="22"/>
                <w:szCs w:val="22"/>
                <w:lang w:val="pt-BR"/>
              </w:rPr>
              <w:t>O não envio da proposta ajustada por meio eletrônico com todos os requisitos elencados, ou descumprimento das diligências determinadas pelo Agente de Contratação acarretará na desclassificação da proposta, sem prejuízo da instauração de processo sancionatório contra a licitante.</w:t>
            </w:r>
          </w:p>
        </w:tc>
      </w:tr>
      <w:tr w14:paraId="03A61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7A10D613">
            <w:pPr>
              <w:pStyle w:val="69"/>
            </w:pPr>
            <w:bookmarkStart w:id="53" w:name="_Toc174536370"/>
            <w:r>
              <w:t>E - ABERTURA E AVALIAÇÃO DAS PROPOSTAS</w:t>
            </w:r>
            <w:bookmarkEnd w:id="53"/>
          </w:p>
        </w:tc>
      </w:tr>
      <w:tr w14:paraId="7C35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4EE8C02">
            <w:pPr>
              <w:pStyle w:val="71"/>
            </w:pPr>
            <w:bookmarkStart w:id="54" w:name="_Toc157690444"/>
            <w:bookmarkStart w:id="55" w:name="_Toc174536371"/>
            <w:bookmarkStart w:id="56" w:name="_Toc168378664"/>
            <w:bookmarkStart w:id="57" w:name="_Toc155815767"/>
            <w:r>
              <w:t>27.</w:t>
            </w:r>
            <w:r>
              <w:tab/>
            </w:r>
            <w:bookmarkEnd w:id="54"/>
            <w:bookmarkEnd w:id="55"/>
            <w:bookmarkEnd w:id="56"/>
            <w:bookmarkEnd w:id="57"/>
            <w:r>
              <w:rPr>
                <w:rFonts w:hint="default"/>
              </w:rPr>
              <w:t>Abertura e Avaliação das Propostas</w:t>
            </w:r>
          </w:p>
        </w:tc>
        <w:tc>
          <w:tcPr>
            <w:tcW w:w="5653" w:type="dxa"/>
          </w:tcPr>
          <w:p w14:paraId="79E6703F">
            <w:pPr>
              <w:spacing w:before="120" w:after="120" w:line="240" w:lineRule="auto"/>
              <w:ind w:left="783" w:hanging="709"/>
              <w:jc w:val="both"/>
              <w:rPr>
                <w:rFonts w:hint="default"/>
              </w:rPr>
            </w:pPr>
            <w:r>
              <w:rPr>
                <w:rFonts w:hint="default"/>
              </w:rPr>
              <w:t>27.1</w:t>
            </w:r>
            <w:r>
              <w:rPr>
                <w:rFonts w:hint="default"/>
              </w:rPr>
              <w:tab/>
            </w:r>
            <w:r>
              <w:rPr>
                <w:rFonts w:hint="default"/>
              </w:rPr>
              <w:t>A análise das propostas será feita pelo Agente de Contratação e Equipe de Apoio, podendo ser designada uma Comissão de Contratação, formada por representantes especializados, especialmente designados para esses efeitos.</w:t>
            </w:r>
          </w:p>
          <w:p w14:paraId="066846B6">
            <w:pPr>
              <w:spacing w:before="120" w:after="120" w:line="240" w:lineRule="auto"/>
              <w:ind w:left="783" w:hanging="709"/>
              <w:jc w:val="both"/>
              <w:rPr>
                <w:rFonts w:hint="default"/>
                <w:color w:val="auto"/>
              </w:rPr>
            </w:pPr>
            <w:r>
              <w:rPr>
                <w:rFonts w:hint="default"/>
              </w:rPr>
              <w:t>27.3</w:t>
            </w:r>
            <w:r>
              <w:rPr>
                <w:rFonts w:hint="default"/>
              </w:rPr>
              <w:tab/>
            </w:r>
            <w:r>
              <w:rPr>
                <w:rFonts w:hint="default"/>
                <w:color w:val="auto"/>
              </w:rPr>
              <w:t>Como condição prévia ao exame da documentação de habilitação do concorrente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e ainda nos cadastros indicados nos DDL.</w:t>
            </w:r>
          </w:p>
          <w:p w14:paraId="614DC0B5">
            <w:pPr>
              <w:spacing w:before="120" w:after="120" w:line="240" w:lineRule="auto"/>
              <w:ind w:left="783" w:hanging="709"/>
              <w:jc w:val="both"/>
              <w:rPr>
                <w:rFonts w:hint="default"/>
              </w:rPr>
            </w:pPr>
            <w:r>
              <w:rPr>
                <w:rFonts w:hint="default"/>
              </w:rPr>
              <w:t>27.4</w:t>
            </w:r>
            <w:r>
              <w:rPr>
                <w:rFonts w:hint="default"/>
              </w:rPr>
              <w:tab/>
            </w:r>
            <w:r>
              <w:rPr>
                <w:rFonts w:hint="default"/>
              </w:rPr>
              <w:t>A sessão pública será suspensa para análise interna da Comissão de Contratação da proposta previamente classificada.  Após, sessão pública será reiniciada, somente após comunicação expressa do Agente de Contratação aos Concorrentes, publicada no Portal, quando serão divulgadas data e hora para a sua reabertura. E será reiniciada somente após decorridas 24 (vinte e quatro) horas da comunicação do fato pelo Agente de Contratação aos participantes, via chat, no sítio eletrônico utilizado para divulgação.</w:t>
            </w:r>
          </w:p>
          <w:p w14:paraId="47C099FE">
            <w:pPr>
              <w:spacing w:before="120" w:after="120" w:line="240" w:lineRule="auto"/>
              <w:ind w:left="783" w:hanging="709"/>
              <w:jc w:val="both"/>
              <w:rPr>
                <w:rFonts w:hint="default"/>
              </w:rPr>
            </w:pPr>
            <w:r>
              <w:rPr>
                <w:rFonts w:hint="default"/>
              </w:rPr>
              <w:t>27.5</w:t>
            </w:r>
            <w:r>
              <w:rPr>
                <w:rFonts w:hint="default"/>
              </w:rPr>
              <w:tab/>
            </w:r>
            <w:r>
              <w:rPr>
                <w:rFonts w:hint="default"/>
              </w:rPr>
              <w:t>Da análise das propostas apresentada pelos Concorrentes será lavrada uma ata pela Comissão de Contratação, contendo os nomes dos Concorrentes, os preços propostos, descontos e outros detalhes que o Contratante considere apropriados.</w:t>
            </w:r>
          </w:p>
          <w:p w14:paraId="66074F73">
            <w:pPr>
              <w:spacing w:before="120" w:after="120" w:line="240" w:lineRule="auto"/>
              <w:ind w:left="783" w:hanging="709"/>
              <w:jc w:val="both"/>
              <w:rPr>
                <w:rFonts w:hint="default"/>
              </w:rPr>
            </w:pPr>
            <w:r>
              <w:rPr>
                <w:rFonts w:hint="default"/>
              </w:rPr>
              <w:t>Confidencialidade</w:t>
            </w:r>
          </w:p>
          <w:p w14:paraId="733609BF">
            <w:pPr>
              <w:spacing w:before="120" w:after="120" w:line="240" w:lineRule="auto"/>
              <w:ind w:left="783" w:hanging="709"/>
              <w:jc w:val="both"/>
              <w:rPr>
                <w:rFonts w:hint="default"/>
              </w:rPr>
            </w:pPr>
            <w:r>
              <w:rPr>
                <w:rFonts w:hint="default"/>
              </w:rPr>
              <w:t>27.6</w:t>
            </w:r>
            <w:r>
              <w:rPr>
                <w:rFonts w:hint="default"/>
              </w:rPr>
              <w:tab/>
            </w:r>
            <w:r>
              <w:rPr>
                <w:rFonts w:hint="default"/>
              </w:rPr>
              <w:t>Desde a abertura das Propostas até a adjudicação do Contrato, o concorrente não poderá contatar o Contratante sobre qualquer assunto relacionado à sua proposta. As informações relativas à avaliação das Propostas e recomendações de adjudicação não poderão ser divulgadas aos concorrentes que submeteram as propostas ou a qualquer outra parte não oficialmente envolvida no processo, até à publicação da Carta de Aceitação.</w:t>
            </w:r>
          </w:p>
          <w:p w14:paraId="0E01400F">
            <w:pPr>
              <w:spacing w:before="120" w:after="120" w:line="240" w:lineRule="auto"/>
              <w:ind w:left="783" w:hanging="709"/>
              <w:jc w:val="both"/>
              <w:rPr>
                <w:rFonts w:hint="default"/>
              </w:rPr>
            </w:pPr>
            <w:r>
              <w:rPr>
                <w:rFonts w:hint="default"/>
              </w:rPr>
              <w:t>27.8</w:t>
            </w:r>
            <w:r>
              <w:rPr>
                <w:rFonts w:hint="default"/>
              </w:rPr>
              <w:tab/>
            </w:r>
            <w:r>
              <w:rPr>
                <w:rFonts w:hint="default"/>
              </w:rPr>
              <w:t>Qualquer tentativa de um concorrente ou de qualquer parte em nome do mesmo de influenciar indevidamente o Contratante na avaliação das propostas ou nas decisões de adjudicação do Contrato poderá resultar na rejeição da proposta e poderá estar sujeita à aplicação dos procedimentos aplicáveis, sanções aplicáveis por legislação local do Contratante.</w:t>
            </w:r>
          </w:p>
          <w:p w14:paraId="061D5B1E">
            <w:pPr>
              <w:spacing w:before="120" w:after="120" w:line="240" w:lineRule="auto"/>
              <w:ind w:left="783" w:hanging="709"/>
              <w:jc w:val="both"/>
              <w:rPr>
                <w:rFonts w:hint="default"/>
              </w:rPr>
            </w:pPr>
            <w:r>
              <w:rPr>
                <w:rFonts w:hint="default"/>
              </w:rPr>
              <w:t>27.9</w:t>
            </w:r>
            <w:r>
              <w:rPr>
                <w:rFonts w:hint="default"/>
              </w:rPr>
              <w:tab/>
            </w:r>
            <w:r>
              <w:rPr>
                <w:rFonts w:hint="default"/>
              </w:rPr>
              <w:t>Não obstante as disposições anteriores, desde o momento de abertura das propostas até o momento de publicação da Carta de Aceitação, se um concorrente desejar um contato com o Contratante sobre qualquer assunto relacionado com o processo de licitação, ele deverá fazê-lo apenas por escrito.</w:t>
            </w:r>
          </w:p>
          <w:p w14:paraId="464F2232">
            <w:pPr>
              <w:spacing w:before="120" w:after="120" w:line="240" w:lineRule="auto"/>
              <w:ind w:left="783" w:hanging="709"/>
              <w:jc w:val="both"/>
            </w:pPr>
            <w:r>
              <w:rPr>
                <w:rFonts w:hint="default"/>
              </w:rPr>
              <w:t>27.10</w:t>
            </w:r>
            <w:r>
              <w:rPr>
                <w:rFonts w:hint="default"/>
              </w:rPr>
              <w:tab/>
            </w:r>
            <w:r>
              <w:rPr>
                <w:rFonts w:hint="default"/>
              </w:rPr>
              <w:t>O Contratante deverá tratar as informações relativas ao exame, esclarecimentos e avaliações das propostas de forma a evitar a divulgação de seu conteúdo a outro Concorrente participante da licitação e a qualquer outra parte não autorizada a acessar este tipo de informação até que o Contratante comunique o resultado da avaliação e qualificação das propostas, de acordo com os procedimentos estabelecidos no edital.</w:t>
            </w:r>
          </w:p>
        </w:tc>
      </w:tr>
      <w:tr w14:paraId="4FF2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03B2143E">
            <w:pPr>
              <w:pStyle w:val="71"/>
            </w:pPr>
            <w:bookmarkStart w:id="58" w:name="_Toc168378665"/>
            <w:bookmarkStart w:id="59" w:name="_Toc155815769"/>
            <w:bookmarkStart w:id="60" w:name="_Toc157690446"/>
            <w:bookmarkStart w:id="61" w:name="_Toc174536372"/>
            <w:r>
              <w:t>28.</w:t>
            </w:r>
            <w:r>
              <w:tab/>
            </w:r>
            <w:r>
              <w:t>Esclarecimentos das Propostas e Contato com o Contratante</w:t>
            </w:r>
            <w:bookmarkEnd w:id="58"/>
            <w:bookmarkEnd w:id="59"/>
            <w:bookmarkEnd w:id="60"/>
            <w:bookmarkEnd w:id="61"/>
          </w:p>
        </w:tc>
        <w:tc>
          <w:tcPr>
            <w:tcW w:w="5653" w:type="dxa"/>
          </w:tcPr>
          <w:p w14:paraId="74C7C557">
            <w:pPr>
              <w:spacing w:before="120" w:after="120" w:line="240" w:lineRule="auto"/>
              <w:ind w:left="783" w:hanging="709"/>
              <w:jc w:val="both"/>
            </w:pPr>
            <w:r>
              <w:t>28.1</w:t>
            </w:r>
            <w:r>
              <w:tab/>
            </w:r>
            <w:r>
              <w:t>Para auxiliar na análise, avaliação e comparação das propostas, o Contratante poderá solicitar aos concorrentes os esclarecimentos que julgar necessários a respeito de suas propostas, inclusive o detalhamento dos preços unitários.</w:t>
            </w:r>
          </w:p>
          <w:p w14:paraId="12EB21C8">
            <w:pPr>
              <w:spacing w:before="120" w:after="120" w:line="240" w:lineRule="auto"/>
              <w:ind w:left="783" w:hanging="709"/>
              <w:jc w:val="both"/>
            </w:pPr>
            <w:r>
              <w:t>28.2</w:t>
            </w:r>
            <w:r>
              <w:tab/>
            </w:r>
            <w:r>
              <w:t>Serão aplicados os seguintes procedimentos para os esclarecimentos:</w:t>
            </w:r>
          </w:p>
          <w:p w14:paraId="714B8006">
            <w:pPr>
              <w:spacing w:before="120" w:after="120" w:line="240" w:lineRule="auto"/>
              <w:ind w:left="1208" w:hanging="425"/>
              <w:jc w:val="both"/>
              <w:rPr>
                <w:bCs/>
              </w:rPr>
            </w:pPr>
            <w:r>
              <w:rPr>
                <w:bCs/>
              </w:rPr>
              <w:t>(a)</w:t>
            </w:r>
            <w:r>
              <w:tab/>
            </w:r>
            <w:r>
              <w:rPr>
                <w:bCs/>
              </w:rPr>
              <w:t xml:space="preserve">o pedido de esclarecimento por parte do Contratante e a resposta do Concorrente devem ser feitos através do </w:t>
            </w:r>
            <w:r>
              <w:rPr>
                <w:bCs/>
                <w:i/>
                <w:iCs/>
              </w:rPr>
              <w:t xml:space="preserve">Portal </w:t>
            </w:r>
            <w:r>
              <w:rPr>
                <w:bCs/>
              </w:rPr>
              <w:t xml:space="preserve">e/ou através do </w:t>
            </w:r>
            <w:r>
              <w:rPr>
                <w:bCs/>
                <w:i/>
                <w:iCs/>
              </w:rPr>
              <w:t>e-mail</w:t>
            </w:r>
            <w:r>
              <w:rPr>
                <w:bCs/>
              </w:rPr>
              <w:t xml:space="preserve"> indicado nos </w:t>
            </w:r>
            <w:r>
              <w:rPr>
                <w:b/>
              </w:rPr>
              <w:t>DDL</w:t>
            </w:r>
            <w:r>
              <w:rPr>
                <w:bCs/>
              </w:rPr>
              <w:t>;</w:t>
            </w:r>
          </w:p>
          <w:p w14:paraId="6DBACA5E">
            <w:pPr>
              <w:spacing w:before="120" w:after="120" w:line="240" w:lineRule="auto"/>
              <w:ind w:left="1208" w:hanging="425"/>
              <w:jc w:val="both"/>
              <w:rPr>
                <w:bCs/>
              </w:rPr>
            </w:pPr>
            <w:r>
              <w:rPr>
                <w:bCs/>
              </w:rPr>
              <w:t>(b)</w:t>
            </w:r>
            <w:r>
              <w:tab/>
            </w:r>
            <w:r>
              <w:rPr>
                <w:bCs/>
              </w:rPr>
              <w:t>é vedada a alteração do preço ou substância da proposta, sendo, entretanto, possível a correção de erros aritméticos, conforme as IAC 30;</w:t>
            </w:r>
          </w:p>
          <w:p w14:paraId="0BD93168">
            <w:pPr>
              <w:spacing w:before="120" w:after="120" w:line="240" w:lineRule="auto"/>
              <w:ind w:left="1208" w:hanging="425"/>
              <w:jc w:val="both"/>
              <w:rPr>
                <w:bCs/>
              </w:rPr>
            </w:pPr>
            <w:r>
              <w:rPr>
                <w:bCs/>
              </w:rPr>
              <w:t>(c)</w:t>
            </w:r>
            <w:r>
              <w:rPr>
                <w:bCs/>
              </w:rPr>
              <w:tab/>
            </w:r>
            <w:r>
              <w:rPr>
                <w:bCs/>
              </w:rPr>
              <w:t>esclarecimentos apresentados pelo Concorrente não serão considerados quando não forem em resposta a uma solicitação do Contratante;</w:t>
            </w:r>
          </w:p>
          <w:p w14:paraId="5472E9A4">
            <w:pPr>
              <w:spacing w:before="120" w:after="120" w:line="240" w:lineRule="auto"/>
              <w:ind w:left="1208" w:hanging="425"/>
              <w:jc w:val="both"/>
              <w:rPr>
                <w:bCs/>
              </w:rPr>
            </w:pPr>
            <w:r>
              <w:rPr>
                <w:bCs/>
              </w:rPr>
              <w:t>(d)</w:t>
            </w:r>
            <w:r>
              <w:rPr>
                <w:bCs/>
              </w:rPr>
              <w:tab/>
            </w:r>
            <w:r>
              <w:rPr>
                <w:bCs/>
              </w:rPr>
              <w:t>se o Concorrente desejar encaminhar informações adicionais às solicitadas pelo Contratante, deverá fazê-lo por escrito; e</w:t>
            </w:r>
          </w:p>
          <w:p w14:paraId="05EFD6B1">
            <w:pPr>
              <w:spacing w:before="120" w:after="120" w:line="240" w:lineRule="auto"/>
              <w:ind w:left="1208" w:hanging="425"/>
              <w:jc w:val="both"/>
            </w:pPr>
            <w:r>
              <w:rPr>
                <w:bCs/>
              </w:rPr>
              <w:t>(e)</w:t>
            </w:r>
            <w:r>
              <w:rPr>
                <w:bCs/>
              </w:rPr>
              <w:tab/>
            </w:r>
            <w:r>
              <w:rPr>
                <w:bCs/>
              </w:rPr>
              <w:t>se o concorrente não prestar esclarecimentos à sua proposta antes da</w:t>
            </w:r>
            <w:r>
              <w:t xml:space="preserve"> data e hora indicadas pelo Contratante em seu pedido de esclarecimento da proposta, a mesma poderá ser rejeitada.</w:t>
            </w:r>
          </w:p>
        </w:tc>
      </w:tr>
      <w:tr w14:paraId="6E96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0EDA5A17">
            <w:pPr>
              <w:pStyle w:val="71"/>
            </w:pPr>
            <w:bookmarkStart w:id="62" w:name="_Toc157690447"/>
            <w:bookmarkStart w:id="63" w:name="_Toc168378666"/>
            <w:bookmarkStart w:id="64" w:name="_Toc155815770"/>
            <w:bookmarkStart w:id="65" w:name="_Toc174536373"/>
            <w:r>
              <w:t>29.</w:t>
            </w:r>
            <w:r>
              <w:tab/>
            </w:r>
            <w:r>
              <w:t>Análise Preliminar e Determinação de Adequação</w:t>
            </w:r>
            <w:bookmarkEnd w:id="62"/>
            <w:bookmarkEnd w:id="63"/>
            <w:bookmarkEnd w:id="64"/>
            <w:bookmarkEnd w:id="65"/>
          </w:p>
        </w:tc>
        <w:tc>
          <w:tcPr>
            <w:tcW w:w="5653" w:type="dxa"/>
          </w:tcPr>
          <w:p w14:paraId="67C31044">
            <w:pPr>
              <w:spacing w:before="120" w:after="120" w:line="240" w:lineRule="auto"/>
              <w:ind w:left="783" w:hanging="709"/>
              <w:jc w:val="both"/>
              <w:rPr>
                <w:rFonts w:hint="default"/>
              </w:rPr>
            </w:pPr>
            <w:r>
              <w:rPr>
                <w:rFonts w:hint="default"/>
              </w:rPr>
              <w:t>29.</w:t>
            </w:r>
            <w:r>
              <w:rPr>
                <w:rFonts w:hint="default"/>
                <w:lang w:val="pt-BR"/>
              </w:rPr>
              <w:t>1</w:t>
            </w:r>
            <w:r>
              <w:rPr>
                <w:rFonts w:hint="default"/>
              </w:rPr>
              <w:tab/>
            </w:r>
            <w:r>
              <w:rPr>
                <w:rFonts w:hint="default"/>
              </w:rPr>
              <w:t>Para os efeitos desta cláusula, uma proposta será considerada substancialmente adequada ao edital quando atender a todos os termos, condições e especificações nele contidos, sem qualquer ressalva ou desvio material.  Ressalva ou desvio material é aquele, se aceito, que afeta de modo substancial o objeto, a qualidade ou resultado das Obras ou que limita, de modo conflitante com os termos do edital, os direitos do Contratante ou as obrigações do concorrente, na forma do contrato, cuja retificação prejudicaria a posição competitiva de outros concorrentes que tenham apresentado propostas substancialmente adequadas.</w:t>
            </w:r>
          </w:p>
          <w:p w14:paraId="165839C5">
            <w:pPr>
              <w:spacing w:before="120" w:after="120" w:line="240" w:lineRule="auto"/>
              <w:ind w:left="783" w:hanging="709"/>
              <w:jc w:val="both"/>
              <w:rPr>
                <w:rFonts w:hint="default"/>
              </w:rPr>
            </w:pPr>
            <w:r>
              <w:rPr>
                <w:rFonts w:hint="default"/>
              </w:rPr>
              <w:t>29.2</w:t>
            </w:r>
            <w:r>
              <w:rPr>
                <w:rFonts w:hint="default"/>
              </w:rPr>
              <w:tab/>
            </w:r>
            <w:r>
              <w:rPr>
                <w:rFonts w:hint="default"/>
              </w:rPr>
              <w:t>Caso uma proposta não esteja substancialmente adequada aos termos do edital e aos requisitos da obra, será rejeitada pelo Contratante e não poderá tornar-se posteriormente adequada, mediante correção do desvio ou ressalva que a tornou inadequada.</w:t>
            </w:r>
          </w:p>
          <w:p w14:paraId="137D7C6B">
            <w:pPr>
              <w:spacing w:before="120" w:after="120" w:line="240" w:lineRule="auto"/>
              <w:ind w:left="783" w:hanging="709"/>
              <w:jc w:val="both"/>
              <w:rPr>
                <w:rFonts w:hint="default"/>
              </w:rPr>
            </w:pPr>
            <w:r>
              <w:rPr>
                <w:rFonts w:hint="default"/>
              </w:rPr>
              <w:t>29.3</w:t>
            </w:r>
            <w:r>
              <w:rPr>
                <w:rFonts w:hint="default"/>
              </w:rPr>
              <w:tab/>
            </w:r>
            <w:r>
              <w:rPr>
                <w:rFonts w:hint="default"/>
              </w:rPr>
              <w:t>Não será desclassificada automaticamente a proposta de um concorrente que não tenha apresentado informação completa, quer por omissão involuntária, quer por que o requisito não esteja claramente estabelecido no edital.  Sempre que se trate de erros e omissões de natureza sanável, geralmente tratando de questões relacionadas à constatação de dados, documentação e informação de tipo histórico ou questões que não afetem o princípio de que as propostas devem ajustar-se substancialmente ao edital, o Contratante permitirá que o concorrente num prazo indicado no pedido de esclarecimento, forneça a informação omitida ou corrija o erro sanável.  Em nenhuma hipótese se permitirá que o concorrente corrija erros ou omissões que alterem a substância de sua proposta ou os preços apresentados.</w:t>
            </w:r>
          </w:p>
          <w:p w14:paraId="19D7EC9B">
            <w:pPr>
              <w:spacing w:before="120" w:after="120" w:line="240" w:lineRule="auto"/>
              <w:ind w:left="783" w:hanging="709"/>
              <w:jc w:val="both"/>
            </w:pPr>
            <w:r>
              <w:rPr>
                <w:rFonts w:hint="default"/>
              </w:rPr>
              <w:t>29.4</w:t>
            </w:r>
            <w:r>
              <w:rPr>
                <w:rFonts w:hint="default"/>
              </w:rPr>
              <w:tab/>
            </w:r>
            <w:r>
              <w:rPr>
                <w:rFonts w:hint="default"/>
              </w:rPr>
              <w:t>Se uma proposta se ajusta substancialmente, o Contratante retificará desvios quantificáveis não materiais relacionados com o preço da proposta. Para este efeito, o preço da proposta será ajustado, para efeitos comparativos, de forma a refletir o preço de um item ou componente que falta ou não esteja conforme da maneira especificada nas IAC 32.2.</w:t>
            </w:r>
          </w:p>
        </w:tc>
      </w:tr>
      <w:tr w14:paraId="3DC04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69FC1C04">
            <w:pPr>
              <w:pStyle w:val="71"/>
            </w:pPr>
            <w:bookmarkStart w:id="66" w:name="_Toc155815771"/>
            <w:bookmarkStart w:id="67" w:name="_Toc168378667"/>
            <w:bookmarkStart w:id="68" w:name="_Toc174536374"/>
            <w:bookmarkStart w:id="69" w:name="_Toc157690448"/>
            <w:r>
              <w:t>30.</w:t>
            </w:r>
            <w:r>
              <w:tab/>
            </w:r>
            <w:r>
              <w:t>Correção de Erros</w:t>
            </w:r>
            <w:bookmarkEnd w:id="66"/>
            <w:bookmarkEnd w:id="67"/>
            <w:bookmarkEnd w:id="68"/>
            <w:bookmarkEnd w:id="69"/>
          </w:p>
        </w:tc>
        <w:tc>
          <w:tcPr>
            <w:tcW w:w="5653" w:type="dxa"/>
          </w:tcPr>
          <w:p w14:paraId="32E614AA">
            <w:pPr>
              <w:spacing w:before="120" w:after="120" w:line="240" w:lineRule="auto"/>
              <w:ind w:left="783" w:hanging="709"/>
              <w:jc w:val="both"/>
            </w:pPr>
            <w:r>
              <w:t>30.1</w:t>
            </w:r>
            <w:r>
              <w:tab/>
            </w:r>
            <w:r>
              <w:t>O Contratante examinará as propostas substancialmente adequadas, corrigindo os erros aritméticos da seguinte forma:</w:t>
            </w:r>
          </w:p>
          <w:p w14:paraId="478EE867">
            <w:pPr>
              <w:spacing w:before="120" w:after="120" w:line="240" w:lineRule="auto"/>
              <w:ind w:left="1208" w:hanging="425"/>
              <w:jc w:val="both"/>
            </w:pPr>
            <w:r>
              <w:rPr>
                <w:bCs/>
              </w:rPr>
              <w:t>(a)</w:t>
            </w:r>
            <w:r>
              <w:tab/>
            </w:r>
            <w:r>
              <w:rPr>
                <w:bCs/>
              </w:rPr>
              <w:t xml:space="preserve">existindo </w:t>
            </w:r>
            <w:r>
              <w:t>discrepância entre os valores em algarismos e por extenso prevalecerão os últimos;</w:t>
            </w:r>
          </w:p>
          <w:p w14:paraId="740B91E1">
            <w:pPr>
              <w:spacing w:before="120" w:after="120" w:line="240" w:lineRule="auto"/>
              <w:ind w:left="1208" w:hanging="425"/>
              <w:jc w:val="both"/>
            </w:pPr>
            <w:r>
              <w:t>(b)</w:t>
            </w:r>
            <w:r>
              <w:tab/>
            </w:r>
            <w:r>
              <w:t>existindo discrepância entre o preço unitário e o valor total, resultado da multiplicação do preço unitário pela quantidade, o preço unitário prevalecerá a menos que, na opinião do Contratante, exista um erro grosseiro e óbvio de pontuação decimal no preço unitário.  Neste caso o valor total cotado prevalecerá e o preço unitário será corrigido, e</w:t>
            </w:r>
          </w:p>
          <w:p w14:paraId="50BE5210">
            <w:pPr>
              <w:spacing w:before="120" w:after="120" w:line="240" w:lineRule="auto"/>
              <w:ind w:left="1208" w:hanging="425"/>
              <w:jc w:val="both"/>
              <w:rPr>
                <w:bCs/>
              </w:rPr>
            </w:pPr>
            <w:r>
              <w:t>(c)</w:t>
            </w:r>
            <w:r>
              <w:tab/>
            </w:r>
            <w:r>
              <w:t>existindo discrepância entre o valor da soma de parcelas indicado na proposta e o valor</w:t>
            </w:r>
            <w:r>
              <w:rPr>
                <w:bCs/>
              </w:rPr>
              <w:t xml:space="preserve"> somado das mesmas parcelas, prevalecerá o valor somado.</w:t>
            </w:r>
          </w:p>
          <w:p w14:paraId="2BC1EF88">
            <w:pPr>
              <w:spacing w:before="120" w:after="120" w:line="240" w:lineRule="auto"/>
              <w:ind w:left="783" w:hanging="709"/>
              <w:jc w:val="both"/>
            </w:pPr>
            <w:r>
              <w:t>30.2</w:t>
            </w:r>
            <w:r>
              <w:tab/>
            </w:r>
            <w:r>
              <w:t>Caso o concorrente não aceite a correção do valor, de conformidade com o procedimento descrito nas IAC 30.1, a proposta será rejeitada.</w:t>
            </w:r>
          </w:p>
        </w:tc>
      </w:tr>
      <w:tr w14:paraId="6345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5F1C041E">
            <w:pPr>
              <w:pStyle w:val="71"/>
            </w:pPr>
            <w:bookmarkStart w:id="70" w:name="_Toc174536375"/>
            <w:r>
              <w:t>31.</w:t>
            </w:r>
            <w:r>
              <w:tab/>
            </w:r>
            <w:r>
              <w:t>Moeda de Avaliação da Proposta</w:t>
            </w:r>
            <w:bookmarkEnd w:id="70"/>
          </w:p>
        </w:tc>
        <w:tc>
          <w:tcPr>
            <w:tcW w:w="5653" w:type="dxa"/>
          </w:tcPr>
          <w:p w14:paraId="27B41CD1">
            <w:pPr>
              <w:spacing w:before="120" w:after="120" w:line="240" w:lineRule="auto"/>
              <w:ind w:left="783" w:hanging="709"/>
              <w:jc w:val="both"/>
            </w:pPr>
            <w:r>
              <w:t>31.1</w:t>
            </w:r>
            <w:r>
              <w:tab/>
            </w:r>
            <w:r>
              <w:t>As propostas serão avaliadas em real.</w:t>
            </w:r>
          </w:p>
        </w:tc>
      </w:tr>
      <w:tr w14:paraId="3A6B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02AB5FC">
            <w:pPr>
              <w:pStyle w:val="71"/>
            </w:pPr>
            <w:bookmarkStart w:id="71" w:name="_Toc174536376"/>
            <w:r>
              <w:t>32.</w:t>
            </w:r>
            <w:r>
              <w:tab/>
            </w:r>
            <w:bookmarkStart w:id="72" w:name="_Toc157690450"/>
            <w:bookmarkStart w:id="73" w:name="_Toc155815773"/>
            <w:bookmarkStart w:id="74" w:name="_Toc168378669"/>
            <w:r>
              <w:t>Avaliação e Comparação das Propostas</w:t>
            </w:r>
            <w:bookmarkEnd w:id="71"/>
            <w:bookmarkEnd w:id="72"/>
            <w:bookmarkEnd w:id="73"/>
            <w:bookmarkEnd w:id="74"/>
          </w:p>
        </w:tc>
        <w:tc>
          <w:tcPr>
            <w:tcW w:w="5653" w:type="dxa"/>
          </w:tcPr>
          <w:p w14:paraId="3B51F3C1">
            <w:pPr>
              <w:spacing w:before="120" w:after="120" w:line="240" w:lineRule="auto"/>
              <w:ind w:left="783" w:hanging="709"/>
              <w:jc w:val="both"/>
            </w:pPr>
            <w:r>
              <w:t>32.1</w:t>
            </w:r>
            <w:r>
              <w:tab/>
            </w:r>
            <w:r>
              <w:t>O Contratante</w:t>
            </w:r>
            <w:r>
              <w:rPr>
                <w:b/>
                <w:bCs/>
              </w:rPr>
              <w:t xml:space="preserve"> </w:t>
            </w:r>
            <w:r>
              <w:t>avaliará e comparará somente as propostas que foram consideradas substancialmente adequadas aos termos do edital e em conformidade com as IAC 29.</w:t>
            </w:r>
          </w:p>
          <w:p w14:paraId="22C0730E">
            <w:pPr>
              <w:spacing w:before="120" w:after="120" w:line="240" w:lineRule="auto"/>
              <w:ind w:left="783" w:hanging="709"/>
              <w:jc w:val="both"/>
            </w:pPr>
            <w:r>
              <w:t>32.2</w:t>
            </w:r>
            <w:r>
              <w:tab/>
            </w:r>
            <w:r>
              <w:t>Na avaliação das propostas, o Contratante definirá, para cada uma delas, o preço avaliado da proposta, ajustando o preço da proposta da seguinte forma:</w:t>
            </w:r>
          </w:p>
          <w:p w14:paraId="1686D9AD">
            <w:pPr>
              <w:spacing w:before="120" w:after="120" w:line="240" w:lineRule="auto"/>
              <w:ind w:left="1208" w:hanging="425"/>
              <w:jc w:val="both"/>
            </w:pPr>
            <w:r>
              <w:rPr>
                <w:bCs/>
              </w:rPr>
              <w:t>(a)</w:t>
            </w:r>
            <w:r>
              <w:tab/>
            </w:r>
            <w:r>
              <w:rPr>
                <w:bCs/>
              </w:rPr>
              <w:t xml:space="preserve">corrigindo </w:t>
            </w:r>
            <w:r>
              <w:t>erros, conforme estipulado nas IAC 30;</w:t>
            </w:r>
          </w:p>
          <w:p w14:paraId="356FD1FC">
            <w:pPr>
              <w:spacing w:before="120" w:after="120" w:line="240" w:lineRule="auto"/>
              <w:ind w:left="1208" w:hanging="425"/>
              <w:jc w:val="both"/>
            </w:pPr>
            <w:r>
              <w:t>(b)</w:t>
            </w:r>
            <w:r>
              <w:tab/>
            </w:r>
            <w:r>
              <w:t>procedendo qualquer ajuste apropriado para qualquer outra variação quantificável ou desvio não refletido no preço da proposta ou no item acima mencionado;</w:t>
            </w:r>
          </w:p>
          <w:p w14:paraId="1C46EC84">
            <w:pPr>
              <w:spacing w:before="120" w:after="120" w:line="240" w:lineRule="auto"/>
              <w:ind w:left="1208" w:hanging="425"/>
              <w:jc w:val="both"/>
              <w:rPr>
                <w:bCs/>
              </w:rPr>
            </w:pPr>
            <w:r>
              <w:t>(c)</w:t>
            </w:r>
            <w:r>
              <w:tab/>
            </w:r>
            <w:r>
              <w:t>procedendo</w:t>
            </w:r>
            <w:r>
              <w:rPr>
                <w:bCs/>
              </w:rPr>
              <w:t xml:space="preserve"> qualquer ajuste apropriado para refletir os descontos caso existentes ofertados na Carta de Apresentação das Propostas, Modelo 4 da Seção 4 </w:t>
            </w:r>
          </w:p>
          <w:p w14:paraId="3D809CB0">
            <w:pPr>
              <w:spacing w:before="120" w:after="120" w:line="240" w:lineRule="auto"/>
              <w:ind w:left="1208" w:hanging="425"/>
              <w:jc w:val="both"/>
              <w:rPr>
                <w:bCs/>
              </w:rPr>
            </w:pPr>
            <w:r>
              <w:rPr>
                <w:bCs/>
              </w:rPr>
              <w:t>(d)</w:t>
            </w:r>
            <w:r>
              <w:rPr>
                <w:bCs/>
              </w:rPr>
              <w:tab/>
            </w:r>
            <w:r>
              <w:rPr>
                <w:bCs/>
              </w:rPr>
              <w:t>ou outras modificações do preço ofertado de acordo com as IAC 25.1; e</w:t>
            </w:r>
          </w:p>
          <w:p w14:paraId="2A9D72BE">
            <w:pPr>
              <w:spacing w:before="120" w:after="120" w:line="240" w:lineRule="auto"/>
              <w:ind w:left="1208" w:hanging="425"/>
              <w:jc w:val="both"/>
              <w:rPr>
                <w:bCs/>
              </w:rPr>
            </w:pPr>
            <w:r>
              <w:rPr>
                <w:bCs/>
              </w:rPr>
              <w:t>(e)</w:t>
            </w:r>
            <w:r>
              <w:tab/>
            </w:r>
            <w:r>
              <w:rPr>
                <w:bCs/>
              </w:rPr>
              <w:t xml:space="preserve">ajustes decorrentes da aplicação dos critérios de avaliação especificados nos </w:t>
            </w:r>
            <w:r>
              <w:rPr>
                <w:b/>
                <w:bCs/>
              </w:rPr>
              <w:t xml:space="preserve">DDL </w:t>
            </w:r>
            <w:r>
              <w:rPr>
                <w:bCs/>
              </w:rPr>
              <w:t>no caso das licitações com mais de um lote.</w:t>
            </w:r>
          </w:p>
          <w:p w14:paraId="0B9FFA72">
            <w:pPr>
              <w:spacing w:before="120" w:after="120" w:line="240" w:lineRule="auto"/>
              <w:ind w:left="783" w:hanging="709"/>
              <w:jc w:val="both"/>
            </w:pPr>
            <w:r>
              <w:t>32.3</w:t>
            </w:r>
            <w:r>
              <w:tab/>
            </w:r>
            <w:r>
              <w:t>De acordo com as IAC 28.1, o Contratante poderá solicitar quaisquer esclarecimentos necessários. Variações e desvios não permitidos ou não solicitados no edital, vantagens baseadas em outras propostas apresentadas, ou a proposta de benefícios não solicitados pelo Contratante, serão desconsiderados na avaliação das propostas.</w:t>
            </w:r>
          </w:p>
          <w:p w14:paraId="4AAFB55A">
            <w:pPr>
              <w:spacing w:before="120" w:after="120" w:line="240" w:lineRule="auto"/>
              <w:ind w:left="783" w:hanging="709"/>
              <w:jc w:val="both"/>
            </w:pPr>
            <w:r>
              <w:t>32.4</w:t>
            </w:r>
            <w:r>
              <w:tab/>
            </w:r>
            <w:r>
              <w:t>As disposições relativas ao reajuste de preços, aplicáveis no período de execução do contrato, não serão levadas em consideração na avaliação das propostas.</w:t>
            </w:r>
          </w:p>
          <w:p w14:paraId="66D3E5B3">
            <w:pPr>
              <w:spacing w:before="120" w:after="120" w:line="240" w:lineRule="auto"/>
              <w:ind w:left="783" w:hanging="709"/>
              <w:jc w:val="both"/>
            </w:pPr>
            <w:r>
              <w:t>32.5</w:t>
            </w:r>
            <w:r>
              <w:tab/>
            </w:r>
            <w:r>
              <w:t>Serão desclassificadas as propostas que:</w:t>
            </w:r>
          </w:p>
          <w:p w14:paraId="7A8C8A2C">
            <w:pPr>
              <w:spacing w:before="120" w:after="120" w:line="240" w:lineRule="auto"/>
              <w:ind w:left="1208" w:hanging="425"/>
              <w:jc w:val="both"/>
              <w:rPr>
                <w:bCs/>
              </w:rPr>
            </w:pPr>
            <w:r>
              <w:rPr>
                <w:bCs/>
              </w:rPr>
              <w:t>(a)</w:t>
            </w:r>
            <w:r>
              <w:tab/>
            </w:r>
            <w:r>
              <w:rPr>
                <w:bCs/>
              </w:rPr>
              <w:t>contiverem vícios insanáveis;</w:t>
            </w:r>
          </w:p>
          <w:p w14:paraId="7A30F181">
            <w:pPr>
              <w:spacing w:before="120" w:after="120" w:line="240" w:lineRule="auto"/>
              <w:ind w:left="1208" w:hanging="425"/>
              <w:jc w:val="both"/>
              <w:rPr>
                <w:bCs/>
              </w:rPr>
            </w:pPr>
            <w:r>
              <w:rPr>
                <w:bCs/>
              </w:rPr>
              <w:t>(b)</w:t>
            </w:r>
            <w:r>
              <w:rPr>
                <w:bCs/>
              </w:rPr>
              <w:tab/>
            </w:r>
            <w:r>
              <w:rPr>
                <w:bCs/>
              </w:rPr>
              <w:t>não obedecerem às especificações técnicas pormenorizadas no Edital;</w:t>
            </w:r>
          </w:p>
          <w:p w14:paraId="316D4F56">
            <w:pPr>
              <w:spacing w:before="120" w:after="120" w:line="240" w:lineRule="auto"/>
              <w:ind w:left="1208" w:hanging="425"/>
              <w:jc w:val="both"/>
              <w:rPr>
                <w:bCs/>
              </w:rPr>
            </w:pPr>
            <w:r>
              <w:rPr>
                <w:bCs/>
              </w:rPr>
              <w:t>(c)</w:t>
            </w:r>
            <w:r>
              <w:rPr>
                <w:bCs/>
              </w:rPr>
              <w:tab/>
            </w:r>
            <w:r>
              <w:rPr>
                <w:bCs/>
              </w:rPr>
              <w:t>apresentarem preços inexequíveis ou permanecerem acima do orçamento base estimado para a contratação;</w:t>
            </w:r>
          </w:p>
          <w:p w14:paraId="434ABC47">
            <w:pPr>
              <w:spacing w:before="120" w:after="120" w:line="240" w:lineRule="auto"/>
              <w:ind w:left="1208" w:hanging="425"/>
              <w:jc w:val="both"/>
              <w:rPr>
                <w:bCs/>
              </w:rPr>
            </w:pPr>
            <w:r>
              <w:rPr>
                <w:bCs/>
              </w:rPr>
              <w:t>(d)</w:t>
            </w:r>
            <w:r>
              <w:rPr>
                <w:bCs/>
              </w:rPr>
              <w:tab/>
            </w:r>
            <w:r>
              <w:rPr>
                <w:bCs/>
              </w:rPr>
              <w:t>não tiverem sua exequibilidade demonstrada, quando exigida pelo Contratante; e</w:t>
            </w:r>
          </w:p>
          <w:p w14:paraId="2B7A206F">
            <w:pPr>
              <w:spacing w:before="120" w:after="120" w:line="240" w:lineRule="auto"/>
              <w:ind w:left="1208" w:hanging="425"/>
              <w:jc w:val="both"/>
              <w:rPr>
                <w:bCs/>
              </w:rPr>
            </w:pPr>
            <w:r>
              <w:rPr>
                <w:bCs/>
              </w:rPr>
              <w:t>(e)</w:t>
            </w:r>
            <w:r>
              <w:rPr>
                <w:bCs/>
              </w:rPr>
              <w:tab/>
            </w:r>
            <w:r>
              <w:rPr>
                <w:bCs/>
              </w:rPr>
              <w:t>apresentarem desconformidade com quaisquer outras exigências do edital, desde que insanáveis.</w:t>
            </w:r>
          </w:p>
          <w:p w14:paraId="0C2C9198">
            <w:pPr>
              <w:spacing w:before="120" w:after="120" w:line="240" w:lineRule="auto"/>
              <w:ind w:left="783" w:hanging="709"/>
              <w:jc w:val="both"/>
            </w:pPr>
            <w:r>
              <w:t>32.6</w:t>
            </w:r>
            <w:r>
              <w:tab/>
            </w:r>
            <w:r>
              <w:t>Se a Proposta do concorrente estiver seriamente desequilibrada ou os preços inexequíveis, em relação à estimativa prévia de custo da Obra pelo Contratante, este poderá exigir que o concorrente apresente um detalhamento dos preços ofertados, a fim de demonstrar a consistência dos preços em relação ao método e prazo propostos.</w:t>
            </w:r>
          </w:p>
          <w:p w14:paraId="1737CF9A">
            <w:pPr>
              <w:spacing w:before="120" w:after="120" w:line="240" w:lineRule="auto"/>
              <w:ind w:left="1208" w:hanging="425"/>
              <w:jc w:val="both"/>
              <w:rPr>
                <w:bCs/>
              </w:rPr>
            </w:pPr>
            <w:r>
              <w:rPr>
                <w:bCs/>
              </w:rPr>
              <w:t>(a)</w:t>
            </w:r>
            <w:r>
              <w:tab/>
            </w:r>
            <w:r>
              <w:rPr>
                <w:bCs/>
              </w:rPr>
              <w:t xml:space="preserve">No caso de obras e serviços de engenharia, serão consideradas inexequíveis as propostas cujos valores forem inferiores a </w:t>
            </w:r>
            <w:r>
              <w:rPr>
                <w:rFonts w:hint="default"/>
                <w:bCs/>
                <w:lang w:val="pt-BR"/>
              </w:rPr>
              <w:t>75</w:t>
            </w:r>
            <w:r>
              <w:rPr>
                <w:bCs/>
              </w:rPr>
              <w:t xml:space="preserve">% </w:t>
            </w:r>
            <w:r>
              <w:rPr>
                <w:rFonts w:hint="default"/>
                <w:bCs/>
                <w:lang w:val="pt-BR"/>
              </w:rPr>
              <w:t>oitenta</w:t>
            </w:r>
            <w:r>
              <w:rPr>
                <w:bCs/>
              </w:rPr>
              <w:t xml:space="preserve"> e cinco por cento) do valor orçado pela Administração </w:t>
            </w:r>
          </w:p>
          <w:p w14:paraId="39FCFF87">
            <w:pPr>
              <w:spacing w:before="120" w:after="120" w:line="240" w:lineRule="auto"/>
              <w:ind w:left="1208" w:hanging="425"/>
              <w:jc w:val="both"/>
            </w:pPr>
            <w:r>
              <w:rPr>
                <w:bCs/>
              </w:rPr>
              <w:t>(b)</w:t>
            </w:r>
            <w:r>
              <w:rPr>
                <w:bCs/>
              </w:rPr>
              <w:tab/>
            </w:r>
            <w:r>
              <w:rPr>
                <w:bCs/>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5FF673AA">
            <w:pPr>
              <w:spacing w:before="120" w:after="120" w:line="240" w:lineRule="auto"/>
              <w:ind w:left="783" w:hanging="709"/>
              <w:jc w:val="both"/>
            </w:pPr>
            <w:r>
              <w:t>32.7</w:t>
            </w:r>
            <w:r>
              <w:tab/>
            </w:r>
            <w:r>
              <w:t>O Contratante preparará uma lista dos concorrentes segundo a ordem crescente de preços propostos.</w:t>
            </w:r>
          </w:p>
          <w:p w14:paraId="761B1ADD">
            <w:pPr>
              <w:spacing w:before="120" w:after="120" w:line="240" w:lineRule="auto"/>
              <w:ind w:left="460" w:hanging="460"/>
              <w:jc w:val="both"/>
              <w:rPr>
                <w:b/>
                <w:bCs/>
                <w:iCs/>
              </w:rPr>
            </w:pPr>
            <w:r>
              <w:rPr>
                <w:b/>
                <w:bCs/>
                <w:iCs/>
              </w:rPr>
              <w:t>Licitação com Vários Lotes</w:t>
            </w:r>
          </w:p>
          <w:p w14:paraId="20B4AAA4">
            <w:pPr>
              <w:spacing w:before="120" w:after="120" w:line="240" w:lineRule="auto"/>
              <w:ind w:left="783" w:hanging="709"/>
              <w:jc w:val="both"/>
            </w:pPr>
            <w:r>
              <w:t>32.8</w:t>
            </w:r>
            <w:r>
              <w:tab/>
            </w:r>
            <w:r>
              <w:t xml:space="preserve">Se assim for indicado nos </w:t>
            </w:r>
            <w:r>
              <w:rPr>
                <w:b/>
                <w:bCs/>
              </w:rPr>
              <w:t>DDL</w:t>
            </w:r>
            <w:r>
              <w:t xml:space="preserve">, este edital permitirá que os concorrentes cotem preços separados para um ou mais lotes, e permitirá que o Contratante adjudique um ou vários lotes a mais de um concorrente. A metodologia de avaliação para determinar a combinação de lotes de menor preço avaliado está especificada nos </w:t>
            </w:r>
            <w:r>
              <w:rPr>
                <w:b/>
                <w:bCs/>
              </w:rPr>
              <w:t>DDL</w:t>
            </w:r>
            <w:r>
              <w:t>.</w:t>
            </w:r>
          </w:p>
          <w:p w14:paraId="068C6959">
            <w:pPr>
              <w:spacing w:before="120" w:after="120" w:line="240" w:lineRule="auto"/>
              <w:ind w:left="460" w:hanging="460"/>
              <w:jc w:val="both"/>
            </w:pPr>
            <w:r>
              <w:rPr>
                <w:b/>
                <w:bCs/>
              </w:rPr>
              <w:t>Proposta Desequilibrada ou com Jogo de Planilhas</w:t>
            </w:r>
          </w:p>
          <w:p w14:paraId="21188BF5">
            <w:pPr>
              <w:spacing w:before="120" w:after="120" w:line="240" w:lineRule="auto"/>
              <w:ind w:left="783" w:hanging="709"/>
              <w:jc w:val="both"/>
            </w:pPr>
            <w:r>
              <w:t>32.9</w:t>
            </w:r>
            <w:r>
              <w:tab/>
            </w:r>
            <w:r>
              <w:t>Se uma proposta for determinada como a de menor preço avaliado, e se a juízo do Contratante, apresenta um grave desequilíbrio ou apresenta um jogo de planilhas, o Contratante poderá exigir ao concorrente que apresente esclarecimentos por escrito. Os esclarecimentos poderão incluir um desmembramento de preço detalhado para demonstrar a consistência dos preços com o objeto do contrato, a metodologia proposta, as questões qualitativas e/ou quantitativas previstas, o calendário de execução e outros requisitos dos documentos de licitação.</w:t>
            </w:r>
          </w:p>
          <w:p w14:paraId="427172A5">
            <w:pPr>
              <w:spacing w:before="120" w:after="120" w:line="240" w:lineRule="auto"/>
              <w:ind w:left="460" w:hanging="460"/>
              <w:jc w:val="both"/>
              <w:rPr>
                <w:b/>
                <w:bCs/>
              </w:rPr>
            </w:pPr>
            <w:r>
              <w:rPr>
                <w:b/>
                <w:bCs/>
              </w:rPr>
              <w:t>Avaliação Final</w:t>
            </w:r>
          </w:p>
          <w:p w14:paraId="08E2F488">
            <w:pPr>
              <w:spacing w:before="120" w:after="120" w:line="240" w:lineRule="auto"/>
              <w:ind w:left="783" w:hanging="709"/>
              <w:jc w:val="both"/>
            </w:pPr>
            <w:r>
              <w:t>32.10</w:t>
            </w:r>
            <w:r>
              <w:tab/>
            </w:r>
            <w:r>
              <w:t>Depois da avaliação da informação apresentada pelo Concorrente e da análise detalhada do preço pelo Contratante, o Contratante poderá, conforme corresponda:</w:t>
            </w:r>
          </w:p>
          <w:p w14:paraId="63B7F6CE">
            <w:pPr>
              <w:spacing w:before="120" w:after="120" w:line="240" w:lineRule="auto"/>
              <w:ind w:left="1208" w:hanging="425"/>
              <w:jc w:val="both"/>
              <w:rPr>
                <w:bCs/>
              </w:rPr>
            </w:pPr>
            <w:r>
              <w:rPr>
                <w:bCs/>
              </w:rPr>
              <w:t>(a)</w:t>
            </w:r>
            <w:r>
              <w:tab/>
            </w:r>
            <w:r>
              <w:rPr>
                <w:bCs/>
              </w:rPr>
              <w:t xml:space="preserve">aceitar a </w:t>
            </w:r>
            <w:r>
              <w:t>Proposta</w:t>
            </w:r>
            <w:r>
              <w:rPr>
                <w:bCs/>
              </w:rPr>
              <w:t>; ou</w:t>
            </w:r>
          </w:p>
          <w:p w14:paraId="2D4CF47E">
            <w:pPr>
              <w:spacing w:before="120" w:after="120" w:line="240" w:lineRule="auto"/>
              <w:ind w:left="1208" w:hanging="425"/>
              <w:jc w:val="both"/>
              <w:rPr>
                <w:bCs/>
              </w:rPr>
            </w:pPr>
            <w:r>
              <w:rPr>
                <w:bCs/>
              </w:rPr>
              <w:t>(b)</w:t>
            </w:r>
            <w:r>
              <w:tab/>
            </w:r>
            <w:r>
              <w:rPr>
                <w:bCs/>
              </w:rPr>
              <w:t xml:space="preserve">solicitar que o valor total da garantia de execução seja aumentado, às custas do concorrente, até um nível que não exceda </w:t>
            </w:r>
            <w:r>
              <w:rPr>
                <w:rFonts w:hint="default"/>
                <w:bCs/>
                <w:lang w:val="pt-BR"/>
              </w:rPr>
              <w:t>1</w:t>
            </w:r>
            <w:r>
              <w:rPr>
                <w:bCs/>
              </w:rPr>
              <w:t>0% do Preço do Contrato, ou</w:t>
            </w:r>
          </w:p>
          <w:p w14:paraId="12CD5531">
            <w:pPr>
              <w:spacing w:before="120" w:after="120" w:line="240" w:lineRule="auto"/>
              <w:ind w:left="1208" w:hanging="425"/>
              <w:jc w:val="both"/>
            </w:pPr>
            <w:r>
              <w:rPr>
                <w:bCs/>
              </w:rPr>
              <w:t>(c)</w:t>
            </w:r>
            <w:r>
              <w:tab/>
            </w:r>
            <w:r>
              <w:t>rejeitar</w:t>
            </w:r>
            <w:r>
              <w:rPr>
                <w:bCs/>
              </w:rPr>
              <w:t xml:space="preserve"> a </w:t>
            </w:r>
            <w:r>
              <w:t>Proposta</w:t>
            </w:r>
            <w:r>
              <w:rPr>
                <w:bCs/>
              </w:rPr>
              <w:t>.</w:t>
            </w:r>
          </w:p>
        </w:tc>
      </w:tr>
      <w:tr w14:paraId="4B59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0E5157AC">
            <w:pPr>
              <w:pStyle w:val="71"/>
            </w:pPr>
            <w:bookmarkStart w:id="75" w:name="_Toc174536377"/>
            <w:r>
              <w:t>33.</w:t>
            </w:r>
            <w:r>
              <w:tab/>
            </w:r>
            <w:r>
              <w:t>Subcontratação</w:t>
            </w:r>
            <w:bookmarkEnd w:id="75"/>
          </w:p>
        </w:tc>
        <w:tc>
          <w:tcPr>
            <w:tcW w:w="5653" w:type="dxa"/>
          </w:tcPr>
          <w:p w14:paraId="28B54C25">
            <w:pPr>
              <w:spacing w:before="120" w:after="120" w:line="240" w:lineRule="auto"/>
              <w:ind w:left="783" w:hanging="709"/>
              <w:jc w:val="both"/>
            </w:pPr>
            <w:r>
              <w:t>33.1</w:t>
            </w:r>
            <w:r>
              <w:tab/>
            </w:r>
            <w:r>
              <w:t xml:space="preserve">A menos que se indique o contrário nos </w:t>
            </w:r>
            <w:r>
              <w:rPr>
                <w:b/>
                <w:bCs/>
              </w:rPr>
              <w:t>DDL</w:t>
            </w:r>
            <w:r>
              <w:t>, o Contratante não tem a intenção de executar nenhum elemento específico das Obras com subcontratados selecionados previamente pelo Contratante.</w:t>
            </w:r>
          </w:p>
          <w:p w14:paraId="5772EC66">
            <w:pPr>
              <w:spacing w:before="120" w:after="120" w:line="240" w:lineRule="auto"/>
              <w:ind w:left="783" w:hanging="709"/>
              <w:jc w:val="both"/>
            </w:pPr>
            <w:r>
              <w:t>33.2</w:t>
            </w:r>
            <w:r>
              <w:tab/>
            </w:r>
            <w:r>
              <w:t xml:space="preserve">As qualificações dos subcontratados propostos pelo concorrente </w:t>
            </w:r>
            <w:r>
              <w:rPr>
                <w:b/>
                <w:bCs/>
              </w:rPr>
              <w:t>(caso seja permitida a subcontratação)</w:t>
            </w:r>
            <w:r>
              <w:t xml:space="preserve"> não serão utilizadas para qualificar para as obras a menos que se trate de partes específicas das mesmas, que tenham sido previamente designadas como tais pelo Contratante nos </w:t>
            </w:r>
            <w:r>
              <w:rPr>
                <w:b/>
                <w:bCs/>
              </w:rPr>
              <w:t>DDL</w:t>
            </w:r>
            <w:r>
              <w:t>, e que se designarão daqui para frente como “Subcontratados Especializados”, sendo que nesse caso, as qualificações desses “subcontratados especializados” propostos pelo concorrente poderão ser analisadas.</w:t>
            </w:r>
          </w:p>
          <w:p w14:paraId="1C7B7C04">
            <w:pPr>
              <w:spacing w:before="120" w:after="120" w:line="240" w:lineRule="auto"/>
              <w:ind w:left="783" w:hanging="709"/>
              <w:jc w:val="both"/>
            </w:pPr>
            <w:r>
              <w:t>33.3</w:t>
            </w:r>
            <w:r>
              <w:tab/>
            </w:r>
            <w:r>
              <w:rPr>
                <w:b/>
                <w:bCs/>
              </w:rPr>
              <w:t>Caso seja permitida</w:t>
            </w:r>
            <w:r>
              <w:t>, o</w:t>
            </w:r>
            <w:r>
              <w:rPr>
                <w:b/>
                <w:bCs/>
              </w:rPr>
              <w:t>s Concorrentes poderão propor a subcontratação até o percentual do valor total do contrato ou do volume das obras tal como especifica-se nos DDL</w:t>
            </w:r>
            <w:r>
              <w:t>. Os subcontratados propostos pelo concorrente deverão estar plenamente qualificados para executar suas partes das Obras.</w:t>
            </w:r>
          </w:p>
        </w:tc>
      </w:tr>
      <w:tr w14:paraId="203FC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363770DD">
            <w:pPr>
              <w:pStyle w:val="69"/>
            </w:pPr>
            <w:bookmarkStart w:id="76" w:name="_Toc174536378"/>
            <w:r>
              <w:t>F – ADJUDICAÇÃO DO CONTRATO</w:t>
            </w:r>
            <w:bookmarkEnd w:id="76"/>
          </w:p>
        </w:tc>
      </w:tr>
      <w:tr w14:paraId="32AF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46F7B753">
            <w:pPr>
              <w:pStyle w:val="71"/>
            </w:pPr>
            <w:bookmarkStart w:id="77" w:name="_Toc157690455"/>
            <w:bookmarkStart w:id="78" w:name="_Toc155815778"/>
            <w:bookmarkStart w:id="79" w:name="_Toc168378672"/>
            <w:bookmarkStart w:id="80" w:name="_Toc174536379"/>
            <w:r>
              <w:t>34.</w:t>
            </w:r>
            <w:r>
              <w:tab/>
            </w:r>
            <w:r>
              <w:t>Direito do Contratante de Aceitar qualquer Proposta e de Rejeitar qualquer uma ou todas as Propostas</w:t>
            </w:r>
            <w:bookmarkEnd w:id="77"/>
            <w:bookmarkEnd w:id="78"/>
            <w:bookmarkEnd w:id="79"/>
            <w:bookmarkEnd w:id="80"/>
          </w:p>
        </w:tc>
        <w:tc>
          <w:tcPr>
            <w:tcW w:w="5653" w:type="dxa"/>
          </w:tcPr>
          <w:p w14:paraId="6A721195">
            <w:pPr>
              <w:spacing w:before="120" w:after="120" w:line="240" w:lineRule="auto"/>
              <w:ind w:left="783" w:hanging="709"/>
              <w:jc w:val="both"/>
            </w:pPr>
            <w:r>
              <w:t>34.1</w:t>
            </w:r>
            <w:r>
              <w:tab/>
            </w:r>
            <w:r>
              <w:t>O Contratante se reserva o direito de, nos termos do edital, aceitar ou rejeitar qualquer proposta, ou cancelar o processo de licitação, a qualquer tempo antes da adjudicação do contrato sem que do cancelamento decorra qualquer direito à indenização aos concorrentes.</w:t>
            </w:r>
          </w:p>
          <w:p w14:paraId="6874799B">
            <w:pPr>
              <w:spacing w:before="120" w:after="120" w:line="240" w:lineRule="auto"/>
              <w:ind w:left="783" w:hanging="709"/>
              <w:jc w:val="both"/>
            </w:pPr>
            <w:r>
              <w:t>34.2</w:t>
            </w:r>
            <w:r>
              <w:tab/>
            </w:r>
            <w:r>
              <w:t>Da mesma forma o Contratante poderá rejeitar todas as propostas caso quando:</w:t>
            </w:r>
          </w:p>
          <w:p w14:paraId="08FC3E82">
            <w:pPr>
              <w:spacing w:before="120" w:after="120" w:line="240" w:lineRule="auto"/>
              <w:ind w:left="1208" w:hanging="425"/>
              <w:jc w:val="both"/>
            </w:pPr>
            <w:r>
              <w:rPr>
                <w:bCs/>
              </w:rPr>
              <w:t>(a)</w:t>
            </w:r>
            <w:r>
              <w:tab/>
            </w:r>
            <w:r>
              <w:rPr>
                <w:bCs/>
              </w:rPr>
              <w:t xml:space="preserve">não houver concorrência </w:t>
            </w:r>
            <w:r>
              <w:t>efetiva;</w:t>
            </w:r>
          </w:p>
          <w:p w14:paraId="274F2F10">
            <w:pPr>
              <w:spacing w:before="120" w:after="120" w:line="240" w:lineRule="auto"/>
              <w:ind w:left="1208" w:hanging="425"/>
              <w:jc w:val="both"/>
            </w:pPr>
            <w:r>
              <w:t>(b)</w:t>
            </w:r>
            <w:r>
              <w:tab/>
            </w:r>
            <w:r>
              <w:t>nenhuma das propostas atender substancialmente aos requisitos do edital;</w:t>
            </w:r>
          </w:p>
          <w:p w14:paraId="211DCFF1">
            <w:pPr>
              <w:spacing w:before="120" w:after="120" w:line="240" w:lineRule="auto"/>
              <w:ind w:left="1208" w:hanging="425"/>
              <w:jc w:val="both"/>
            </w:pPr>
            <w:r>
              <w:t>(c)</w:t>
            </w:r>
            <w:r>
              <w:tab/>
            </w:r>
            <w:r>
              <w:t>os preços das propostas forem significativamente superiores à estimativa de custo atualizada do Contratante.</w:t>
            </w:r>
          </w:p>
        </w:tc>
      </w:tr>
      <w:tr w14:paraId="0EF8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6A35C91F">
            <w:pPr>
              <w:pStyle w:val="71"/>
              <w:rPr>
                <w:color w:val="auto"/>
              </w:rPr>
            </w:pPr>
            <w:bookmarkStart w:id="81" w:name="_Toc155815779"/>
            <w:bookmarkStart w:id="82" w:name="_Toc157690456"/>
            <w:bookmarkStart w:id="83" w:name="_Toc168378673"/>
            <w:bookmarkStart w:id="84" w:name="_Toc174536380"/>
            <w:r>
              <w:rPr>
                <w:color w:val="auto"/>
              </w:rPr>
              <w:t>35.</w:t>
            </w:r>
            <w:r>
              <w:rPr>
                <w:color w:val="auto"/>
              </w:rPr>
              <w:tab/>
            </w:r>
            <w:bookmarkEnd w:id="81"/>
            <w:r>
              <w:rPr>
                <w:rFonts w:hint="default"/>
                <w:color w:val="auto"/>
              </w:rPr>
              <w:t>Critério para Adjudicação e Homologação</w:t>
            </w:r>
            <w:r>
              <w:rPr>
                <w:color w:val="auto"/>
              </w:rPr>
              <w:t xml:space="preserve"> </w:t>
            </w:r>
            <w:bookmarkEnd w:id="82"/>
            <w:bookmarkEnd w:id="83"/>
            <w:bookmarkEnd w:id="84"/>
          </w:p>
        </w:tc>
        <w:tc>
          <w:tcPr>
            <w:tcW w:w="5653" w:type="dxa"/>
          </w:tcPr>
          <w:p w14:paraId="3A37E0B5">
            <w:pPr>
              <w:spacing w:before="120" w:after="120" w:line="240" w:lineRule="auto"/>
              <w:ind w:left="783" w:hanging="709"/>
              <w:jc w:val="both"/>
              <w:rPr>
                <w:color w:val="auto"/>
              </w:rPr>
            </w:pPr>
            <w:r>
              <w:rPr>
                <w:color w:val="auto"/>
              </w:rPr>
              <w:t>35.1</w:t>
            </w:r>
            <w:r>
              <w:rPr>
                <w:color w:val="auto"/>
              </w:rPr>
              <w:tab/>
            </w:r>
            <w:r>
              <w:rPr>
                <w:rFonts w:hint="default"/>
                <w:color w:val="auto"/>
              </w:rPr>
              <w:t>Tendo em vista que:</w:t>
            </w:r>
          </w:p>
          <w:p w14:paraId="58251B0D">
            <w:pPr>
              <w:spacing w:before="120" w:after="120" w:line="240" w:lineRule="auto"/>
              <w:ind w:left="1208" w:hanging="425"/>
              <w:jc w:val="both"/>
              <w:rPr>
                <w:rFonts w:ascii="Times New Roman" w:hAnsi="Times New Roman"/>
                <w:color w:val="auto"/>
              </w:rPr>
            </w:pPr>
            <w:r>
              <w:rPr>
                <w:rFonts w:ascii="Times New Roman" w:hAnsi="Times New Roman"/>
                <w:bCs/>
                <w:color w:val="auto"/>
              </w:rPr>
              <w:t>(a)</w:t>
            </w:r>
            <w:r>
              <w:rPr>
                <w:rFonts w:ascii="Times New Roman" w:hAnsi="Times New Roman"/>
                <w:color w:val="auto"/>
              </w:rPr>
              <w:tab/>
            </w:r>
            <w:r>
              <w:rPr>
                <w:rFonts w:ascii="Times New Roman" w:hAnsi="Times New Roman"/>
                <w:bCs/>
                <w:color w:val="auto"/>
              </w:rPr>
              <w:t xml:space="preserve">o Edital </w:t>
            </w:r>
            <w:r>
              <w:rPr>
                <w:rFonts w:ascii="Times New Roman" w:hAnsi="Times New Roman"/>
                <w:color w:val="auto"/>
              </w:rPr>
              <w:t>respeitou os princípios da licitação pública, tendo sido garantida a competitividade do certame;</w:t>
            </w:r>
          </w:p>
          <w:p w14:paraId="2CB61FD4">
            <w:pPr>
              <w:spacing w:before="120" w:after="120" w:line="240" w:lineRule="auto"/>
              <w:ind w:left="1208" w:hanging="425"/>
              <w:jc w:val="both"/>
              <w:rPr>
                <w:rFonts w:ascii="Times New Roman" w:hAnsi="Times New Roman"/>
                <w:color w:val="auto"/>
              </w:rPr>
            </w:pPr>
            <w:r>
              <w:rPr>
                <w:rFonts w:ascii="Times New Roman" w:hAnsi="Times New Roman"/>
                <w:color w:val="auto"/>
              </w:rPr>
              <w:t>(b)</w:t>
            </w:r>
            <w:r>
              <w:rPr>
                <w:rFonts w:ascii="Times New Roman" w:hAnsi="Times New Roman"/>
                <w:color w:val="auto"/>
              </w:rPr>
              <w:tab/>
            </w:r>
            <w:r>
              <w:rPr>
                <w:rFonts w:ascii="Times New Roman" w:hAnsi="Times New Roman"/>
                <w:color w:val="auto"/>
              </w:rPr>
              <w:t>as propostas apresentadas foram julgadas conforme os critérios previamente definidos em Edital;</w:t>
            </w:r>
          </w:p>
          <w:p w14:paraId="79877800">
            <w:pPr>
              <w:spacing w:before="120" w:after="120" w:line="240" w:lineRule="auto"/>
              <w:ind w:left="1208" w:hanging="425"/>
              <w:jc w:val="both"/>
              <w:rPr>
                <w:rFonts w:ascii="Times New Roman" w:hAnsi="Times New Roman"/>
                <w:bCs/>
                <w:color w:val="auto"/>
              </w:rPr>
            </w:pPr>
            <w:r>
              <w:rPr>
                <w:rFonts w:ascii="Times New Roman" w:hAnsi="Times New Roman"/>
                <w:color w:val="auto"/>
              </w:rPr>
              <w:t>(c)</w:t>
            </w:r>
            <w:r>
              <w:rPr>
                <w:rFonts w:ascii="Times New Roman" w:hAnsi="Times New Roman"/>
                <w:color w:val="auto"/>
              </w:rPr>
              <w:tab/>
            </w:r>
            <w:r>
              <w:rPr>
                <w:rFonts w:ascii="Times New Roman" w:hAnsi="Times New Roman"/>
                <w:color w:val="auto"/>
              </w:rPr>
              <w:t>o concorrente</w:t>
            </w:r>
            <w:r>
              <w:rPr>
                <w:rFonts w:ascii="Times New Roman" w:hAnsi="Times New Roman"/>
                <w:bCs/>
                <w:color w:val="auto"/>
              </w:rPr>
              <w:t xml:space="preserve"> vencedor:</w:t>
            </w:r>
          </w:p>
          <w:p w14:paraId="354873E1">
            <w:pPr>
              <w:spacing w:before="120" w:after="120" w:line="240" w:lineRule="auto"/>
              <w:ind w:left="1760" w:leftChars="0" w:hanging="440" w:firstLineChars="0"/>
              <w:jc w:val="both"/>
              <w:rPr>
                <w:rFonts w:ascii="Times New Roman" w:hAnsi="Times New Roman"/>
                <w:color w:val="auto"/>
              </w:rPr>
            </w:pPr>
            <w:r>
              <w:rPr>
                <w:rFonts w:ascii="Times New Roman" w:hAnsi="Times New Roman"/>
                <w:color w:val="auto"/>
              </w:rPr>
              <w:t>(i)</w:t>
            </w:r>
            <w:r>
              <w:rPr>
                <w:rFonts w:ascii="Times New Roman" w:hAnsi="Times New Roman"/>
                <w:color w:val="auto"/>
              </w:rPr>
              <w:tab/>
            </w:r>
            <w:r>
              <w:rPr>
                <w:rFonts w:ascii="Times New Roman" w:hAnsi="Times New Roman"/>
                <w:color w:val="auto"/>
              </w:rPr>
              <w:t>foi devidamente habilitado e qualificado segundo os termos das IAC 4, tendo apresentado todos os documentos e cumprido com todos os critérios necessários para que a futura execução do contrato seja regular; e</w:t>
            </w:r>
          </w:p>
          <w:p w14:paraId="6D2A14CD">
            <w:pPr>
              <w:spacing w:before="120" w:after="120" w:line="240" w:lineRule="auto"/>
              <w:ind w:left="1760" w:leftChars="0" w:hanging="440" w:firstLineChars="0"/>
              <w:jc w:val="both"/>
              <w:rPr>
                <w:rFonts w:ascii="Times New Roman" w:hAnsi="Times New Roman"/>
                <w:color w:val="auto"/>
              </w:rPr>
            </w:pPr>
            <w:r>
              <w:rPr>
                <w:rFonts w:ascii="Times New Roman" w:hAnsi="Times New Roman"/>
                <w:color w:val="auto"/>
              </w:rPr>
              <w:t>(ii)</w:t>
            </w:r>
            <w:r>
              <w:rPr>
                <w:rFonts w:ascii="Times New Roman" w:hAnsi="Times New Roman"/>
                <w:color w:val="auto"/>
              </w:rPr>
              <w:tab/>
            </w:r>
            <w:r>
              <w:rPr>
                <w:rFonts w:ascii="Times New Roman" w:hAnsi="Times New Roman"/>
                <w:color w:val="auto"/>
              </w:rPr>
              <w:t>considerado elegível segundo os termos das IAC 3;</w:t>
            </w:r>
          </w:p>
          <w:p w14:paraId="65264916">
            <w:pPr>
              <w:spacing w:before="120" w:after="120" w:line="240" w:lineRule="auto"/>
              <w:ind w:left="1208" w:hanging="425"/>
              <w:jc w:val="both"/>
              <w:rPr>
                <w:rFonts w:ascii="Times New Roman" w:hAnsi="Times New Roman"/>
                <w:bCs/>
                <w:color w:val="auto"/>
              </w:rPr>
            </w:pPr>
            <w:r>
              <w:rPr>
                <w:rFonts w:ascii="Times New Roman" w:hAnsi="Times New Roman"/>
                <w:bCs/>
                <w:color w:val="auto"/>
              </w:rPr>
              <w:t>(d)</w:t>
            </w:r>
            <w:r>
              <w:rPr>
                <w:rFonts w:ascii="Times New Roman" w:hAnsi="Times New Roman"/>
                <w:bCs/>
                <w:color w:val="auto"/>
              </w:rPr>
              <w:tab/>
            </w:r>
            <w:r>
              <w:rPr>
                <w:rFonts w:ascii="Times New Roman" w:hAnsi="Times New Roman"/>
                <w:color w:val="auto"/>
              </w:rPr>
              <w:t>todos</w:t>
            </w:r>
            <w:r>
              <w:rPr>
                <w:rFonts w:ascii="Times New Roman" w:hAnsi="Times New Roman"/>
                <w:bCs/>
                <w:color w:val="auto"/>
              </w:rPr>
              <w:t xml:space="preserve"> os recursos interpostos foram julgados de forma imparcial.</w:t>
            </w:r>
          </w:p>
          <w:p w14:paraId="7533D3DD">
            <w:pPr>
              <w:spacing w:before="120" w:after="120" w:line="240" w:lineRule="auto"/>
              <w:ind w:left="783" w:hanging="709"/>
              <w:jc w:val="both"/>
              <w:rPr>
                <w:rFonts w:ascii="Times New Roman" w:hAnsi="Times New Roman"/>
                <w:color w:val="auto"/>
              </w:rPr>
            </w:pPr>
            <w:r>
              <w:rPr>
                <w:rFonts w:ascii="Times New Roman" w:hAnsi="Times New Roman"/>
                <w:color w:val="auto"/>
              </w:rPr>
              <w:t>35.2</w:t>
            </w:r>
            <w:r>
              <w:rPr>
                <w:rFonts w:ascii="Times New Roman" w:hAnsi="Times New Roman"/>
                <w:color w:val="auto"/>
              </w:rPr>
              <w:tab/>
            </w:r>
            <w:r>
              <w:rPr>
                <w:rFonts w:ascii="Times New Roman" w:hAnsi="Times New Roman"/>
                <w:color w:val="auto"/>
              </w:rPr>
              <w:t>O Contratante fará a adjudicação do objeto e homologação da licitação ao concorrente cuja proposta tenha sido considerada como substancialmente adequada aos termos do Edital e que tenha apresentado o menor preço avaliado.</w:t>
            </w:r>
          </w:p>
          <w:p w14:paraId="30E6AAA9">
            <w:pPr>
              <w:spacing w:before="120" w:after="120" w:line="240" w:lineRule="auto"/>
              <w:ind w:left="783" w:hanging="709"/>
              <w:jc w:val="both"/>
              <w:rPr>
                <w:rFonts w:ascii="Times New Roman" w:hAnsi="Times New Roman"/>
                <w:bCs/>
                <w:iCs/>
                <w:color w:val="auto"/>
              </w:rPr>
            </w:pPr>
            <w:r>
              <w:rPr>
                <w:rFonts w:ascii="Times New Roman" w:hAnsi="Times New Roman"/>
                <w:color w:val="auto"/>
              </w:rPr>
              <w:t>35.3</w:t>
            </w:r>
            <w:r>
              <w:rPr>
                <w:rFonts w:ascii="Times New Roman" w:hAnsi="Times New Roman"/>
                <w:color w:val="auto"/>
              </w:rPr>
              <w:tab/>
            </w:r>
            <w:r>
              <w:rPr>
                <w:rFonts w:ascii="Times New Roman" w:hAnsi="Times New Roman"/>
                <w:color w:val="auto"/>
              </w:rPr>
              <w:t>Fica assegurado, como critério de desempate, preferência de contratação</w:t>
            </w:r>
            <w:r>
              <w:rPr>
                <w:rFonts w:ascii="Times New Roman" w:hAnsi="Times New Roman"/>
                <w:bCs/>
                <w:iCs/>
                <w:color w:val="auto"/>
              </w:rPr>
              <w:t xml:space="preserve"> para as Microempresas (ME) e Empresas de Pequeno Porte (EPP) </w:t>
            </w:r>
            <w:r>
              <w:rPr>
                <w:rFonts w:ascii="Times New Roman" w:hAnsi="Times New Roman"/>
                <w:bCs/>
                <w:iCs/>
                <w:color w:val="auto"/>
                <w:vertAlign w:val="superscript"/>
              </w:rPr>
              <w:footnoteReference w:id="0"/>
            </w:r>
            <w:r>
              <w:rPr>
                <w:rFonts w:ascii="Times New Roman" w:hAnsi="Times New Roman"/>
                <w:bCs/>
                <w:iCs/>
                <w:color w:val="auto"/>
              </w:rPr>
              <w:t>.</w:t>
            </w:r>
          </w:p>
          <w:p w14:paraId="49FCE4E1">
            <w:pPr>
              <w:spacing w:before="120" w:after="120" w:line="240" w:lineRule="auto"/>
              <w:ind w:left="947" w:hanging="709"/>
              <w:jc w:val="both"/>
              <w:rPr>
                <w:rFonts w:ascii="Times New Roman" w:hAnsi="Times New Roman"/>
                <w:bCs/>
                <w:iCs/>
                <w:color w:val="auto"/>
              </w:rPr>
            </w:pPr>
            <w:r>
              <w:rPr>
                <w:rFonts w:ascii="Times New Roman" w:hAnsi="Times New Roman"/>
                <w:bCs/>
                <w:iCs/>
                <w:color w:val="auto"/>
              </w:rPr>
              <w:t>35.3.1</w:t>
            </w:r>
            <w:r>
              <w:rPr>
                <w:rFonts w:hint="default" w:ascii="Times New Roman" w:hAnsi="Times New Roman"/>
                <w:color w:val="auto"/>
              </w:rPr>
              <w:tab/>
            </w:r>
            <w:r>
              <w:rPr>
                <w:rFonts w:ascii="Times New Roman" w:hAnsi="Times New Roman"/>
                <w:bCs/>
                <w:iCs/>
                <w:color w:val="auto"/>
              </w:rPr>
              <w:t>Entende-se por empate aquelas situações em que as propostas apresentadas pelas ME e EPP sejam iguais ou até 1</w:t>
            </w:r>
            <w:r>
              <w:rPr>
                <w:rFonts w:hint="default"/>
                <w:bCs/>
                <w:iCs/>
                <w:color w:val="auto"/>
                <w:lang w:val="pt-BR"/>
              </w:rPr>
              <w:t>5</w:t>
            </w:r>
            <w:r>
              <w:rPr>
                <w:rFonts w:ascii="Times New Roman" w:hAnsi="Times New Roman"/>
                <w:bCs/>
                <w:iCs/>
                <w:color w:val="auto"/>
              </w:rPr>
              <w:t>% (</w:t>
            </w:r>
            <w:r>
              <w:rPr>
                <w:rFonts w:hint="default"/>
                <w:bCs/>
                <w:iCs/>
                <w:color w:val="auto"/>
                <w:lang w:val="pt-BR"/>
              </w:rPr>
              <w:t>quinze</w:t>
            </w:r>
            <w:r>
              <w:rPr>
                <w:rFonts w:ascii="Times New Roman" w:hAnsi="Times New Roman"/>
                <w:bCs/>
                <w:iCs/>
                <w:color w:val="auto"/>
              </w:rPr>
              <w:t xml:space="preserve"> por cento) superiores à proposta mais bem classificada.</w:t>
            </w:r>
          </w:p>
          <w:p w14:paraId="56ED8FC4">
            <w:pPr>
              <w:spacing w:before="120" w:after="120" w:line="240" w:lineRule="auto"/>
              <w:ind w:left="783" w:hanging="709"/>
              <w:jc w:val="both"/>
              <w:rPr>
                <w:rFonts w:ascii="Times New Roman" w:hAnsi="Times New Roman"/>
                <w:bCs/>
                <w:iCs/>
                <w:color w:val="auto"/>
              </w:rPr>
            </w:pPr>
            <w:r>
              <w:rPr>
                <w:rFonts w:ascii="Times New Roman" w:hAnsi="Times New Roman"/>
                <w:bCs/>
                <w:iCs/>
                <w:color w:val="auto"/>
              </w:rPr>
              <w:t>35.4</w:t>
            </w:r>
            <w:r>
              <w:rPr>
                <w:rFonts w:ascii="Times New Roman" w:hAnsi="Times New Roman"/>
                <w:color w:val="auto"/>
              </w:rPr>
              <w:tab/>
            </w:r>
            <w:r>
              <w:rPr>
                <w:rFonts w:ascii="Times New Roman" w:hAnsi="Times New Roman"/>
                <w:bCs/>
                <w:iCs/>
                <w:color w:val="auto"/>
              </w:rPr>
              <w:t xml:space="preserve">Ocorrendo o </w:t>
            </w:r>
            <w:r>
              <w:rPr>
                <w:rFonts w:ascii="Times New Roman" w:hAnsi="Times New Roman"/>
                <w:color w:val="auto"/>
              </w:rPr>
              <w:t>empate</w:t>
            </w:r>
            <w:r>
              <w:rPr>
                <w:rFonts w:ascii="Times New Roman" w:hAnsi="Times New Roman"/>
                <w:bCs/>
                <w:iCs/>
                <w:color w:val="auto"/>
              </w:rPr>
              <w:t>, proceder-se-á da seguinte forma:</w:t>
            </w:r>
          </w:p>
          <w:p w14:paraId="156FB146">
            <w:pPr>
              <w:spacing w:before="120" w:after="120" w:line="240" w:lineRule="auto"/>
              <w:ind w:left="1208" w:hanging="425"/>
              <w:jc w:val="both"/>
              <w:rPr>
                <w:rFonts w:ascii="Times New Roman" w:hAnsi="Times New Roman"/>
                <w:bCs/>
                <w:color w:val="auto"/>
              </w:rPr>
            </w:pPr>
            <w:r>
              <w:rPr>
                <w:rFonts w:ascii="Times New Roman" w:hAnsi="Times New Roman"/>
                <w:bCs/>
                <w:iCs/>
                <w:color w:val="auto"/>
              </w:rPr>
              <w:t>(a)</w:t>
            </w:r>
            <w:r>
              <w:rPr>
                <w:rFonts w:ascii="Times New Roman" w:hAnsi="Times New Roman"/>
                <w:color w:val="auto"/>
              </w:rPr>
              <w:tab/>
            </w:r>
            <w:r>
              <w:rPr>
                <w:rFonts w:ascii="Times New Roman" w:hAnsi="Times New Roman"/>
                <w:bCs/>
                <w:iCs/>
                <w:color w:val="auto"/>
              </w:rPr>
              <w:t xml:space="preserve">a ME </w:t>
            </w:r>
            <w:r>
              <w:rPr>
                <w:rFonts w:ascii="Times New Roman" w:hAnsi="Times New Roman"/>
                <w:bCs/>
                <w:color w:val="auto"/>
              </w:rPr>
              <w:t>ou EPP mais bem classificada poderá apresentar proposta de preço inferior àquela considerada vencedora do certame, situação em que será adjudicado em seu favor o objeto licitado;</w:t>
            </w:r>
          </w:p>
          <w:p w14:paraId="4E8276C8">
            <w:pPr>
              <w:spacing w:before="120" w:after="120" w:line="240" w:lineRule="auto"/>
              <w:ind w:left="1208" w:hanging="425"/>
              <w:jc w:val="both"/>
              <w:rPr>
                <w:rFonts w:ascii="Times New Roman" w:hAnsi="Times New Roman"/>
                <w:bCs/>
                <w:color w:val="auto"/>
              </w:rPr>
            </w:pPr>
            <w:r>
              <w:rPr>
                <w:rFonts w:ascii="Times New Roman" w:hAnsi="Times New Roman"/>
                <w:bCs/>
                <w:iCs/>
                <w:color w:val="auto"/>
              </w:rPr>
              <w:t>(</w:t>
            </w:r>
            <w:r>
              <w:rPr>
                <w:rFonts w:ascii="Times New Roman" w:hAnsi="Times New Roman"/>
                <w:bCs/>
                <w:color w:val="auto"/>
              </w:rPr>
              <w:t>b)</w:t>
            </w:r>
            <w:r>
              <w:rPr>
                <w:rFonts w:ascii="Times New Roman" w:hAnsi="Times New Roman"/>
                <w:bCs/>
                <w:color w:val="auto"/>
              </w:rPr>
              <w:tab/>
            </w:r>
            <w:r>
              <w:rPr>
                <w:rFonts w:ascii="Times New Roman" w:hAnsi="Times New Roman"/>
                <w:bCs/>
                <w:color w:val="auto"/>
              </w:rPr>
              <w:t>não ocorrendo a contratação da ME ou EPP, na forma da alínea (a) acima, serão convocadas as remanescentes que porventura se enquadrem em situação de empate, na ordem classificatória, para o exercício do mesmo direito;</w:t>
            </w:r>
          </w:p>
          <w:p w14:paraId="530D0492">
            <w:pPr>
              <w:spacing w:before="120" w:after="120" w:line="240" w:lineRule="auto"/>
              <w:ind w:left="1208" w:hanging="425"/>
              <w:jc w:val="both"/>
              <w:rPr>
                <w:rFonts w:ascii="Times New Roman" w:hAnsi="Times New Roman"/>
                <w:bCs/>
                <w:iCs/>
                <w:color w:val="auto"/>
              </w:rPr>
            </w:pPr>
            <w:r>
              <w:rPr>
                <w:rFonts w:ascii="Times New Roman" w:hAnsi="Times New Roman"/>
                <w:bCs/>
                <w:iCs/>
                <w:color w:val="auto"/>
              </w:rPr>
              <w:t>(</w:t>
            </w:r>
            <w:r>
              <w:rPr>
                <w:rFonts w:ascii="Times New Roman" w:hAnsi="Times New Roman"/>
                <w:bCs/>
                <w:color w:val="auto"/>
              </w:rPr>
              <w:t>c)</w:t>
            </w:r>
            <w:r>
              <w:rPr>
                <w:rFonts w:ascii="Times New Roman" w:hAnsi="Times New Roman"/>
                <w:bCs/>
                <w:color w:val="auto"/>
              </w:rPr>
              <w:tab/>
            </w:r>
            <w:r>
              <w:rPr>
                <w:rFonts w:ascii="Times New Roman" w:hAnsi="Times New Roman"/>
                <w:bCs/>
                <w:color w:val="auto"/>
              </w:rPr>
              <w:t>no caso de equivalência dos valores apresentados pelas ME e EPP que se encontrem em situação de empate, será realizado sorteio entre elas para que se identifique aquela que</w:t>
            </w:r>
            <w:r>
              <w:rPr>
                <w:rFonts w:ascii="Times New Roman" w:hAnsi="Times New Roman"/>
                <w:bCs/>
                <w:iCs/>
                <w:color w:val="auto"/>
              </w:rPr>
              <w:t xml:space="preserve"> primeiro poderá apresentar melhor oferta.</w:t>
            </w:r>
          </w:p>
          <w:p w14:paraId="54F81846">
            <w:pPr>
              <w:spacing w:before="120" w:after="120" w:line="240" w:lineRule="auto"/>
              <w:ind w:left="783" w:hanging="709"/>
              <w:jc w:val="both"/>
              <w:rPr>
                <w:rFonts w:ascii="Times New Roman" w:hAnsi="Times New Roman"/>
                <w:color w:val="auto"/>
              </w:rPr>
            </w:pPr>
            <w:r>
              <w:rPr>
                <w:rFonts w:ascii="Times New Roman" w:hAnsi="Times New Roman"/>
                <w:bCs/>
                <w:iCs/>
                <w:color w:val="auto"/>
              </w:rPr>
              <w:t>35.5</w:t>
            </w:r>
            <w:r>
              <w:rPr>
                <w:rFonts w:ascii="Times New Roman" w:hAnsi="Times New Roman"/>
                <w:color w:val="auto"/>
              </w:rPr>
              <w:tab/>
            </w:r>
            <w:r>
              <w:rPr>
                <w:rFonts w:ascii="Times New Roman" w:hAnsi="Times New Roman"/>
                <w:bCs/>
                <w:iCs/>
                <w:color w:val="auto"/>
              </w:rPr>
              <w:t xml:space="preserve">Na hipótese da não contratação nos termos acima previstos, o objeto licitado será adjudicado em favor da proposta </w:t>
            </w:r>
            <w:r>
              <w:rPr>
                <w:rFonts w:ascii="Times New Roman" w:hAnsi="Times New Roman"/>
                <w:color w:val="auto"/>
              </w:rPr>
              <w:t>originalmente vencedora do certame.</w:t>
            </w:r>
          </w:p>
          <w:p w14:paraId="37827D0D">
            <w:pPr>
              <w:spacing w:before="120" w:after="120" w:line="240" w:lineRule="auto"/>
              <w:ind w:left="1208" w:hanging="425"/>
              <w:jc w:val="both"/>
              <w:rPr>
                <w:color w:val="auto"/>
              </w:rPr>
            </w:pPr>
            <w:r>
              <w:rPr>
                <w:rFonts w:ascii="Times New Roman" w:hAnsi="Times New Roman"/>
                <w:color w:val="auto"/>
              </w:rPr>
              <w:t>35.6</w:t>
            </w:r>
            <w:r>
              <w:rPr>
                <w:rFonts w:ascii="Times New Roman" w:hAnsi="Times New Roman"/>
                <w:color w:val="auto"/>
              </w:rPr>
              <w:tab/>
            </w:r>
            <w:r>
              <w:rPr>
                <w:rFonts w:ascii="Times New Roman" w:hAnsi="Times New Roman"/>
                <w:color w:val="auto"/>
              </w:rPr>
              <w:t>O disposto nos termos acima somente se aplicará quando a melhor proposta</w:t>
            </w:r>
            <w:r>
              <w:rPr>
                <w:rFonts w:ascii="Times New Roman" w:hAnsi="Times New Roman"/>
                <w:bCs/>
                <w:color w:val="auto"/>
              </w:rPr>
              <w:t xml:space="preserve"> inicial não tiver sido apresentada por ME ou EPP</w:t>
            </w:r>
            <w:r>
              <w:rPr>
                <w:rFonts w:hint="default"/>
                <w:color w:val="auto"/>
              </w:rPr>
              <w:t>.</w:t>
            </w:r>
          </w:p>
        </w:tc>
      </w:tr>
      <w:tr w14:paraId="7DDF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CC125BD">
            <w:pPr>
              <w:pStyle w:val="71"/>
            </w:pPr>
            <w:bookmarkStart w:id="85" w:name="_Toc174536381"/>
            <w:r>
              <w:t>36.</w:t>
            </w:r>
            <w:r>
              <w:tab/>
            </w:r>
            <w:r>
              <w:t>Carta de Aceitação</w:t>
            </w:r>
            <w:bookmarkEnd w:id="85"/>
          </w:p>
        </w:tc>
        <w:tc>
          <w:tcPr>
            <w:tcW w:w="5653" w:type="dxa"/>
          </w:tcPr>
          <w:p w14:paraId="3BA29731">
            <w:pPr>
              <w:spacing w:before="120" w:after="120" w:line="240" w:lineRule="auto"/>
              <w:ind w:left="783" w:hanging="709"/>
              <w:jc w:val="both"/>
              <w:rPr>
                <w:color w:val="FF0000"/>
              </w:rPr>
            </w:pPr>
            <w:r>
              <w:t>36.1</w:t>
            </w:r>
            <w:r>
              <w:tab/>
            </w:r>
            <w:r>
              <w:t>Antes do término do prazo de validade das propostas, o Contratante notificará o Concorrente vencedor, por meio eletrônico e confirmando posteriormente,</w:t>
            </w:r>
            <w:r>
              <w:rPr>
                <w:color w:val="auto"/>
              </w:rPr>
              <w:t xml:space="preserve"> por meio de carta registrada (Carta de Aceitação), de que sua proposta foi aceita</w:t>
            </w:r>
            <w:r>
              <w:rPr>
                <w:color w:val="FF0000"/>
              </w:rPr>
              <w:t>.</w:t>
            </w:r>
          </w:p>
          <w:p w14:paraId="74D5C614">
            <w:pPr>
              <w:spacing w:before="120" w:after="120" w:line="240" w:lineRule="auto"/>
              <w:ind w:left="783" w:hanging="709"/>
              <w:jc w:val="both"/>
            </w:pPr>
            <w:r>
              <w:t>36.2</w:t>
            </w:r>
            <w:r>
              <w:tab/>
            </w:r>
            <w:r>
              <w:rPr>
                <w:rFonts w:hint="default"/>
              </w:rPr>
              <w:t>Uma vez recebida do Concorrente vencedor a Garantia de Execução, de acordo com as IAC 3</w:t>
            </w:r>
            <w:r>
              <w:rPr>
                <w:rFonts w:hint="default"/>
                <w:lang w:val="pt-BR"/>
              </w:rPr>
              <w:t>8</w:t>
            </w:r>
            <w:r>
              <w:rPr>
                <w:rFonts w:hint="default"/>
              </w:rPr>
              <w:t>.1, o Contratante liberará e restituirá as Garantias de Proposta apresentadas pelos demais concorrentes, caso tenham sido solicitadas.</w:t>
            </w:r>
          </w:p>
        </w:tc>
      </w:tr>
      <w:tr w14:paraId="4065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04962BF5">
            <w:pPr>
              <w:pStyle w:val="71"/>
            </w:pPr>
            <w:bookmarkStart w:id="86" w:name="_Toc174536382"/>
            <w:r>
              <w:t>37.</w:t>
            </w:r>
            <w:r>
              <w:tab/>
            </w:r>
            <w:r>
              <w:t>Assinatura do Contrato</w:t>
            </w:r>
            <w:bookmarkEnd w:id="86"/>
          </w:p>
        </w:tc>
        <w:tc>
          <w:tcPr>
            <w:tcW w:w="5653" w:type="dxa"/>
          </w:tcPr>
          <w:p w14:paraId="0AA18B57">
            <w:pPr>
              <w:spacing w:before="120" w:after="120" w:line="240" w:lineRule="auto"/>
              <w:ind w:left="783" w:hanging="709"/>
              <w:jc w:val="both"/>
            </w:pPr>
            <w:r>
              <w:t>37.1</w:t>
            </w:r>
            <w:r>
              <w:tab/>
            </w:r>
            <w:r>
              <w:t xml:space="preserve">O Contratante enviará a Carta de Aceitação e o Termo de Contrato, constantes da Seção 9 – Formulários do Contrato, devidamente preenchidos ao concorrente que tiver apresentado a proposta vencedora num prazo máximo de 21 (vinte e um) dias contado da data de Carta de Aceitação, salvo se estabelecido prazo diferente nos </w:t>
            </w:r>
            <w:r>
              <w:rPr>
                <w:b/>
                <w:bCs/>
              </w:rPr>
              <w:t>DDL</w:t>
            </w:r>
            <w:r>
              <w:t>.</w:t>
            </w:r>
          </w:p>
          <w:p w14:paraId="4D47E3AC">
            <w:pPr>
              <w:spacing w:before="120" w:after="120" w:line="240" w:lineRule="auto"/>
              <w:ind w:left="783" w:hanging="709"/>
              <w:jc w:val="both"/>
            </w:pPr>
            <w:r>
              <w:t>37.2</w:t>
            </w:r>
            <w:r>
              <w:tab/>
            </w:r>
            <w:r>
              <w:t>O Concorrente que teve sua proposta adjudicada deverá:</w:t>
            </w:r>
          </w:p>
          <w:p w14:paraId="3269F7FC">
            <w:pPr>
              <w:spacing w:before="120" w:after="120" w:line="240" w:lineRule="auto"/>
              <w:ind w:left="1208" w:hanging="425"/>
              <w:jc w:val="both"/>
            </w:pPr>
            <w:r>
              <w:rPr>
                <w:bCs/>
              </w:rPr>
              <w:t>(a)</w:t>
            </w:r>
            <w:r>
              <w:tab/>
            </w:r>
            <w:r>
              <w:rPr>
                <w:bCs/>
              </w:rPr>
              <w:t xml:space="preserve">assinar e datar o Contrato e devolvê-lo ao Contratante dentro de 3 (três) dias, contados da </w:t>
            </w:r>
            <w:r>
              <w:t>data do seu recebimento; e</w:t>
            </w:r>
          </w:p>
          <w:p w14:paraId="4870FB4A">
            <w:pPr>
              <w:spacing w:before="120" w:after="120" w:line="240" w:lineRule="auto"/>
              <w:ind w:left="1208" w:hanging="425"/>
              <w:jc w:val="both"/>
            </w:pPr>
            <w:r>
              <w:t>(b)</w:t>
            </w:r>
            <w:r>
              <w:tab/>
            </w:r>
            <w:r>
              <w:t>apresentar para aprovação prévia do Contratante um Plano de</w:t>
            </w:r>
            <w:r>
              <w:rPr>
                <w:bCs/>
              </w:rPr>
              <w:t xml:space="preserve"> Gestão Ambiental e Social (PGAS), em caráter preliminar, dentro de 10 (dez) dias, contados da data de assinatura do Contrato.</w:t>
            </w:r>
            <w:r>
              <w:tab/>
            </w:r>
          </w:p>
        </w:tc>
      </w:tr>
      <w:tr w14:paraId="20BE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6B965AF">
            <w:pPr>
              <w:pStyle w:val="71"/>
              <w:rPr>
                <w:color w:val="FF0000"/>
              </w:rPr>
            </w:pPr>
            <w:bookmarkStart w:id="87" w:name="_Toc157690459"/>
            <w:bookmarkStart w:id="88" w:name="_Toc174536383"/>
            <w:bookmarkStart w:id="89" w:name="_Toc155815782"/>
            <w:bookmarkStart w:id="90" w:name="_Toc168378676"/>
            <w:r>
              <w:rPr>
                <w:color w:val="auto"/>
              </w:rPr>
              <w:t>38.</w:t>
            </w:r>
            <w:r>
              <w:rPr>
                <w:color w:val="auto"/>
              </w:rPr>
              <w:tab/>
            </w:r>
            <w:r>
              <w:rPr>
                <w:color w:val="auto"/>
              </w:rPr>
              <w:t>Garantia de Execução</w:t>
            </w:r>
            <w:bookmarkEnd w:id="87"/>
            <w:bookmarkEnd w:id="88"/>
            <w:bookmarkEnd w:id="89"/>
            <w:bookmarkEnd w:id="90"/>
          </w:p>
        </w:tc>
        <w:tc>
          <w:tcPr>
            <w:tcW w:w="5653" w:type="dxa"/>
          </w:tcPr>
          <w:p w14:paraId="0C075760">
            <w:pPr>
              <w:spacing w:before="120" w:after="120" w:line="240" w:lineRule="auto"/>
              <w:ind w:left="783" w:hanging="709"/>
              <w:jc w:val="both"/>
              <w:rPr>
                <w:color w:val="auto"/>
              </w:rPr>
            </w:pPr>
            <w:r>
              <w:rPr>
                <w:color w:val="auto"/>
              </w:rPr>
              <w:t>38.1</w:t>
            </w:r>
            <w:r>
              <w:rPr>
                <w:color w:val="FF0000"/>
              </w:rPr>
              <w:tab/>
            </w:r>
            <w:r>
              <w:rPr>
                <w:color w:val="auto"/>
              </w:rPr>
              <w:t>O concorrente vencedor deverá fornecer a garantia de execução do Contrato, de acordo com a cláusula 50 das Condições Gerais do Contrato, na forma prevista no edital ou outra forma aceita pelo Contratante, até a data prevista para a emissão da Ordem de Serviço (OS) por parte do Contratante.</w:t>
            </w:r>
          </w:p>
          <w:p w14:paraId="76264484">
            <w:pPr>
              <w:spacing w:before="120" w:after="120" w:line="240" w:lineRule="auto"/>
              <w:ind w:left="783" w:hanging="709"/>
              <w:jc w:val="both"/>
              <w:rPr>
                <w:color w:val="auto"/>
              </w:rPr>
            </w:pPr>
            <w:r>
              <w:rPr>
                <w:color w:val="auto"/>
              </w:rPr>
              <w:t>38.2</w:t>
            </w:r>
            <w:r>
              <w:rPr>
                <w:color w:val="auto"/>
              </w:rPr>
              <w:tab/>
            </w:r>
            <w:r>
              <w:rPr>
                <w:color w:val="auto"/>
              </w:rPr>
              <w:t>Além da Garantia de Execução poderá ser retido o equivalente à porcentagem indicada nos Dados do Contrato (DDC) para o valor devido de cada fatura.</w:t>
            </w:r>
          </w:p>
          <w:p w14:paraId="64121AB6">
            <w:pPr>
              <w:spacing w:before="120" w:after="120" w:line="240" w:lineRule="auto"/>
              <w:ind w:left="783" w:hanging="709"/>
              <w:jc w:val="both"/>
              <w:rPr>
                <w:color w:val="auto"/>
              </w:rPr>
            </w:pPr>
            <w:r>
              <w:rPr>
                <w:color w:val="auto"/>
              </w:rPr>
              <w:t>38.3</w:t>
            </w:r>
            <w:r>
              <w:rPr>
                <w:color w:val="auto"/>
              </w:rPr>
              <w:tab/>
            </w:r>
            <w:r>
              <w:rPr>
                <w:color w:val="auto"/>
              </w:rPr>
              <w:t>O não cumprimento do disposto nas IAC 37.2 e/ou 38.1 constituirá motivo suficiente para que seja cancelada a adjudicação que lhe foi feita, ensejando a execução da garantia de manutenção de proposta o da declaração de manutenção de proposta. Neste caso o Contratante poderá adjudicar o objeto da licitação ao concorrente que se seguir na ordem de classificação, respeitadas as condições de sua proposta, ou proceder a uma nova licitação.</w:t>
            </w:r>
          </w:p>
          <w:p w14:paraId="11D813D4">
            <w:pPr>
              <w:spacing w:before="120" w:after="120" w:line="240" w:lineRule="auto"/>
              <w:ind w:left="783" w:hanging="709"/>
              <w:jc w:val="both"/>
              <w:rPr>
                <w:color w:val="FF0000"/>
              </w:rPr>
            </w:pPr>
            <w:r>
              <w:rPr>
                <w:color w:val="auto"/>
              </w:rPr>
              <w:t>38.4</w:t>
            </w:r>
            <w:r>
              <w:rPr>
                <w:color w:val="auto"/>
              </w:rPr>
              <w:tab/>
            </w:r>
            <w:r>
              <w:rPr>
                <w:color w:val="auto"/>
              </w:rPr>
              <w:t>A exigência de garantia de execução é medida justificada e relevante que visa proteger a administração pública e os interesses da comunidade contra o risco de atrasos, inadimplência ou má qualidade na execução do contrato. Ela visa assegurar que a empresa contratada cumpra todas as obrigações contratuais, incluindo prazos e padrões de qualidade, bem como visa mitigar os riscos causados por eventual inexecução contratual, dentre outros.</w:t>
            </w:r>
          </w:p>
        </w:tc>
      </w:tr>
      <w:tr w14:paraId="2984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18A2B663">
            <w:pPr>
              <w:pStyle w:val="71"/>
            </w:pPr>
            <w:bookmarkStart w:id="91" w:name="_Toc168378677"/>
            <w:bookmarkStart w:id="92" w:name="_Toc155815783"/>
            <w:bookmarkStart w:id="93" w:name="_Toc157690460"/>
            <w:bookmarkStart w:id="94" w:name="_Toc174536384"/>
            <w:r>
              <w:t>39.</w:t>
            </w:r>
            <w:r>
              <w:tab/>
            </w:r>
            <w:r>
              <w:t>Publicação da Adjudicação</w:t>
            </w:r>
            <w:bookmarkEnd w:id="91"/>
            <w:bookmarkEnd w:id="92"/>
            <w:bookmarkEnd w:id="93"/>
            <w:bookmarkEnd w:id="94"/>
          </w:p>
        </w:tc>
        <w:tc>
          <w:tcPr>
            <w:tcW w:w="5653" w:type="dxa"/>
          </w:tcPr>
          <w:p w14:paraId="253FCF7C">
            <w:pPr>
              <w:spacing w:before="120" w:after="120" w:line="240" w:lineRule="auto"/>
              <w:ind w:left="783" w:hanging="709"/>
              <w:jc w:val="both"/>
            </w:pPr>
            <w:r>
              <w:t>39.1</w:t>
            </w:r>
            <w:r>
              <w:tab/>
            </w:r>
            <w:r>
              <w:t xml:space="preserve">O Contratante publicará o resultado da </w:t>
            </w:r>
            <w:r>
              <w:rPr>
                <w:rFonts w:hint="default"/>
                <w:lang w:val="pt-BR"/>
              </w:rPr>
              <w:t>A</w:t>
            </w:r>
            <w:r>
              <w:t xml:space="preserve">djudicação </w:t>
            </w:r>
            <w:r>
              <w:rPr>
                <w:rFonts w:hint="default"/>
                <w:lang w:val="pt-BR"/>
              </w:rPr>
              <w:t xml:space="preserve">e Homologação </w:t>
            </w:r>
            <w:r>
              <w:t xml:space="preserve">no </w:t>
            </w:r>
            <w:r>
              <w:rPr>
                <w:i/>
                <w:iCs/>
              </w:rPr>
              <w:t>site</w:t>
            </w:r>
            <w:r>
              <w:t xml:space="preserve"> indicado nos </w:t>
            </w:r>
            <w:r>
              <w:rPr>
                <w:b/>
                <w:bCs/>
              </w:rPr>
              <w:t>DDL</w:t>
            </w:r>
            <w:r>
              <w:t>.</w:t>
            </w:r>
          </w:p>
        </w:tc>
      </w:tr>
      <w:tr w14:paraId="2007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36AF1EF5">
            <w:pPr>
              <w:pStyle w:val="71"/>
            </w:pPr>
            <w:bookmarkStart w:id="95" w:name="_Toc168378678"/>
            <w:bookmarkStart w:id="96" w:name="_Toc174536385"/>
            <w:r>
              <w:t>40.</w:t>
            </w:r>
            <w:r>
              <w:tab/>
            </w:r>
            <w:r>
              <w:t>Recursos Administrativos</w:t>
            </w:r>
            <w:bookmarkEnd w:id="95"/>
            <w:bookmarkEnd w:id="96"/>
          </w:p>
        </w:tc>
        <w:tc>
          <w:tcPr>
            <w:tcW w:w="5653" w:type="dxa"/>
          </w:tcPr>
          <w:p w14:paraId="7DF1040C">
            <w:pPr>
              <w:spacing w:before="120" w:after="120" w:line="240" w:lineRule="auto"/>
              <w:ind w:left="783" w:hanging="709"/>
              <w:jc w:val="both"/>
              <w:rPr>
                <w:rFonts w:hint="default"/>
                <w:lang w:val="pt-BR"/>
              </w:rPr>
            </w:pPr>
            <w:r>
              <w:t>40.1</w:t>
            </w:r>
            <w:r>
              <w:tab/>
            </w:r>
            <w:r>
              <w:rPr>
                <w:rFonts w:hint="default"/>
              </w:rPr>
              <w:t>A interposição de recurso referente à habilitação de licitantes, ao julgamento das propostas, à anulação ou revogação da licitação, observará o disposto no art. 165 da Lei Federal n.° 14.133/2021, a Lei Municipal n.° 5.346 de 05 de junho de 2025 e o Decreto Municipal n.° 2.129, de 30 de março de 2023 alterado pelo Decreto Municipal n.° 286 de 11 de junho de 2025</w:t>
            </w:r>
            <w:r>
              <w:rPr>
                <w:rFonts w:hint="default"/>
                <w:lang w:val="pt-BR"/>
              </w:rPr>
              <w:t>.</w:t>
            </w:r>
          </w:p>
          <w:p w14:paraId="5A083E97">
            <w:pPr>
              <w:spacing w:before="120" w:after="120" w:line="240" w:lineRule="auto"/>
              <w:ind w:left="783" w:hanging="709"/>
              <w:jc w:val="both"/>
              <w:rPr>
                <w:rFonts w:hint="default"/>
                <w:lang w:val="pt-BR"/>
              </w:rPr>
            </w:pPr>
            <w:r>
              <w:rPr>
                <w:rFonts w:hint="default"/>
                <w:lang w:val="pt-BR"/>
              </w:rPr>
              <w:t>40.2</w:t>
            </w:r>
            <w:r>
              <w:rPr>
                <w:rFonts w:hint="default"/>
                <w:lang w:val="pt-BR"/>
              </w:rPr>
              <w:tab/>
            </w:r>
            <w:r>
              <w:rPr>
                <w:rFonts w:hint="default"/>
                <w:lang w:val="pt-BR"/>
              </w:rPr>
              <w:t>Tendo em vista a inversão de fases, as licitantes poderão apresentar recursos após a fase de habilitação e após a fase de julgamento das propostas, conforme Decreto n.° 286, de 11 de junho de 2025. Vejamos:</w:t>
            </w:r>
          </w:p>
          <w:p w14:paraId="1562D694">
            <w:pPr>
              <w:spacing w:before="120" w:after="120" w:line="240" w:lineRule="auto"/>
              <w:ind w:left="880" w:leftChars="0" w:firstLine="0" w:firstLineChars="0"/>
              <w:jc w:val="both"/>
              <w:rPr>
                <w:rFonts w:hint="default"/>
                <w:lang w:val="pt-BR"/>
              </w:rPr>
            </w:pPr>
            <w:r>
              <w:rPr>
                <w:rFonts w:hint="default"/>
                <w:i/>
                <w:iCs/>
                <w:lang w:val="pt-BR"/>
              </w:rPr>
              <w:t>Art. 40º-A. Nas hipóteses de processos de licitação para contratação de obras, sem prejuízo das regras gerais previstas no art. 40 deste Decreto, a fase  recursal ocorrerá em 2 (duas) etapas, observadas as seguintes disposições específicas:</w:t>
            </w:r>
          </w:p>
          <w:p w14:paraId="1510FAA0">
            <w:pPr>
              <w:spacing w:before="120" w:after="120" w:line="240" w:lineRule="auto"/>
              <w:ind w:left="1208" w:hanging="425"/>
              <w:jc w:val="both"/>
              <w:rPr>
                <w:rFonts w:hint="default"/>
                <w:bCs/>
                <w:lang w:val="pt-BR"/>
              </w:rPr>
            </w:pPr>
            <w:r>
              <w:rPr>
                <w:bCs/>
              </w:rPr>
              <w:t>(a)</w:t>
            </w:r>
            <w:r>
              <w:tab/>
            </w:r>
            <w:r>
              <w:rPr>
                <w:rFonts w:hint="default"/>
                <w:bCs/>
              </w:rPr>
              <w:t>a intenção de recorrer deverá ser manifestada imediatamente após as fases de habilitação e de julgamento, conforme o caso</w:t>
            </w:r>
            <w:r>
              <w:rPr>
                <w:rFonts w:hint="default"/>
                <w:bCs/>
                <w:lang w:val="pt-BR"/>
              </w:rPr>
              <w:t>;</w:t>
            </w:r>
          </w:p>
          <w:p w14:paraId="45924B8E">
            <w:pPr>
              <w:spacing w:before="120" w:after="120" w:line="240" w:lineRule="auto"/>
              <w:ind w:left="1208" w:hanging="425"/>
              <w:jc w:val="both"/>
              <w:rPr>
                <w:bCs/>
              </w:rPr>
            </w:pPr>
            <w:r>
              <w:rPr>
                <w:bCs/>
              </w:rPr>
              <w:t>(b)</w:t>
            </w:r>
            <w:r>
              <w:tab/>
            </w:r>
            <w:r>
              <w:rPr>
                <w:rFonts w:hint="default"/>
                <w:bCs/>
              </w:rPr>
              <w:t>a apreciação dar-se-á em 2 (duas) fases, após as fases de habilitação e de julgamento, a partir da declaração do licitante vencedor, conforme o caso</w:t>
            </w:r>
            <w:r>
              <w:rPr>
                <w:bCs/>
              </w:rPr>
              <w:t>.</w:t>
            </w:r>
          </w:p>
          <w:p w14:paraId="1C9A4CFE">
            <w:pPr>
              <w:spacing w:before="120" w:after="120" w:line="240" w:lineRule="auto"/>
              <w:ind w:left="783" w:hanging="709"/>
              <w:jc w:val="both"/>
              <w:rPr>
                <w:rFonts w:hint="default"/>
              </w:rPr>
            </w:pPr>
            <w:r>
              <w:t>40.</w:t>
            </w:r>
            <w:r>
              <w:rPr>
                <w:rFonts w:hint="default"/>
                <w:lang w:val="pt-BR"/>
              </w:rPr>
              <w:t>3</w:t>
            </w:r>
            <w:r>
              <w:tab/>
            </w:r>
            <w:r>
              <w:rPr>
                <w:rFonts w:hint="default"/>
              </w:rPr>
              <w:t>Os recursos deverão ser encaminhados em campo próprio do sistema, por meio da plataforma eleletrônica https://bllcompras.com/Home/Login.</w:t>
            </w:r>
          </w:p>
          <w:p w14:paraId="10CBF90B">
            <w:pPr>
              <w:spacing w:before="120" w:after="120" w:line="240" w:lineRule="auto"/>
              <w:ind w:left="783" w:hanging="709"/>
              <w:jc w:val="both"/>
              <w:rPr>
                <w:rFonts w:hint="default"/>
              </w:rPr>
            </w:pPr>
            <w:r>
              <w:rPr>
                <w:rFonts w:hint="default"/>
              </w:rPr>
              <w:t>40.</w:t>
            </w:r>
            <w:r>
              <w:rPr>
                <w:rFonts w:hint="default"/>
                <w:lang w:val="pt-BR"/>
              </w:rPr>
              <w:t>4</w:t>
            </w:r>
            <w:r>
              <w:rPr>
                <w:rFonts w:hint="default"/>
              </w:rPr>
              <w:tab/>
            </w:r>
            <w:r>
              <w:rPr>
                <w:rFonts w:hint="default"/>
              </w:rPr>
              <w:t>Não serão aceitos recursos interpostos por qualquer outro meio eletrônico (Exceto a Fase de Habilitação).</w:t>
            </w:r>
          </w:p>
          <w:p w14:paraId="4589EF3C">
            <w:pPr>
              <w:spacing w:before="120" w:after="120" w:line="240" w:lineRule="auto"/>
              <w:ind w:left="783" w:hanging="709"/>
              <w:jc w:val="both"/>
              <w:rPr>
                <w:rFonts w:hint="default"/>
                <w:lang w:val="pt-BR"/>
              </w:rPr>
            </w:pPr>
            <w:r>
              <w:rPr>
                <w:rFonts w:hint="default"/>
              </w:rPr>
              <w:t>40.</w:t>
            </w:r>
            <w:r>
              <w:rPr>
                <w:rFonts w:hint="default"/>
                <w:lang w:val="pt-BR"/>
              </w:rPr>
              <w:t>5</w:t>
            </w:r>
            <w:r>
              <w:rPr>
                <w:rFonts w:hint="default"/>
              </w:rPr>
              <w:tab/>
            </w:r>
            <w:r>
              <w:rPr>
                <w:rFonts w:hint="default"/>
              </w:rPr>
              <w:t>Será assegurado a licitante vista dos elementos indispensáveis à defesa de seus interesses</w:t>
            </w:r>
            <w:r>
              <w:rPr>
                <w:rFonts w:hint="default"/>
                <w:lang w:val="pt-BR"/>
              </w:rPr>
              <w:t>.</w:t>
            </w:r>
          </w:p>
          <w:p w14:paraId="5298B636">
            <w:pPr>
              <w:spacing w:before="120" w:after="120" w:line="240" w:lineRule="auto"/>
              <w:ind w:left="783" w:hanging="709"/>
              <w:jc w:val="both"/>
              <w:rPr>
                <w:rFonts w:hint="default"/>
                <w:lang w:val="pt-BR"/>
              </w:rPr>
            </w:pPr>
            <w:r>
              <w:rPr>
                <w:rFonts w:hint="default"/>
                <w:lang w:val="pt-BR"/>
              </w:rPr>
              <w:t>40.6</w:t>
            </w:r>
            <w:r>
              <w:rPr>
                <w:rFonts w:hint="default"/>
                <w:lang w:val="pt-BR"/>
              </w:rPr>
              <w:tab/>
            </w:r>
            <w:r>
              <w:rPr>
                <w:rFonts w:hint="default"/>
                <w:lang w:val="pt-BR"/>
              </w:rPr>
              <w:t>O acolhimento do recurso importará na invalidação apenas dos atos que não possam ser aproveitados</w:t>
            </w:r>
          </w:p>
          <w:p w14:paraId="7F1BAE6D">
            <w:pPr>
              <w:spacing w:before="120" w:after="120" w:line="240" w:lineRule="auto"/>
              <w:ind w:left="783" w:hanging="709"/>
              <w:jc w:val="both"/>
              <w:rPr>
                <w:rFonts w:hint="default"/>
                <w:lang w:val="pt-BR"/>
              </w:rPr>
            </w:pPr>
            <w:r>
              <w:rPr>
                <w:rFonts w:hint="default"/>
                <w:lang w:val="pt-BR"/>
              </w:rPr>
              <w:t>40.7</w:t>
            </w:r>
            <w:r>
              <w:rPr>
                <w:rFonts w:hint="default"/>
                <w:lang w:val="pt-BR"/>
              </w:rPr>
              <w:tab/>
            </w:r>
            <w:r>
              <w:rPr>
                <w:rFonts w:hint="default"/>
                <w:lang w:val="pt-BR"/>
              </w:rPr>
              <w:t>Os recursos interpostos fora do prazo não serão conhecidos.</w:t>
            </w:r>
          </w:p>
          <w:p w14:paraId="3078ED2E">
            <w:pPr>
              <w:spacing w:before="120" w:after="120" w:line="240" w:lineRule="auto"/>
              <w:ind w:left="783" w:hanging="709"/>
              <w:jc w:val="both"/>
              <w:rPr>
                <w:rFonts w:hint="default"/>
                <w:lang w:val="pt-BR"/>
              </w:rPr>
            </w:pPr>
            <w:r>
              <w:rPr>
                <w:rFonts w:hint="default"/>
                <w:lang w:val="pt-BR"/>
              </w:rPr>
              <w:t>40.8</w:t>
            </w:r>
            <w:r>
              <w:rPr>
                <w:rFonts w:hint="default"/>
                <w:lang w:val="pt-BR"/>
              </w:rPr>
              <w:tab/>
            </w:r>
            <w:r>
              <w:rPr>
                <w:rFonts w:hint="default"/>
                <w:lang w:val="pt-BR"/>
              </w:rPr>
              <w:t>O recurso e o pedido de reconsideração terão efeito suspensivo do ato ou da decisão recorrida até que sobrevenha decisão final da autoridade competente. (art. 168 da Lei Federal n.° 14.133/2021)</w:t>
            </w:r>
          </w:p>
          <w:p w14:paraId="65C4ECBB">
            <w:pPr>
              <w:spacing w:before="120" w:after="120" w:line="240" w:lineRule="auto"/>
              <w:ind w:left="783" w:hanging="709"/>
              <w:jc w:val="both"/>
              <w:rPr>
                <w:rFonts w:hint="default"/>
                <w:lang w:val="pt-BR"/>
              </w:rPr>
            </w:pPr>
            <w:r>
              <w:rPr>
                <w:rFonts w:hint="default"/>
                <w:lang w:val="pt-BR"/>
              </w:rPr>
              <w:t>40.9</w:t>
            </w:r>
            <w:r>
              <w:rPr>
                <w:rFonts w:hint="default"/>
                <w:lang w:val="pt-BR"/>
              </w:rPr>
              <w:tab/>
            </w:r>
            <w:r>
              <w:rPr>
                <w:rFonts w:hint="default"/>
                <w:lang w:val="pt-BR"/>
              </w:rPr>
              <w:t>Havendo controvérsia de matéria essencialmente jurídica, a autoridade competente poderá requerer parecer jurídico da Procuradoria-Geral do Município. (parágrafo único, art. 168 da Lei Federal n.° 14.133/2021)</w:t>
            </w:r>
          </w:p>
        </w:tc>
      </w:tr>
      <w:tr w14:paraId="4F93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14FD4BA3">
            <w:pPr>
              <w:pStyle w:val="69"/>
            </w:pPr>
            <w:bookmarkStart w:id="97" w:name="_Toc174536386"/>
            <w:r>
              <w:t>G – PRÁTICAS PROIBIDAS</w:t>
            </w:r>
            <w:bookmarkEnd w:id="97"/>
          </w:p>
        </w:tc>
      </w:tr>
      <w:tr w14:paraId="0D50F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2CCAB60F">
            <w:pPr>
              <w:pStyle w:val="71"/>
            </w:pPr>
            <w:bookmarkStart w:id="98" w:name="_Toc174536387"/>
            <w:bookmarkStart w:id="99" w:name="_Toc155815786"/>
            <w:bookmarkStart w:id="100" w:name="_Toc157690463"/>
            <w:bookmarkStart w:id="101" w:name="_Toc168378680"/>
            <w:r>
              <w:t>41.</w:t>
            </w:r>
            <w:r>
              <w:tab/>
            </w:r>
            <w:r>
              <w:t>Práticas Proibidas</w:t>
            </w:r>
            <w:bookmarkEnd w:id="98"/>
            <w:bookmarkEnd w:id="99"/>
            <w:bookmarkEnd w:id="100"/>
            <w:bookmarkEnd w:id="101"/>
          </w:p>
        </w:tc>
        <w:tc>
          <w:tcPr>
            <w:tcW w:w="5653" w:type="dxa"/>
          </w:tcPr>
          <w:p w14:paraId="4246DAAA">
            <w:pPr>
              <w:spacing w:before="120" w:after="120" w:line="240" w:lineRule="auto"/>
              <w:ind w:left="783" w:hanging="709"/>
              <w:jc w:val="both"/>
            </w:pPr>
            <w:r>
              <w:t>41.1</w:t>
            </w:r>
            <w:r>
              <w:tab/>
            </w:r>
            <w:r>
              <w:t>O FONPLATA exigirá dos Contratantes, contratados e de toda pessoa que participar da preparação, execução e avaliação de projetos financiados com seus recursos, os mais altos níveis éticos e a denúncia de qualquer ato suspeito de constituir uma prática proibida da qual tenham conhecimento.</w:t>
            </w:r>
          </w:p>
          <w:p w14:paraId="16E8BE68">
            <w:pPr>
              <w:spacing w:before="120" w:after="120" w:line="240" w:lineRule="auto"/>
              <w:ind w:left="460" w:hanging="460"/>
              <w:jc w:val="both"/>
              <w:rPr>
                <w:b/>
                <w:bCs/>
                <w:iCs/>
              </w:rPr>
            </w:pPr>
            <w:r>
              <w:rPr>
                <w:b/>
                <w:bCs/>
                <w:iCs/>
              </w:rPr>
              <w:t>Lista não taxativa das Práticas Proibidas</w:t>
            </w:r>
          </w:p>
          <w:p w14:paraId="6C8EEB96">
            <w:pPr>
              <w:spacing w:before="120" w:after="120" w:line="240" w:lineRule="auto"/>
              <w:ind w:left="1208" w:hanging="425"/>
              <w:jc w:val="both"/>
            </w:pPr>
            <w:r>
              <w:rPr>
                <w:bCs/>
              </w:rPr>
              <w:t>(a)</w:t>
            </w:r>
            <w:r>
              <w:tab/>
            </w:r>
            <w:r>
              <w:rPr>
                <w:bCs/>
              </w:rPr>
              <w:t xml:space="preserve">Ações </w:t>
            </w:r>
            <w:r>
              <w:t>corruptas: oferecer, dar, receber ou solicitar, direta ou indiretamente, qualquer coisa de valor para influenciar as ações de outra parte;</w:t>
            </w:r>
          </w:p>
          <w:p w14:paraId="2187CA5C">
            <w:pPr>
              <w:spacing w:before="120" w:after="120" w:line="240" w:lineRule="auto"/>
              <w:ind w:left="1208" w:hanging="425"/>
              <w:jc w:val="both"/>
            </w:pPr>
            <w:r>
              <w:t>(b)</w:t>
            </w:r>
            <w:r>
              <w:tab/>
            </w:r>
            <w:r>
              <w:t>Práticas fraudulentas: qualquer ato ou omissão, incluindo a desvirtuação de fatos e circunstâncias que enganem ou tentem enganar alguma parte para obter qualquer benefício financeiro ou de outra natureza, ou para evadir uma obrigação;</w:t>
            </w:r>
          </w:p>
          <w:p w14:paraId="364B3F54">
            <w:pPr>
              <w:spacing w:before="120" w:after="120" w:line="240" w:lineRule="auto"/>
              <w:ind w:left="1208" w:hanging="425"/>
              <w:jc w:val="both"/>
              <w:rPr>
                <w:bCs/>
              </w:rPr>
            </w:pPr>
            <w:r>
              <w:t>(c)</w:t>
            </w:r>
            <w:r>
              <w:tab/>
            </w:r>
            <w:r>
              <w:t>Práticas</w:t>
            </w:r>
            <w:r>
              <w:rPr>
                <w:bCs/>
              </w:rPr>
              <w:t xml:space="preserve"> coercitivas: prejudicar ou causar danos, ou ameaçar prejudicar ou causar danos, direta ou indiretamente, a qualquer parte ou a seus bens para influenciar as ações de uma parte;</w:t>
            </w:r>
          </w:p>
          <w:p w14:paraId="4958C6E3">
            <w:pPr>
              <w:spacing w:before="120" w:after="120" w:line="240" w:lineRule="auto"/>
              <w:ind w:left="1208" w:hanging="425"/>
              <w:jc w:val="both"/>
              <w:rPr>
                <w:bCs/>
              </w:rPr>
            </w:pPr>
            <w:r>
              <w:rPr>
                <w:bCs/>
              </w:rPr>
              <w:t>(d)</w:t>
            </w:r>
            <w:r>
              <w:tab/>
            </w:r>
            <w:r>
              <w:rPr>
                <w:bCs/>
              </w:rPr>
              <w:t>Práticas colusivas: estabelecer acordos entre duas ou mais partes com vistas a atingir um objetivo inapropriado, incluindo influenciar de forma inapropriada as ações de outra parte;</w:t>
            </w:r>
          </w:p>
          <w:p w14:paraId="2DDD618E">
            <w:pPr>
              <w:spacing w:before="120" w:after="120" w:line="240" w:lineRule="auto"/>
              <w:ind w:left="1208" w:hanging="425"/>
              <w:jc w:val="both"/>
              <w:rPr>
                <w:bCs/>
              </w:rPr>
            </w:pPr>
            <w:r>
              <w:rPr>
                <w:bCs/>
              </w:rPr>
              <w:t>(e)</w:t>
            </w:r>
            <w:r>
              <w:tab/>
            </w:r>
            <w:r>
              <w:rPr>
                <w:bCs/>
              </w:rPr>
              <w:t>Práticas obstrutivas:</w:t>
            </w:r>
          </w:p>
          <w:p w14:paraId="4A85F80F">
            <w:pPr>
              <w:spacing w:before="120" w:after="120" w:line="240" w:lineRule="auto"/>
              <w:ind w:left="1760" w:leftChars="0" w:hanging="460" w:firstLineChars="0"/>
              <w:jc w:val="both"/>
            </w:pPr>
            <w:r>
              <w:t>(i)</w:t>
            </w:r>
            <w:r>
              <w:tab/>
            </w:r>
            <w:r>
              <w:t xml:space="preserve">destruir, falsificar, alterar ou ocultar deliberadamente evidência significativa para a investigação, ou fazer declarações falsas perante os investigadores para impedir materialmente uma investigação sobre denúncias de uma prática corrupta, fraudulenta, coercitiva ou colusiva e/ou ameaçar, assediar ou intimidar qualquer parte para impedir que divulgue seu conhecimento de assuntos que são importantes para a investigação ou para sua prossecução; ou </w:t>
            </w:r>
          </w:p>
          <w:p w14:paraId="7857CE42">
            <w:pPr>
              <w:spacing w:before="120" w:after="120" w:line="240" w:lineRule="auto"/>
              <w:ind w:left="1760" w:leftChars="0" w:hanging="460" w:firstLineChars="0"/>
              <w:jc w:val="both"/>
            </w:pPr>
            <w:r>
              <w:t xml:space="preserve">(ii) </w:t>
            </w:r>
            <w:r>
              <w:tab/>
            </w:r>
            <w:r>
              <w:t>todo ato voltado para impedir materialmente o exercício de inspeção do FONPLATA e os direitos de auditoria; e</w:t>
            </w:r>
          </w:p>
          <w:p w14:paraId="0C26BE0F">
            <w:pPr>
              <w:spacing w:before="120" w:after="120" w:line="240" w:lineRule="auto"/>
              <w:ind w:left="1027" w:hanging="425"/>
              <w:jc w:val="both"/>
            </w:pPr>
            <w:r>
              <w:t>(f)</w:t>
            </w:r>
            <w:r>
              <w:tab/>
            </w:r>
            <w:r>
              <w:t>Crimes graves: incluindo a lavagem de ativos e o financiamento do terrorismo.</w:t>
            </w:r>
          </w:p>
        </w:tc>
      </w:tr>
      <w:tr w14:paraId="0329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7018780F">
            <w:pPr>
              <w:pStyle w:val="69"/>
            </w:pPr>
            <w:bookmarkStart w:id="102" w:name="_Toc174536388"/>
            <w:r>
              <w:t>H - LEGISLAÇÃO APLICÁVEL</w:t>
            </w:r>
            <w:bookmarkEnd w:id="102"/>
          </w:p>
        </w:tc>
      </w:tr>
      <w:tr w14:paraId="07DE3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3" w:type="dxa"/>
          </w:tcPr>
          <w:p w14:paraId="44994CA8">
            <w:pPr>
              <w:pStyle w:val="71"/>
              <w:rPr>
                <w:b w:val="0"/>
                <w:bCs w:val="0"/>
              </w:rPr>
            </w:pPr>
            <w:bookmarkStart w:id="103" w:name="_Toc155815788"/>
            <w:bookmarkStart w:id="104" w:name="_Toc174536389"/>
            <w:bookmarkStart w:id="105" w:name="_Toc157690465"/>
            <w:r>
              <w:t>42.</w:t>
            </w:r>
            <w:r>
              <w:tab/>
            </w:r>
            <w:r>
              <w:t>Legislação Aplicável</w:t>
            </w:r>
            <w:bookmarkEnd w:id="103"/>
            <w:bookmarkEnd w:id="104"/>
            <w:bookmarkEnd w:id="105"/>
          </w:p>
        </w:tc>
        <w:tc>
          <w:tcPr>
            <w:tcW w:w="5653" w:type="dxa"/>
          </w:tcPr>
          <w:p w14:paraId="42712D9D">
            <w:pPr>
              <w:spacing w:before="120" w:after="120" w:line="240" w:lineRule="auto"/>
              <w:ind w:left="783" w:hanging="709"/>
              <w:jc w:val="both"/>
            </w:pPr>
            <w:r>
              <w:t>42.1</w:t>
            </w:r>
            <w:r>
              <w:tab/>
            </w:r>
            <w:r>
              <w:t>Na presente licitação aplica-se subsidiariamente a Lei n.º 14.133/21 nos casos não previstos na Política para Aquisição de Bens, Obras e Serviços em Operações Financiadas pelo FONPLATA (R.D. 1394/2017) e/ou no edital padrão fornecido pelo FONPLATA.</w:t>
            </w:r>
            <w:r>
              <w:rPr>
                <w:rFonts w:hint="default"/>
                <w:lang w:val="pt-BR"/>
              </w:rPr>
              <w:t xml:space="preserve"> </w:t>
            </w:r>
            <w:r>
              <w:rPr>
                <w:rFonts w:hint="default"/>
              </w:rPr>
              <w:t>Lei Federal n.° 14.133, de 1º de abril de 2021; Decreto Municipal n.° 2.129 de 30 de março de 2023; Lei Complementar n.° 123, de 14 de dezembro de 2006, alterada pela Lei Complementar n.° 147 de 07 de agosto de 2014; Lei Complementar Municipal n.° 331, de 3 de julho de 2017, alterada pela Lei Complementar Municipal n.° 341, de 19 de março de 2018</w:t>
            </w:r>
            <w:r>
              <w:t>.</w:t>
            </w:r>
          </w:p>
        </w:tc>
      </w:tr>
    </w:tbl>
    <w:p w14:paraId="013876CB"/>
    <w:p w14:paraId="6701F0A7">
      <w:pPr>
        <w:jc w:val="center"/>
        <w:rPr>
          <w:b/>
        </w:rPr>
        <w:sectPr>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pPr>
      <w:bookmarkStart w:id="106" w:name="_Toc168130210"/>
      <w:bookmarkStart w:id="107" w:name="_Toc139302145"/>
      <w:bookmarkStart w:id="108" w:name="_Hlk83731811"/>
      <w:bookmarkStart w:id="109" w:name="_Toc69970972"/>
      <w:bookmarkStart w:id="110" w:name="_Toc99021484"/>
      <w:bookmarkStart w:id="111" w:name="_Toc405799711"/>
      <w:bookmarkStart w:id="112" w:name="_Toc99023964"/>
      <w:bookmarkStart w:id="113" w:name="_Toc138424485"/>
    </w:p>
    <w:p w14:paraId="4B2D5F28">
      <w:pPr>
        <w:pStyle w:val="87"/>
      </w:pPr>
      <w:bookmarkStart w:id="114" w:name="_Toc174536837"/>
      <w:r>
        <w:t>SEÇÃO 2 – DADOS DA LICITAÇÃO (DDL)</w:t>
      </w:r>
      <w:bookmarkEnd w:id="106"/>
      <w:bookmarkEnd w:id="107"/>
      <w:bookmarkEnd w:id="108"/>
      <w:bookmarkEnd w:id="109"/>
      <w:bookmarkEnd w:id="110"/>
      <w:bookmarkEnd w:id="111"/>
      <w:bookmarkEnd w:id="112"/>
      <w:bookmarkEnd w:id="113"/>
      <w:bookmarkEnd w:id="114"/>
    </w:p>
    <w:p w14:paraId="22247E25">
      <w:pPr>
        <w:jc w:val="both"/>
      </w:pPr>
      <w:r>
        <w:t>As disposições a seguir modificam ou complementam as cláusulas correspondentes da Seção 1 – Instruções aos Concorrentes (IAC):</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7866"/>
      </w:tblGrid>
      <w:tr w14:paraId="19CA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shd w:val="clear" w:color="auto" w:fill="D8D8D8" w:themeFill="background1" w:themeFillShade="D9"/>
            <w:vAlign w:val="center"/>
          </w:tcPr>
          <w:p w14:paraId="0C6EA35B">
            <w:pPr>
              <w:spacing w:before="120" w:after="120" w:line="240" w:lineRule="auto"/>
              <w:jc w:val="center"/>
              <w:rPr>
                <w:b/>
                <w:bCs/>
              </w:rPr>
            </w:pPr>
            <w:r>
              <w:rPr>
                <w:b/>
                <w:bCs/>
              </w:rPr>
              <w:t>Cláusula das IAC</w:t>
            </w:r>
          </w:p>
        </w:tc>
        <w:tc>
          <w:tcPr>
            <w:tcW w:w="7866" w:type="dxa"/>
            <w:shd w:val="clear" w:color="auto" w:fill="D8D8D8" w:themeFill="background1" w:themeFillShade="D9"/>
            <w:vAlign w:val="center"/>
          </w:tcPr>
          <w:p w14:paraId="1F39D21B">
            <w:pPr>
              <w:spacing w:before="120" w:after="120" w:line="240" w:lineRule="auto"/>
              <w:jc w:val="center"/>
              <w:rPr>
                <w:b/>
                <w:bCs/>
              </w:rPr>
            </w:pPr>
            <w:r>
              <w:rPr>
                <w:b/>
                <w:bCs/>
              </w:rPr>
              <w:t>Complemento ou Modificação</w:t>
            </w:r>
          </w:p>
        </w:tc>
      </w:tr>
      <w:tr w14:paraId="537F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F1F1F1" w:themeFill="background1" w:themeFillShade="F2"/>
          </w:tcPr>
          <w:p w14:paraId="453DBC1C">
            <w:pPr>
              <w:spacing w:before="120" w:after="120" w:line="240" w:lineRule="auto"/>
              <w:jc w:val="center"/>
              <w:rPr>
                <w:b/>
                <w:bCs/>
              </w:rPr>
            </w:pPr>
            <w:r>
              <w:rPr>
                <w:b/>
                <w:bCs/>
              </w:rPr>
              <w:t>A – GERAL</w:t>
            </w:r>
          </w:p>
        </w:tc>
      </w:tr>
      <w:tr w14:paraId="46423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48F8692E">
            <w:pPr>
              <w:spacing w:before="120" w:after="120" w:line="240" w:lineRule="auto"/>
              <w:jc w:val="both"/>
            </w:pPr>
            <w:r>
              <w:t>1.1</w:t>
            </w:r>
          </w:p>
        </w:tc>
        <w:tc>
          <w:tcPr>
            <w:tcW w:w="7866" w:type="dxa"/>
          </w:tcPr>
          <w:p w14:paraId="75EE5E9F">
            <w:pPr>
              <w:spacing w:before="120" w:after="120" w:line="240" w:lineRule="auto"/>
              <w:jc w:val="both"/>
              <w:rPr>
                <w:b/>
                <w:bCs/>
                <w:iCs/>
                <w:color w:val="auto"/>
              </w:rPr>
            </w:pPr>
            <w:r>
              <w:rPr>
                <w:b/>
                <w:bCs/>
                <w:iCs/>
                <w:color w:val="auto"/>
              </w:rPr>
              <w:t>Escopo da Licitação</w:t>
            </w:r>
          </w:p>
          <w:p w14:paraId="6CF8FAF1">
            <w:pPr>
              <w:spacing w:before="120" w:after="120" w:line="240" w:lineRule="auto"/>
              <w:rPr>
                <w:rFonts w:cs="Times New Roman"/>
                <w:bCs/>
                <w:iCs/>
                <w:color w:val="auto"/>
              </w:rPr>
            </w:pPr>
            <w:r>
              <w:rPr>
                <w:color w:val="auto"/>
              </w:rPr>
              <w:t xml:space="preserve">Contratante: </w:t>
            </w:r>
            <w:r>
              <w:rPr>
                <w:iCs/>
                <w:color w:val="auto"/>
              </w:rPr>
              <w:t xml:space="preserve">Prefeitura </w:t>
            </w:r>
            <w:r>
              <w:rPr>
                <w:color w:val="auto"/>
              </w:rPr>
              <w:t>Municipal de Dourados - MS</w:t>
            </w:r>
            <w:r>
              <w:rPr>
                <w:rFonts w:cs="Times New Roman"/>
                <w:bCs/>
                <w:iCs/>
                <w:color w:val="auto"/>
              </w:rPr>
              <w:t xml:space="preserve"> </w:t>
            </w:r>
          </w:p>
          <w:p w14:paraId="3BA680B1">
            <w:pPr>
              <w:spacing w:after="0" w:line="240" w:lineRule="auto"/>
              <w:rPr>
                <w:color w:val="auto"/>
              </w:rPr>
            </w:pPr>
            <w:r>
              <w:rPr>
                <w:color w:val="auto"/>
              </w:rPr>
              <w:t xml:space="preserve">Descrição das Obras: </w:t>
            </w:r>
            <w:r>
              <w:rPr>
                <w:rFonts w:hint="default"/>
                <w:color w:val="auto"/>
              </w:rPr>
              <w:t xml:space="preserve"> REFORMA E AMPLIAÇÃO DO CENTRO SOCIAL RURAL DO DISTRITO INDÁPOLIS, NO MUNICÍPIO DE DOURADOS/MS</w:t>
            </w:r>
            <w:r>
              <w:rPr>
                <w:color w:val="auto"/>
              </w:rPr>
              <w:t xml:space="preserve">. </w:t>
            </w:r>
          </w:p>
        </w:tc>
      </w:tr>
      <w:tr w14:paraId="741D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35C9E251">
            <w:pPr>
              <w:spacing w:before="120" w:after="120" w:line="240" w:lineRule="auto"/>
              <w:jc w:val="both"/>
              <w:rPr>
                <w:rFonts w:hint="default"/>
                <w:lang w:val="pt-BR"/>
              </w:rPr>
            </w:pPr>
            <w:r>
              <w:rPr>
                <w:rFonts w:hint="default"/>
                <w:lang w:val="pt-BR"/>
              </w:rPr>
              <w:t>1</w:t>
            </w:r>
            <w:r>
              <w:t>.</w:t>
            </w:r>
            <w:r>
              <w:rPr>
                <w:rFonts w:hint="default"/>
                <w:lang w:val="pt-BR"/>
              </w:rPr>
              <w:t>2</w:t>
            </w:r>
          </w:p>
          <w:p w14:paraId="7A133553">
            <w:pPr>
              <w:spacing w:before="120" w:after="120" w:line="240" w:lineRule="auto"/>
              <w:jc w:val="both"/>
              <w:rPr>
                <w:rFonts w:hint="default"/>
                <w:lang w:val="pt-BR"/>
              </w:rPr>
            </w:pPr>
            <w:r>
              <w:rPr>
                <w:rFonts w:hint="default"/>
                <w:lang w:val="pt-BR"/>
              </w:rPr>
              <w:t>1</w:t>
            </w:r>
            <w:r>
              <w:t>.</w:t>
            </w:r>
            <w:r>
              <w:rPr>
                <w:rFonts w:hint="default"/>
                <w:lang w:val="pt-BR"/>
              </w:rPr>
              <w:t>3</w:t>
            </w:r>
          </w:p>
        </w:tc>
        <w:tc>
          <w:tcPr>
            <w:tcW w:w="7866" w:type="dxa"/>
          </w:tcPr>
          <w:p w14:paraId="08DD05A1">
            <w:pPr>
              <w:spacing w:before="120" w:after="120" w:line="240" w:lineRule="auto"/>
              <w:jc w:val="both"/>
              <w:rPr>
                <w:b/>
                <w:bCs/>
                <w:iCs/>
                <w:color w:val="auto"/>
              </w:rPr>
            </w:pPr>
            <w:r>
              <w:rPr>
                <w:b/>
                <w:bCs/>
                <w:iCs/>
                <w:color w:val="auto"/>
              </w:rPr>
              <w:t>Prazo de Execução dos Projetos e das Obras e Vigência do Contrato</w:t>
            </w:r>
          </w:p>
          <w:p w14:paraId="4FB47137">
            <w:pPr>
              <w:spacing w:after="0" w:line="240" w:lineRule="auto"/>
              <w:jc w:val="both"/>
              <w:rPr>
                <w:rFonts w:hint="default"/>
                <w:color w:val="auto"/>
              </w:rPr>
            </w:pPr>
            <w:r>
              <w:rPr>
                <w:rFonts w:hint="default"/>
                <w:color w:val="auto"/>
              </w:rPr>
              <w:t xml:space="preserve">O Contratante promoverá a publicação do extrato </w:t>
            </w:r>
            <w:r>
              <w:rPr>
                <w:rFonts w:hint="default"/>
                <w:color w:val="auto"/>
                <w:lang w:val="pt-BR"/>
              </w:rPr>
              <w:t xml:space="preserve">do contrato </w:t>
            </w:r>
            <w:r>
              <w:rPr>
                <w:rFonts w:hint="default"/>
                <w:color w:val="auto"/>
              </w:rPr>
              <w:t>no Diário Oficial do Município, na forma do Decreto Municipal n.º 936/202, além da divulgação no Portal Nacional de Contratações Públicas (PNCP), nos termos do art. 94 da Lei Federal n.º 14.133/2021, às expensas da Contratada</w:t>
            </w:r>
          </w:p>
          <w:p w14:paraId="43AE094F">
            <w:pPr>
              <w:spacing w:after="0" w:line="240" w:lineRule="auto"/>
              <w:rPr>
                <w:rFonts w:hint="default"/>
                <w:color w:val="auto"/>
              </w:rPr>
            </w:pPr>
          </w:p>
          <w:p w14:paraId="30A4D6EB">
            <w:pPr>
              <w:spacing w:after="0" w:line="240" w:lineRule="auto"/>
              <w:rPr>
                <w:rFonts w:hint="default"/>
                <w:color w:val="auto"/>
              </w:rPr>
            </w:pPr>
            <w:r>
              <w:rPr>
                <w:rFonts w:hint="default"/>
                <w:color w:val="auto"/>
              </w:rPr>
              <w:t xml:space="preserve">O prazo de vigência da contratação será de </w:t>
            </w:r>
            <w:r>
              <w:rPr>
                <w:rFonts w:hint="default"/>
                <w:color w:val="auto"/>
                <w:lang w:val="pt-BR"/>
              </w:rPr>
              <w:t>09</w:t>
            </w:r>
            <w:r>
              <w:rPr>
                <w:rFonts w:hint="default"/>
                <w:color w:val="auto"/>
              </w:rPr>
              <w:t xml:space="preserve"> (</w:t>
            </w:r>
            <w:r>
              <w:rPr>
                <w:rFonts w:hint="default"/>
                <w:color w:val="auto"/>
                <w:lang w:val="pt-BR"/>
              </w:rPr>
              <w:t>nove</w:t>
            </w:r>
            <w:r>
              <w:rPr>
                <w:rFonts w:hint="default"/>
                <w:color w:val="auto"/>
              </w:rPr>
              <w:t>) meses contados da assinatura do contrato, na forma do artigo 105 da Lei Federal n.º 14.133/2021.</w:t>
            </w:r>
          </w:p>
          <w:p w14:paraId="2EECC56A">
            <w:pPr>
              <w:spacing w:after="0" w:line="240" w:lineRule="auto"/>
              <w:rPr>
                <w:rFonts w:hint="default"/>
                <w:color w:val="auto"/>
              </w:rPr>
            </w:pPr>
          </w:p>
          <w:p w14:paraId="79991F1C">
            <w:pPr>
              <w:spacing w:after="0" w:line="240" w:lineRule="auto"/>
              <w:rPr>
                <w:color w:val="auto"/>
              </w:rPr>
            </w:pPr>
            <w:r>
              <w:rPr>
                <w:rFonts w:hint="default"/>
                <w:color w:val="auto"/>
              </w:rPr>
              <w:t xml:space="preserve">O Cronograma Físico Financeiro disponibilizado pela Administração Municipal define os prazos de </w:t>
            </w:r>
            <w:r>
              <w:rPr>
                <w:rFonts w:hint="default"/>
                <w:color w:val="auto"/>
                <w:lang w:val="pt-BR"/>
              </w:rPr>
              <w:t>06</w:t>
            </w:r>
            <w:r>
              <w:rPr>
                <w:rFonts w:hint="default"/>
                <w:color w:val="auto"/>
              </w:rPr>
              <w:t xml:space="preserve"> (</w:t>
            </w:r>
            <w:r>
              <w:rPr>
                <w:rFonts w:hint="default"/>
                <w:color w:val="auto"/>
                <w:lang w:val="pt-BR"/>
              </w:rPr>
              <w:t>seis</w:t>
            </w:r>
            <w:r>
              <w:rPr>
                <w:rFonts w:hint="default"/>
                <w:color w:val="auto"/>
              </w:rPr>
              <w:t>) meses para a execução das obras e/ou serviços objeto deste contrato</w:t>
            </w:r>
            <w:r>
              <w:rPr>
                <w:rFonts w:hint="default"/>
                <w:color w:val="auto"/>
                <w:lang w:val="pt-BR"/>
              </w:rPr>
              <w:t>.</w:t>
            </w:r>
          </w:p>
          <w:p w14:paraId="0AC86C10">
            <w:pPr>
              <w:spacing w:after="0" w:line="240" w:lineRule="auto"/>
              <w:rPr>
                <w:color w:val="auto"/>
              </w:rPr>
            </w:pPr>
          </w:p>
        </w:tc>
      </w:tr>
      <w:tr w14:paraId="68C8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608F61D1">
            <w:pPr>
              <w:spacing w:before="120" w:after="120" w:line="240" w:lineRule="auto"/>
              <w:jc w:val="both"/>
              <w:rPr>
                <w:rFonts w:hint="default"/>
                <w:lang w:val="pt-BR"/>
              </w:rPr>
            </w:pPr>
            <w:r>
              <w:rPr>
                <w:rFonts w:hint="default"/>
                <w:lang w:val="pt-BR"/>
              </w:rPr>
              <w:t>1</w:t>
            </w:r>
            <w:r>
              <w:t>.</w:t>
            </w:r>
            <w:r>
              <w:rPr>
                <w:rFonts w:hint="default"/>
                <w:lang w:val="pt-BR"/>
              </w:rPr>
              <w:t>4</w:t>
            </w:r>
          </w:p>
        </w:tc>
        <w:tc>
          <w:tcPr>
            <w:tcW w:w="7866" w:type="dxa"/>
          </w:tcPr>
          <w:p w14:paraId="5836D598">
            <w:pPr>
              <w:spacing w:before="120" w:after="120" w:line="240" w:lineRule="auto"/>
              <w:jc w:val="both"/>
              <w:rPr>
                <w:b/>
                <w:bCs/>
                <w:iCs/>
              </w:rPr>
            </w:pPr>
            <w:r>
              <w:rPr>
                <w:b/>
                <w:bCs/>
                <w:iCs/>
              </w:rPr>
              <w:t>Fonte de Recursos</w:t>
            </w:r>
          </w:p>
          <w:p w14:paraId="1AF2868B">
            <w:pPr>
              <w:spacing w:before="120" w:after="120" w:line="240" w:lineRule="auto"/>
              <w:jc w:val="both"/>
            </w:pPr>
            <w:r>
              <w:t>Mutuário: Município de Dourados MS</w:t>
            </w:r>
          </w:p>
          <w:p w14:paraId="6D3D0636">
            <w:pPr>
              <w:spacing w:before="120" w:after="120" w:line="240" w:lineRule="auto"/>
              <w:jc w:val="both"/>
            </w:pPr>
            <w:r>
              <w:t>O FONPLATA significa Banco de Desenvolvimento.</w:t>
            </w:r>
          </w:p>
          <w:p w14:paraId="33EF30B1">
            <w:pPr>
              <w:spacing w:after="0" w:line="240" w:lineRule="auto"/>
            </w:pPr>
            <w:r>
              <w:t>Montante do Empréstimo: US$ 40.000.000,00 (Quarenta Milhões de Dólares Americanos).</w:t>
            </w:r>
          </w:p>
          <w:p w14:paraId="60A0EBA8">
            <w:pPr>
              <w:spacing w:after="0" w:line="240" w:lineRule="auto"/>
            </w:pPr>
            <w:r>
              <w:rPr>
                <w:bCs/>
                <w:iCs/>
              </w:rPr>
              <w:t xml:space="preserve">Projeto: </w:t>
            </w:r>
            <w:r>
              <w:t>PROGRAMA DE DESENVOLVIMENTO DE DOURADOS/MS - DESENVOLVE DOURADOS. Contrato BRA-33/2022</w:t>
            </w:r>
          </w:p>
          <w:p w14:paraId="4E00E0FE">
            <w:pPr>
              <w:spacing w:after="0" w:line="240" w:lineRule="auto"/>
            </w:pPr>
          </w:p>
          <w:p w14:paraId="75D35EA7">
            <w:pPr>
              <w:spacing w:after="0" w:line="240" w:lineRule="auto"/>
            </w:pPr>
            <w:r>
              <w:t>O Valor estimado da contratação é de</w:t>
            </w:r>
            <w:r>
              <w:rPr>
                <w:rFonts w:hint="default"/>
                <w:lang w:val="pt-BR"/>
              </w:rPr>
              <w:t xml:space="preserve"> R$</w:t>
            </w:r>
            <w:r>
              <w:rPr>
                <w:rFonts w:hint="default"/>
              </w:rPr>
              <w:t>1.536.157,26</w:t>
            </w:r>
            <w:r>
              <w:t xml:space="preserve"> (um milhão, quinhentos e </w:t>
            </w:r>
            <w:r>
              <w:rPr>
                <w:rFonts w:hint="default"/>
                <w:lang w:val="pt-BR"/>
              </w:rPr>
              <w:t>trinta seis</w:t>
            </w:r>
            <w:r>
              <w:t xml:space="preserve"> mil, setecentos e </w:t>
            </w:r>
            <w:r>
              <w:rPr>
                <w:rFonts w:hint="default"/>
                <w:lang w:val="pt-BR"/>
              </w:rPr>
              <w:t>cinquenta e sete</w:t>
            </w:r>
            <w:r>
              <w:t xml:space="preserve"> reais e </w:t>
            </w:r>
            <w:r>
              <w:rPr>
                <w:rFonts w:hint="default"/>
                <w:lang w:val="pt-BR"/>
              </w:rPr>
              <w:t xml:space="preserve">vinte e </w:t>
            </w:r>
            <w:r>
              <w:t>seis centavos)</w:t>
            </w:r>
            <w:r>
              <w:rPr>
                <w:rFonts w:hint="default"/>
                <w:lang w:val="pt-BR"/>
              </w:rPr>
              <w:t>.</w:t>
            </w:r>
          </w:p>
        </w:tc>
      </w:tr>
      <w:tr w14:paraId="46F5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54447BA9">
            <w:pPr>
              <w:spacing w:before="120" w:after="120" w:line="240" w:lineRule="auto"/>
              <w:jc w:val="both"/>
              <w:rPr>
                <w:rFonts w:hint="default"/>
                <w:lang w:val="pt-BR"/>
              </w:rPr>
            </w:pPr>
            <w:r>
              <w:rPr>
                <w:rFonts w:hint="default"/>
                <w:lang w:val="pt-BR"/>
              </w:rPr>
              <w:t>4</w:t>
            </w:r>
            <w:r>
              <w:t>.</w:t>
            </w:r>
            <w:r>
              <w:rPr>
                <w:rFonts w:hint="default"/>
                <w:lang w:val="pt-BR"/>
              </w:rPr>
              <w:t>5</w:t>
            </w:r>
          </w:p>
        </w:tc>
        <w:tc>
          <w:tcPr>
            <w:tcW w:w="7866" w:type="dxa"/>
          </w:tcPr>
          <w:p w14:paraId="17813DBF">
            <w:pPr>
              <w:spacing w:before="120" w:after="120" w:line="240" w:lineRule="auto"/>
              <w:jc w:val="both"/>
              <w:rPr>
                <w:b/>
                <w:bCs/>
                <w:iCs/>
              </w:rPr>
            </w:pPr>
            <w:r>
              <w:rPr>
                <w:rFonts w:hint="default"/>
                <w:b/>
                <w:bCs/>
                <w:iCs/>
              </w:rPr>
              <w:t>Elegibilidade</w:t>
            </w:r>
          </w:p>
          <w:p w14:paraId="15769BFD">
            <w:pPr>
              <w:spacing w:before="120" w:after="120" w:line="240" w:lineRule="auto"/>
              <w:jc w:val="both"/>
              <w:rPr>
                <w:b/>
                <w:bCs/>
                <w:iCs/>
              </w:rPr>
            </w:pPr>
            <w:r>
              <w:rPr>
                <w:b/>
                <w:bCs/>
                <w:iCs/>
              </w:rPr>
              <w:t>Concorrentes Elegíveis</w:t>
            </w:r>
          </w:p>
          <w:p w14:paraId="00D5ADC4">
            <w:pPr>
              <w:widowControl w:val="0"/>
              <w:spacing w:before="120" w:after="120" w:line="240" w:lineRule="auto"/>
              <w:jc w:val="both"/>
              <w:rPr>
                <w:rFonts w:eastAsia="SimSun" w:cs="Times New Roman"/>
                <w:color w:val="000000"/>
                <w:kern w:val="0"/>
                <w:sz w:val="18"/>
                <w:szCs w:val="18"/>
                <w:lang w:eastAsia="es-BO"/>
              </w:rPr>
            </w:pPr>
            <w:r>
              <w:rPr>
                <w:rFonts w:eastAsia="SimSun" w:cs="Times New Roman"/>
                <w:color w:val="000000"/>
                <w:kern w:val="0"/>
                <w:sz w:val="18"/>
                <w:szCs w:val="18"/>
                <w:lang w:eastAsia="es-BO"/>
              </w:rPr>
              <w:t>Cadastros e sites:</w:t>
            </w:r>
          </w:p>
          <w:p w14:paraId="00D5ADC5">
            <w:pPr>
              <w:widowControl/>
              <w:numPr>
                <w:ilvl w:val="0"/>
                <w:numId w:val="11"/>
              </w:numPr>
              <w:spacing w:before="120" w:after="120" w:line="240" w:lineRule="auto"/>
              <w:ind w:left="254" w:hanging="254"/>
              <w:contextualSpacing w:val="0"/>
              <w:jc w:val="both"/>
              <w:rPr>
                <w:rFonts w:ascii="Times New Roman" w:hAnsi="Times New Roman" w:eastAsia="SimSun" w:cs="Times New Roman"/>
                <w:color w:val="000000"/>
                <w:sz w:val="18"/>
                <w:szCs w:val="18"/>
                <w:lang w:val="pt-BR" w:eastAsia="es-BO" w:bidi="ar-SA"/>
              </w:rPr>
            </w:pPr>
            <w:r>
              <w:rPr>
                <w:rFonts w:ascii="Times New Roman" w:hAnsi="Times New Roman" w:eastAsia="SimSun" w:cs="Times New Roman"/>
                <w:color w:val="000000"/>
                <w:sz w:val="18"/>
                <w:szCs w:val="18"/>
                <w:lang w:val="pt-BR" w:eastAsia="es-BO" w:bidi="ar-SA"/>
              </w:rPr>
              <w:t>Cadastro Nacional de Empresas Inidôneas e Suspensas – CEIS e o e o Cadastro Nacional de Empresas Punidas – CNEP (www.portaldatransparencia.gov.br/)</w:t>
            </w:r>
          </w:p>
          <w:p w14:paraId="00D5ADC6">
            <w:pPr>
              <w:widowControl/>
              <w:numPr>
                <w:ilvl w:val="0"/>
                <w:numId w:val="11"/>
              </w:numPr>
              <w:spacing w:before="120" w:after="120" w:line="240" w:lineRule="auto"/>
              <w:ind w:left="254" w:hanging="254"/>
              <w:contextualSpacing w:val="0"/>
              <w:jc w:val="both"/>
              <w:rPr>
                <w:rFonts w:ascii="Times New Roman" w:hAnsi="Times New Roman" w:eastAsia="SimSun" w:cs="Times New Roman"/>
                <w:color w:val="000000"/>
                <w:sz w:val="18"/>
                <w:szCs w:val="18"/>
                <w:lang w:val="pt-BR" w:eastAsia="es-BO" w:bidi="ar-SA"/>
              </w:rPr>
            </w:pPr>
            <w:r>
              <w:rPr>
                <w:rFonts w:ascii="Times New Roman" w:hAnsi="Times New Roman" w:eastAsia="SimSun" w:cs="Times New Roman"/>
                <w:color w:val="000000"/>
                <w:sz w:val="18"/>
                <w:szCs w:val="18"/>
                <w:lang w:val="pt-BR" w:eastAsia="es-BO" w:bidi="ar-SA"/>
              </w:rPr>
              <w:t>Cadastro Nacional de Condenações Cíveis por Atos de Improbidade Administrativa, mantido pelo Conselho Nacional de Justiça (www.cnj.jus.br/improbidade_adm/consultar_requerido.php)</w:t>
            </w:r>
          </w:p>
          <w:p w14:paraId="30D592B5">
            <w:pPr>
              <w:widowControl/>
              <w:numPr>
                <w:ilvl w:val="0"/>
                <w:numId w:val="11"/>
              </w:numPr>
              <w:spacing w:before="120" w:after="120" w:line="240" w:lineRule="auto"/>
              <w:ind w:left="254" w:hanging="254"/>
              <w:contextualSpacing w:val="0"/>
              <w:jc w:val="both"/>
              <w:rPr>
                <w:rFonts w:ascii="Times New Roman" w:hAnsi="Times New Roman" w:eastAsia="SimSun" w:cs="Times New Roman"/>
                <w:color w:val="000000"/>
                <w:sz w:val="18"/>
                <w:szCs w:val="18"/>
                <w:lang w:val="pt-BR" w:eastAsia="es-BO" w:bidi="ar-SA"/>
              </w:rPr>
            </w:pPr>
            <w:r>
              <w:rPr>
                <w:rFonts w:ascii="Times New Roman" w:hAnsi="Times New Roman" w:eastAsia="SimSun" w:cs="Times New Roman"/>
                <w:color w:val="000000"/>
                <w:sz w:val="18"/>
                <w:szCs w:val="18"/>
                <w:lang w:val="pt-BR" w:eastAsia="es-BO" w:bidi="ar-SA"/>
              </w:rPr>
              <w:t xml:space="preserve">Lista de Inidôneos, mantida pelo Tribunal de Contas da União – TCU </w:t>
            </w:r>
            <w:r>
              <w:rPr>
                <w:rFonts w:ascii="Times New Roman" w:hAnsi="Times New Roman" w:eastAsia="SimSun" w:cs="Times New Roman"/>
                <w:color w:val="000000"/>
                <w:sz w:val="18"/>
                <w:szCs w:val="18"/>
                <w:lang w:val="pt-BR" w:eastAsia="es-BO" w:bidi="ar-SA"/>
              </w:rPr>
              <w:fldChar w:fldCharType="begin"/>
            </w:r>
            <w:r>
              <w:rPr>
                <w:rFonts w:ascii="Times New Roman" w:hAnsi="Times New Roman" w:eastAsia="SimSun" w:cs="Times New Roman"/>
                <w:color w:val="000000"/>
                <w:sz w:val="18"/>
                <w:szCs w:val="18"/>
                <w:lang w:val="pt-BR" w:eastAsia="es-BO" w:bidi="ar-SA"/>
              </w:rPr>
              <w:instrText xml:space="preserve"> HYPERLINK "https://contas.tcu.gov.br/ords/f?p=1660:3:0." </w:instrText>
            </w:r>
            <w:r>
              <w:rPr>
                <w:rFonts w:ascii="Times New Roman" w:hAnsi="Times New Roman" w:eastAsia="SimSun" w:cs="Times New Roman"/>
                <w:color w:val="000000"/>
                <w:sz w:val="18"/>
                <w:szCs w:val="18"/>
                <w:lang w:val="pt-BR" w:eastAsia="es-BO" w:bidi="ar-SA"/>
              </w:rPr>
              <w:fldChar w:fldCharType="separate"/>
            </w:r>
            <w:r>
              <w:rPr>
                <w:rFonts w:ascii="Times New Roman" w:hAnsi="Times New Roman" w:eastAsia="SimSun" w:cs="Times New Roman"/>
                <w:color w:val="0000FF"/>
                <w:sz w:val="18"/>
                <w:szCs w:val="18"/>
                <w:u w:val="single"/>
                <w:lang w:val="pt-BR" w:eastAsia="es-BO" w:bidi="ar-SA"/>
              </w:rPr>
              <w:t>https://contas.tcu.gov.br/ords/f?p=1660:3:0.</w:t>
            </w:r>
            <w:r>
              <w:rPr>
                <w:rFonts w:ascii="Times New Roman" w:hAnsi="Times New Roman" w:eastAsia="SimSun" w:cs="Times New Roman"/>
                <w:color w:val="000000"/>
                <w:sz w:val="18"/>
                <w:szCs w:val="18"/>
                <w:lang w:val="pt-BR" w:eastAsia="es-BO" w:bidi="ar-SA"/>
              </w:rPr>
              <w:fldChar w:fldCharType="end"/>
            </w:r>
          </w:p>
          <w:p w14:paraId="485459FA">
            <w:pPr>
              <w:widowControl/>
              <w:numPr>
                <w:ilvl w:val="0"/>
                <w:numId w:val="11"/>
              </w:numPr>
              <w:spacing w:before="120" w:after="120" w:line="240" w:lineRule="auto"/>
              <w:ind w:left="254" w:hanging="254"/>
              <w:contextualSpacing w:val="0"/>
              <w:jc w:val="both"/>
              <w:rPr>
                <w:rFonts w:hint="default" w:ascii="Times New Roman" w:hAnsi="Times New Roman" w:eastAsia="SimSun" w:cs="Times New Roman"/>
                <w:b w:val="0"/>
                <w:bCs/>
                <w:color w:val="000000"/>
                <w:sz w:val="18"/>
                <w:szCs w:val="18"/>
                <w:lang w:val="pt-BR" w:eastAsia="es-BO" w:bidi="ar-SA"/>
              </w:rPr>
            </w:pPr>
            <w:r>
              <w:rPr>
                <w:rFonts w:hint="default" w:ascii="Times New Roman" w:hAnsi="Times New Roman" w:eastAsia="SimSun" w:cs="Times New Roman"/>
                <w:color w:val="000000"/>
                <w:sz w:val="18"/>
                <w:szCs w:val="18"/>
                <w:lang w:val="pt-BR" w:eastAsia="es-BO" w:bidi="ar-SA"/>
              </w:rPr>
              <w:t xml:space="preserve"> </w:t>
            </w:r>
            <w:r>
              <w:rPr>
                <w:rFonts w:hint="default" w:ascii="Times New Roman" w:hAnsi="Times New Roman" w:eastAsia="SimSun" w:cs="Times New Roman"/>
                <w:b w:val="0"/>
                <w:bCs/>
                <w:color w:val="000000"/>
                <w:sz w:val="18"/>
                <w:szCs w:val="18"/>
                <w:lang w:val="pt-BR" w:eastAsia="es-BO" w:bidi="ar-SA"/>
              </w:rPr>
              <w:t>eur-lex.europa.eu/legalcontent/ES/TXT/?uri=uriserv%3AOJ.L_.2021.043.01.0014.01.SPA</w:t>
            </w:r>
          </w:p>
          <w:p w14:paraId="6D925E81">
            <w:pPr>
              <w:widowControl/>
              <w:numPr>
                <w:ilvl w:val="0"/>
                <w:numId w:val="0"/>
              </w:numPr>
              <w:spacing w:before="120" w:after="120" w:line="240" w:lineRule="auto"/>
              <w:ind w:left="720" w:leftChars="0"/>
              <w:contextualSpacing w:val="0"/>
              <w:jc w:val="both"/>
              <w:rPr>
                <w:rFonts w:hint="default" w:ascii="Times New Roman" w:hAnsi="Times New Roman" w:eastAsia="SimSun" w:cs="Times New Roman"/>
                <w:b w:val="0"/>
                <w:bCs/>
                <w:color w:val="000000"/>
                <w:sz w:val="18"/>
                <w:szCs w:val="18"/>
                <w:lang w:val="pt-BR" w:eastAsia="es-BO" w:bidi="ar-SA"/>
              </w:rPr>
            </w:pPr>
            <w:r>
              <w:rPr>
                <w:rFonts w:hint="default" w:ascii="Times New Roman" w:hAnsi="Times New Roman" w:eastAsia="SimSun" w:cs="Times New Roman"/>
                <w:b w:val="0"/>
                <w:bCs/>
                <w:color w:val="000000"/>
                <w:sz w:val="18"/>
                <w:szCs w:val="18"/>
                <w:lang w:val="pt-BR" w:eastAsia="es-BO" w:bidi="ar-SA"/>
              </w:rPr>
              <w:t>&amp;toc=OJ%3AL%3A2021%3A043%3ATOC</w:t>
            </w:r>
          </w:p>
          <w:p w14:paraId="49008245">
            <w:pPr>
              <w:widowControl/>
              <w:numPr>
                <w:ilvl w:val="0"/>
                <w:numId w:val="11"/>
              </w:numPr>
              <w:spacing w:before="120" w:after="120" w:line="240" w:lineRule="auto"/>
              <w:ind w:left="254" w:leftChars="0" w:hanging="254" w:firstLineChars="0"/>
              <w:contextualSpacing w:val="0"/>
              <w:jc w:val="both"/>
              <w:rPr>
                <w:rFonts w:hint="default" w:ascii="Times New Roman" w:hAnsi="Times New Roman" w:eastAsia="SimSun" w:cs="Times New Roman"/>
                <w:b/>
                <w:color w:val="000000"/>
                <w:sz w:val="18"/>
                <w:szCs w:val="18"/>
                <w:lang w:val="pt-BR" w:eastAsia="es-BO" w:bidi="ar-SA"/>
              </w:rPr>
            </w:pPr>
            <w:r>
              <w:rPr>
                <w:rFonts w:hint="default" w:ascii="Times New Roman" w:hAnsi="Times New Roman" w:eastAsia="SimSun" w:cs="Times New Roman"/>
                <w:b/>
                <w:color w:val="000000"/>
                <w:sz w:val="18"/>
                <w:szCs w:val="18"/>
                <w:lang w:val="pt-BR" w:eastAsia="es-BO" w:bidi="ar-SA"/>
              </w:rPr>
              <w:fldChar w:fldCharType="begin"/>
            </w:r>
            <w:r>
              <w:rPr>
                <w:rFonts w:hint="default" w:ascii="Times New Roman" w:hAnsi="Times New Roman" w:eastAsia="SimSun" w:cs="Times New Roman"/>
                <w:b/>
                <w:color w:val="000000"/>
                <w:sz w:val="18"/>
                <w:szCs w:val="18"/>
                <w:lang w:val="pt-BR" w:eastAsia="es-BO" w:bidi="ar-SA"/>
              </w:rPr>
              <w:instrText xml:space="preserve"> HYPERLINK "https://www.iadb.org/es/quienes-somos/transparencia/sistema-de-sanciones/empresas-eindividuos-sancionados" </w:instrText>
            </w:r>
            <w:r>
              <w:rPr>
                <w:rFonts w:hint="default" w:ascii="Times New Roman" w:hAnsi="Times New Roman" w:eastAsia="SimSun" w:cs="Times New Roman"/>
                <w:b/>
                <w:color w:val="000000"/>
                <w:sz w:val="18"/>
                <w:szCs w:val="18"/>
                <w:lang w:val="pt-BR" w:eastAsia="es-BO" w:bidi="ar-SA"/>
              </w:rPr>
              <w:fldChar w:fldCharType="separate"/>
            </w:r>
            <w:r>
              <w:rPr>
                <w:rFonts w:hint="default" w:ascii="Times New Roman" w:hAnsi="Times New Roman" w:eastAsia="SimSun" w:cs="Times New Roman"/>
                <w:b/>
                <w:color w:val="0000FF"/>
                <w:sz w:val="18"/>
                <w:szCs w:val="18"/>
                <w:u w:val="single"/>
                <w:lang w:val="pt-BR" w:eastAsia="es-BO" w:bidi="ar-SA"/>
              </w:rPr>
              <w:t>https://www.iadb.org/es/quienes-somos/transparencia/sistema-de-sanciones/empresas-eindividuos-sancionados</w:t>
            </w:r>
            <w:r>
              <w:rPr>
                <w:rFonts w:hint="default" w:ascii="Times New Roman" w:hAnsi="Times New Roman" w:eastAsia="SimSun" w:cs="Times New Roman"/>
                <w:b/>
                <w:color w:val="000000"/>
                <w:sz w:val="18"/>
                <w:szCs w:val="18"/>
                <w:lang w:val="pt-BR" w:eastAsia="es-BO" w:bidi="ar-SA"/>
              </w:rPr>
              <w:fldChar w:fldCharType="end"/>
            </w:r>
          </w:p>
          <w:p w14:paraId="00D5ADCB">
            <w:pPr>
              <w:widowControl/>
              <w:numPr>
                <w:ilvl w:val="0"/>
                <w:numId w:val="11"/>
              </w:numPr>
              <w:spacing w:before="120" w:after="120" w:line="240" w:lineRule="auto"/>
              <w:ind w:left="254" w:leftChars="0" w:hanging="254" w:firstLineChars="0"/>
              <w:contextualSpacing w:val="0"/>
              <w:jc w:val="both"/>
              <w:rPr>
                <w:rFonts w:ascii="Times New Roman" w:hAnsi="Times New Roman" w:eastAsia="SimSun" w:cs="Times New Roman"/>
                <w:b/>
                <w:color w:val="000000"/>
                <w:sz w:val="18"/>
                <w:szCs w:val="18"/>
                <w:lang w:val="pt-BR" w:eastAsia="es-BO" w:bidi="ar-SA"/>
              </w:rPr>
            </w:pPr>
            <w:r>
              <w:rPr>
                <w:rFonts w:hint="default" w:ascii="Times New Roman" w:hAnsi="Times New Roman" w:eastAsia="SimSun" w:cs="Times New Roman"/>
                <w:b/>
                <w:color w:val="000000"/>
                <w:sz w:val="18"/>
                <w:szCs w:val="18"/>
                <w:lang w:val="pt-BR" w:eastAsia="es-BO" w:bidi="ar-SA"/>
              </w:rPr>
              <w:fldChar w:fldCharType="begin"/>
            </w:r>
            <w:r>
              <w:rPr>
                <w:rFonts w:hint="default" w:ascii="Times New Roman" w:hAnsi="Times New Roman" w:eastAsia="SimSun" w:cs="Times New Roman"/>
                <w:b/>
                <w:color w:val="000000"/>
                <w:sz w:val="18"/>
                <w:szCs w:val="18"/>
                <w:lang w:val="pt-BR" w:eastAsia="es-BO" w:bidi="ar-SA"/>
              </w:rPr>
              <w:instrText xml:space="preserve"> HYPERLINK "https://sanctionssearch.ofac.treas.gov" </w:instrText>
            </w:r>
            <w:r>
              <w:rPr>
                <w:rFonts w:hint="default" w:ascii="Times New Roman" w:hAnsi="Times New Roman" w:eastAsia="SimSun" w:cs="Times New Roman"/>
                <w:b/>
                <w:color w:val="000000"/>
                <w:sz w:val="18"/>
                <w:szCs w:val="18"/>
                <w:lang w:val="pt-BR" w:eastAsia="es-BO" w:bidi="ar-SA"/>
              </w:rPr>
              <w:fldChar w:fldCharType="separate"/>
            </w:r>
            <w:r>
              <w:rPr>
                <w:rFonts w:hint="default" w:ascii="Times New Roman" w:hAnsi="Times New Roman" w:eastAsia="SimSun" w:cs="Times New Roman"/>
                <w:b/>
                <w:color w:val="0000FF"/>
                <w:sz w:val="18"/>
                <w:szCs w:val="18"/>
                <w:u w:val="single"/>
                <w:lang w:val="pt-BR" w:eastAsia="es-BO" w:bidi="ar-SA"/>
              </w:rPr>
              <w:t>https://sanctionssearch.ofac.treas.gov</w:t>
            </w:r>
            <w:r>
              <w:rPr>
                <w:rFonts w:hint="default" w:ascii="Times New Roman" w:hAnsi="Times New Roman" w:eastAsia="SimSun" w:cs="Times New Roman"/>
                <w:b/>
                <w:color w:val="000000"/>
                <w:sz w:val="18"/>
                <w:szCs w:val="18"/>
                <w:lang w:val="pt-BR" w:eastAsia="es-BO" w:bidi="ar-SA"/>
              </w:rPr>
              <w:fldChar w:fldCharType="end"/>
            </w:r>
          </w:p>
          <w:p w14:paraId="4237818E">
            <w:pPr>
              <w:spacing w:before="120" w:after="120" w:line="240" w:lineRule="auto"/>
              <w:jc w:val="both"/>
            </w:pPr>
            <w:r>
              <w:rPr>
                <w:rFonts w:ascii="Times New Roman" w:hAnsi="Times New Roman" w:eastAsia="SimSun" w:cs="Times New Roman"/>
                <w:color w:val="000000"/>
                <w:sz w:val="18"/>
                <w:szCs w:val="18"/>
                <w:lang w:val="pt-BR" w:eastAsia="es-BO" w:bidi="ar-SA"/>
              </w:rPr>
              <w:t>https://scsanctions.un.org/consolidated/</w:t>
            </w:r>
          </w:p>
        </w:tc>
      </w:tr>
      <w:tr w14:paraId="7E70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F1F1F1" w:themeFill="background1" w:themeFillShade="F2"/>
          </w:tcPr>
          <w:p w14:paraId="6F4E9348">
            <w:pPr>
              <w:spacing w:before="120" w:after="120" w:line="240" w:lineRule="auto"/>
              <w:jc w:val="center"/>
              <w:rPr>
                <w:b/>
                <w:bCs/>
              </w:rPr>
            </w:pPr>
            <w:r>
              <w:rPr>
                <w:b/>
                <w:bCs/>
              </w:rPr>
              <w:t>B – EDITAL</w:t>
            </w:r>
          </w:p>
        </w:tc>
      </w:tr>
      <w:tr w14:paraId="6574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08283DC3">
            <w:pPr>
              <w:spacing w:before="120" w:after="120" w:line="240" w:lineRule="auto"/>
              <w:jc w:val="both"/>
            </w:pPr>
            <w:r>
              <w:rPr>
                <w:rFonts w:hint="default"/>
                <w:lang w:val="pt-BR"/>
              </w:rPr>
              <w:t>1</w:t>
            </w:r>
            <w:r>
              <w:t>.1</w:t>
            </w:r>
          </w:p>
        </w:tc>
        <w:tc>
          <w:tcPr>
            <w:tcW w:w="7866" w:type="dxa"/>
          </w:tcPr>
          <w:p w14:paraId="1AC47BA8">
            <w:pPr>
              <w:spacing w:before="120" w:after="120" w:line="240" w:lineRule="auto"/>
              <w:jc w:val="both"/>
              <w:rPr>
                <w:b/>
                <w:bCs/>
                <w:iCs/>
              </w:rPr>
            </w:pPr>
            <w:r>
              <w:rPr>
                <w:b/>
                <w:bCs/>
                <w:iCs/>
              </w:rPr>
              <w:t>O Edital e seus anexos estarão disponíveis em:</w:t>
            </w:r>
          </w:p>
          <w:p w14:paraId="2E11D0A4">
            <w:pPr>
              <w:pStyle w:val="49"/>
              <w:numPr>
                <w:ilvl w:val="0"/>
                <w:numId w:val="12"/>
              </w:numPr>
              <w:spacing w:before="120" w:after="120" w:line="240" w:lineRule="auto"/>
              <w:jc w:val="both"/>
              <w:rPr>
                <w:b/>
                <w:bCs/>
                <w:iCs/>
              </w:rPr>
            </w:pPr>
            <w:r>
              <w:t xml:space="preserve">no Portal Nacional de Contratações Públicas (PNCP) </w:t>
            </w:r>
            <w:r>
              <w:fldChar w:fldCharType="begin"/>
            </w:r>
            <w:r>
              <w:instrText xml:space="preserve"> HYPERLINK "https://pncp.gov.br/app/editais" </w:instrText>
            </w:r>
            <w:r>
              <w:fldChar w:fldCharType="separate"/>
            </w:r>
            <w:r>
              <w:rPr>
                <w:rStyle w:val="16"/>
              </w:rPr>
              <w:t>https://pncp.gov.br/app/editais</w:t>
            </w:r>
            <w:r>
              <w:rPr>
                <w:rStyle w:val="16"/>
              </w:rPr>
              <w:fldChar w:fldCharType="end"/>
            </w:r>
            <w:r>
              <w:t>;</w:t>
            </w:r>
          </w:p>
          <w:p w14:paraId="50991AB1">
            <w:pPr>
              <w:numPr>
                <w:ilvl w:val="0"/>
                <w:numId w:val="12"/>
              </w:numPr>
              <w:spacing w:before="120" w:after="120" w:line="240" w:lineRule="auto"/>
              <w:ind w:left="720" w:hanging="360"/>
              <w:contextualSpacing/>
              <w:jc w:val="both"/>
              <w:rPr>
                <w:rFonts w:ascii="Times New Roman" w:hAnsi="Times New Roman" w:eastAsiaTheme="minorHAnsi" w:cstheme="minorBidi"/>
                <w:b/>
                <w:bCs/>
                <w:iCs/>
                <w:kern w:val="2"/>
                <w:sz w:val="22"/>
                <w:szCs w:val="22"/>
                <w:lang w:val="pt-BR" w:eastAsia="en-US" w:bidi="ar-SA"/>
              </w:rPr>
            </w:pPr>
            <w:r>
              <w:rPr>
                <w:rFonts w:ascii="Times New Roman" w:hAnsi="Times New Roman" w:eastAsiaTheme="minorHAnsi" w:cstheme="minorBidi"/>
                <w:kern w:val="2"/>
                <w:sz w:val="22"/>
                <w:szCs w:val="22"/>
                <w:lang w:val="pt-BR" w:eastAsia="en-US" w:bidi="ar-SA"/>
              </w:rPr>
              <w:t xml:space="preserve">na plataforma eletrônica do pregão </w:t>
            </w:r>
            <w:r>
              <w:rPr>
                <w:rFonts w:ascii="Times New Roman" w:hAnsi="Times New Roman" w:eastAsiaTheme="minorHAnsi" w:cstheme="minorBidi"/>
                <w:kern w:val="2"/>
                <w:sz w:val="22"/>
                <w:szCs w:val="22"/>
                <w:lang w:val="pt-BR" w:eastAsia="en-US" w:bidi="ar-SA"/>
              </w:rPr>
              <w:fldChar w:fldCharType="begin"/>
            </w:r>
            <w:r>
              <w:rPr>
                <w:rFonts w:ascii="Times New Roman" w:hAnsi="Times New Roman" w:eastAsiaTheme="minorHAnsi" w:cstheme="minorBidi"/>
                <w:kern w:val="2"/>
                <w:sz w:val="22"/>
                <w:szCs w:val="22"/>
                <w:lang w:val="pt-BR" w:eastAsia="en-US" w:bidi="ar-SA"/>
              </w:rPr>
              <w:instrText xml:space="preserve"> HYPERLINK </w:instrText>
            </w:r>
            <w:r>
              <w:rPr>
                <w:rFonts w:ascii="Times New Roman" w:hAnsi="Times New Roman" w:eastAsiaTheme="minorHAnsi" w:cstheme="minorBidi"/>
                <w:kern w:val="2"/>
                <w:sz w:val="22"/>
                <w:szCs w:val="22"/>
                <w:lang w:val="pt-BR" w:eastAsia="en-US" w:bidi="ar-SA"/>
              </w:rPr>
              <w:fldChar w:fldCharType="separate"/>
            </w:r>
            <w:r>
              <w:rPr>
                <w:rStyle w:val="16"/>
                <w:rFonts w:ascii="Times New Roman" w:hAnsi="Times New Roman" w:eastAsiaTheme="minorHAnsi" w:cstheme="minorBidi"/>
                <w:kern w:val="2"/>
                <w:sz w:val="22"/>
                <w:szCs w:val="22"/>
                <w:lang w:val="pt-BR" w:eastAsia="en-US" w:bidi="ar-SA"/>
              </w:rPr>
              <w:t>https:// bllcompras.com</w:t>
            </w:r>
            <w:r>
              <w:rPr>
                <w:rStyle w:val="16"/>
                <w:rFonts w:ascii="Times New Roman" w:hAnsi="Times New Roman" w:eastAsiaTheme="minorHAnsi" w:cstheme="minorBidi"/>
                <w:color w:val="auto"/>
                <w:kern w:val="2"/>
                <w:sz w:val="22"/>
                <w:szCs w:val="22"/>
                <w:u w:val="none"/>
                <w:lang w:val="pt-BR" w:eastAsia="en-US" w:bidi="ar-SA"/>
              </w:rPr>
              <w:t xml:space="preserve">; </w:t>
            </w:r>
            <w:r>
              <w:rPr>
                <w:rStyle w:val="16"/>
                <w:rFonts w:ascii="Times New Roman" w:hAnsi="Times New Roman" w:eastAsiaTheme="minorHAnsi" w:cstheme="minorBidi"/>
                <w:color w:val="auto"/>
                <w:kern w:val="2"/>
                <w:sz w:val="22"/>
                <w:szCs w:val="22"/>
                <w:u w:val="none"/>
                <w:lang w:val="pt-BR" w:eastAsia="en-US" w:bidi="ar-SA"/>
              </w:rPr>
              <w:fldChar w:fldCharType="end"/>
            </w:r>
          </w:p>
          <w:p w14:paraId="15744ED5">
            <w:pPr>
              <w:pStyle w:val="49"/>
              <w:numPr>
                <w:ilvl w:val="0"/>
                <w:numId w:val="12"/>
              </w:numPr>
              <w:spacing w:before="120" w:after="120" w:line="240" w:lineRule="auto"/>
              <w:jc w:val="both"/>
              <w:rPr>
                <w:b/>
                <w:bCs/>
                <w:iCs/>
              </w:rPr>
            </w:pPr>
            <w:r>
              <w:rPr>
                <w:rFonts w:ascii="Times New Roman" w:hAnsi="Times New Roman" w:eastAsiaTheme="minorHAnsi" w:cstheme="minorBidi"/>
                <w:kern w:val="2"/>
                <w:sz w:val="22"/>
                <w:szCs w:val="22"/>
                <w:lang w:val="pt-BR" w:eastAsia="en-US" w:bidi="ar-SA"/>
              </w:rPr>
              <w:t xml:space="preserve">acesso Público; pelo Portal da Transparência do Município </w:t>
            </w:r>
            <w:r>
              <w:rPr>
                <w:rFonts w:ascii="Times New Roman" w:hAnsi="Times New Roman" w:eastAsiaTheme="minorHAnsi" w:cstheme="minorBidi"/>
                <w:kern w:val="2"/>
                <w:sz w:val="22"/>
                <w:szCs w:val="22"/>
                <w:lang w:val="pt-BR" w:eastAsia="en-US" w:bidi="ar-SA"/>
              </w:rPr>
              <w:fldChar w:fldCharType="begin"/>
            </w:r>
            <w:r>
              <w:rPr>
                <w:rFonts w:ascii="Times New Roman" w:hAnsi="Times New Roman" w:eastAsiaTheme="minorHAnsi" w:cstheme="minorBidi"/>
                <w:kern w:val="2"/>
                <w:sz w:val="22"/>
                <w:szCs w:val="22"/>
                <w:lang w:val="pt-BR" w:eastAsia="en-US" w:bidi="ar-SA"/>
              </w:rPr>
              <w:instrText xml:space="preserve"> HYPERLINK "https://cidadao.dourados.ms.gov.br/index.php?class=SemadLicitacaoPublicView" </w:instrText>
            </w:r>
            <w:r>
              <w:rPr>
                <w:rFonts w:ascii="Times New Roman" w:hAnsi="Times New Roman" w:eastAsiaTheme="minorHAnsi" w:cstheme="minorBidi"/>
                <w:kern w:val="2"/>
                <w:sz w:val="22"/>
                <w:szCs w:val="22"/>
                <w:lang w:val="pt-BR" w:eastAsia="en-US" w:bidi="ar-SA"/>
              </w:rPr>
              <w:fldChar w:fldCharType="separate"/>
            </w:r>
            <w:r>
              <w:rPr>
                <w:rStyle w:val="16"/>
                <w:rFonts w:ascii="Times New Roman" w:hAnsi="Times New Roman" w:eastAsiaTheme="minorHAnsi" w:cstheme="minorBidi"/>
                <w:kern w:val="2"/>
                <w:sz w:val="22"/>
                <w:szCs w:val="22"/>
                <w:lang w:val="pt-BR" w:eastAsia="en-US" w:bidi="ar-SA"/>
              </w:rPr>
              <w:t>https://cidadao.dourados.ms.gov.br/index.php?class=SemadLicitacaoPublicView</w:t>
            </w:r>
            <w:r>
              <w:rPr>
                <w:rStyle w:val="16"/>
                <w:rFonts w:ascii="Times New Roman" w:hAnsi="Times New Roman" w:eastAsiaTheme="minorHAnsi" w:cstheme="minorBidi"/>
                <w:kern w:val="2"/>
                <w:sz w:val="22"/>
                <w:szCs w:val="22"/>
                <w:lang w:val="pt-BR" w:eastAsia="en-US" w:bidi="ar-SA"/>
              </w:rPr>
              <w:fldChar w:fldCharType="end"/>
            </w:r>
            <w:r>
              <w:rPr>
                <w:rStyle w:val="16"/>
                <w:rFonts w:ascii="Times New Roman" w:hAnsi="Times New Roman" w:eastAsiaTheme="minorHAnsi" w:cstheme="minorBidi"/>
                <w:color w:val="auto"/>
                <w:kern w:val="2"/>
                <w:sz w:val="22"/>
                <w:szCs w:val="22"/>
                <w:u w:val="none"/>
                <w:lang w:val="pt-BR" w:eastAsia="en-US" w:bidi="ar-SA"/>
              </w:rPr>
              <w:t>.</w:t>
            </w:r>
          </w:p>
        </w:tc>
      </w:tr>
      <w:tr w14:paraId="083C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1B856C72">
            <w:pPr>
              <w:spacing w:before="120" w:after="120" w:line="240" w:lineRule="auto"/>
              <w:jc w:val="both"/>
              <w:rPr>
                <w:rFonts w:hint="default"/>
                <w:lang w:val="pt-BR"/>
              </w:rPr>
            </w:pPr>
            <w:r>
              <w:rPr>
                <w:rFonts w:hint="default"/>
                <w:lang w:val="pt-BR"/>
              </w:rPr>
              <w:t>1</w:t>
            </w:r>
            <w:r>
              <w:t>.</w:t>
            </w:r>
            <w:r>
              <w:rPr>
                <w:rFonts w:hint="default"/>
                <w:lang w:val="pt-BR"/>
              </w:rPr>
              <w:t>2</w:t>
            </w:r>
          </w:p>
        </w:tc>
        <w:tc>
          <w:tcPr>
            <w:tcW w:w="7866" w:type="dxa"/>
          </w:tcPr>
          <w:p w14:paraId="0477A2CC">
            <w:pPr>
              <w:spacing w:before="120" w:after="120" w:line="240" w:lineRule="auto"/>
              <w:jc w:val="both"/>
              <w:rPr>
                <w:b/>
                <w:bCs/>
                <w:iCs/>
              </w:rPr>
            </w:pPr>
            <w:r>
              <w:rPr>
                <w:b/>
                <w:bCs/>
                <w:iCs/>
              </w:rPr>
              <w:t>Adendos ao Edital</w:t>
            </w:r>
          </w:p>
          <w:p w14:paraId="24D33194">
            <w:pPr>
              <w:pStyle w:val="49"/>
              <w:numPr>
                <w:ilvl w:val="0"/>
                <w:numId w:val="12"/>
              </w:numPr>
              <w:spacing w:before="120" w:after="120" w:line="240" w:lineRule="auto"/>
              <w:jc w:val="both"/>
            </w:pPr>
            <w:r>
              <w:t xml:space="preserve">no Portal Nacional de Contratações Públicas (PNCP) </w:t>
            </w:r>
            <w:r>
              <w:fldChar w:fldCharType="begin"/>
            </w:r>
            <w:r>
              <w:instrText xml:space="preserve"> HYPERLINK "https://pncp.gov.br/app/editais" </w:instrText>
            </w:r>
            <w:r>
              <w:fldChar w:fldCharType="separate"/>
            </w:r>
            <w:r>
              <w:t>https://pncp.gov.br/app/editais</w:t>
            </w:r>
            <w:r>
              <w:fldChar w:fldCharType="end"/>
            </w:r>
            <w:r>
              <w:t>;</w:t>
            </w:r>
          </w:p>
          <w:p w14:paraId="7E05FB93">
            <w:pPr>
              <w:pStyle w:val="49"/>
              <w:numPr>
                <w:ilvl w:val="0"/>
                <w:numId w:val="0"/>
              </w:numPr>
              <w:spacing w:before="120" w:after="120" w:line="240" w:lineRule="auto"/>
              <w:jc w:val="both"/>
              <w:rPr>
                <w:rStyle w:val="16"/>
                <w:b/>
                <w:bCs/>
                <w:iCs/>
                <w:color w:val="auto"/>
                <w:u w:val="none"/>
              </w:rPr>
            </w:pPr>
          </w:p>
          <w:p w14:paraId="5811778A">
            <w:pPr>
              <w:pStyle w:val="49"/>
              <w:numPr>
                <w:ilvl w:val="0"/>
                <w:numId w:val="13"/>
              </w:numPr>
              <w:spacing w:before="120" w:after="120" w:line="240" w:lineRule="auto"/>
              <w:jc w:val="both"/>
            </w:pPr>
            <w:r>
              <w:t xml:space="preserve">acesso Público; pelo Portal da Transparência do Município </w:t>
            </w:r>
            <w:r>
              <w:fldChar w:fldCharType="begin"/>
            </w:r>
            <w:r>
              <w:instrText xml:space="preserve"> HYPERLINK "https://cidadao.dourados.ms.gov.br/index.php?class=SemadLicitacaoPublicView" </w:instrText>
            </w:r>
            <w:r>
              <w:fldChar w:fldCharType="separate"/>
            </w:r>
            <w:r>
              <w:rPr>
                <w:rStyle w:val="16"/>
              </w:rPr>
              <w:t>https://cidadao.dourados.ms.gov.br/index.php?class=SemadLicitacaoPublicView</w:t>
            </w:r>
            <w:r>
              <w:rPr>
                <w:rStyle w:val="16"/>
              </w:rPr>
              <w:fldChar w:fldCharType="end"/>
            </w:r>
            <w:r>
              <w:rPr>
                <w:rStyle w:val="16"/>
                <w:color w:val="auto"/>
                <w:u w:val="none"/>
              </w:rPr>
              <w:t>.</w:t>
            </w:r>
          </w:p>
        </w:tc>
      </w:tr>
      <w:tr w14:paraId="7388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F1F1F1" w:themeFill="background1" w:themeFillShade="F2"/>
          </w:tcPr>
          <w:p w14:paraId="1C12AA00">
            <w:pPr>
              <w:spacing w:before="120" w:after="120" w:line="240" w:lineRule="auto"/>
              <w:jc w:val="center"/>
              <w:rPr>
                <w:b/>
                <w:bCs/>
              </w:rPr>
            </w:pPr>
            <w:r>
              <w:rPr>
                <w:b/>
                <w:bCs/>
              </w:rPr>
              <w:t>C – PREPARAÇÃO DAS PROPOSTAS</w:t>
            </w:r>
          </w:p>
        </w:tc>
      </w:tr>
      <w:tr w14:paraId="5F57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13B27AD3">
            <w:pPr>
              <w:spacing w:before="120" w:after="120" w:line="240" w:lineRule="auto"/>
              <w:jc w:val="both"/>
              <w:rPr>
                <w:rFonts w:hint="default"/>
                <w:lang w:val="pt-BR"/>
              </w:rPr>
            </w:pPr>
            <w:r>
              <w:t>1.</w:t>
            </w:r>
            <w:r>
              <w:rPr>
                <w:rFonts w:hint="default"/>
                <w:lang w:val="pt-BR"/>
              </w:rPr>
              <w:t>1</w:t>
            </w:r>
          </w:p>
          <w:p w14:paraId="43F99E76">
            <w:pPr>
              <w:spacing w:before="120" w:after="120" w:line="240" w:lineRule="auto"/>
              <w:jc w:val="both"/>
              <w:rPr>
                <w:rFonts w:hint="default"/>
                <w:lang w:val="pt-BR"/>
              </w:rPr>
            </w:pPr>
            <w:r>
              <w:t>1.</w:t>
            </w:r>
            <w:r>
              <w:rPr>
                <w:rFonts w:hint="default"/>
                <w:lang w:val="pt-BR"/>
              </w:rPr>
              <w:t>2</w:t>
            </w:r>
          </w:p>
        </w:tc>
        <w:tc>
          <w:tcPr>
            <w:tcW w:w="7866" w:type="dxa"/>
          </w:tcPr>
          <w:p w14:paraId="2101BC5F">
            <w:pPr>
              <w:spacing w:before="120" w:after="120" w:line="240" w:lineRule="auto"/>
              <w:jc w:val="both"/>
              <w:rPr>
                <w:b/>
                <w:bCs/>
                <w:iCs/>
              </w:rPr>
            </w:pPr>
            <w:r>
              <w:rPr>
                <w:b/>
                <w:bCs/>
                <w:iCs/>
              </w:rPr>
              <w:t>Apresentação e Documentos que Compõem a Proposta</w:t>
            </w:r>
          </w:p>
          <w:p w14:paraId="21C0EA9B">
            <w:pPr>
              <w:pStyle w:val="49"/>
              <w:numPr>
                <w:ilvl w:val="0"/>
                <w:numId w:val="14"/>
              </w:numPr>
              <w:spacing w:before="120" w:after="120" w:line="240" w:lineRule="auto"/>
              <w:jc w:val="both"/>
            </w:pPr>
            <w:r>
              <w:t>A Proposta submetida pelo Concorrente deverá conter todos os formulários presentes na seção 4;</w:t>
            </w:r>
          </w:p>
          <w:p w14:paraId="4A4378F8">
            <w:pPr>
              <w:pStyle w:val="49"/>
              <w:numPr>
                <w:ilvl w:val="0"/>
                <w:numId w:val="14"/>
              </w:numPr>
              <w:spacing w:before="120" w:after="120" w:line="240" w:lineRule="auto"/>
              <w:jc w:val="both"/>
              <w:rPr>
                <w:color w:val="FF0000"/>
              </w:rPr>
            </w:pPr>
            <w:r>
              <w:rPr>
                <w:bCs/>
                <w:color w:val="auto"/>
                <w:u w:val="single"/>
              </w:rPr>
              <w:t>Documentos de habilitação e qualificação, de acordo com o estabelecido na Seção 3.</w:t>
            </w:r>
          </w:p>
        </w:tc>
      </w:tr>
      <w:tr w14:paraId="0054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6F79A47D">
            <w:pPr>
              <w:spacing w:before="120" w:after="120" w:line="240" w:lineRule="auto"/>
              <w:jc w:val="both"/>
              <w:rPr>
                <w:rFonts w:hint="default"/>
                <w:lang w:val="pt-BR"/>
              </w:rPr>
            </w:pPr>
            <w:r>
              <w:t>1.</w:t>
            </w:r>
            <w:r>
              <w:rPr>
                <w:rFonts w:hint="default"/>
                <w:lang w:val="pt-BR"/>
              </w:rPr>
              <w:t>3</w:t>
            </w:r>
          </w:p>
        </w:tc>
        <w:tc>
          <w:tcPr>
            <w:tcW w:w="7866" w:type="dxa"/>
          </w:tcPr>
          <w:p w14:paraId="179BEEF2">
            <w:pPr>
              <w:spacing w:before="120" w:after="120" w:line="240" w:lineRule="auto"/>
              <w:jc w:val="both"/>
              <w:rPr>
                <w:b/>
                <w:bCs/>
                <w:iCs/>
              </w:rPr>
            </w:pPr>
            <w:r>
              <w:rPr>
                <w:b/>
                <w:bCs/>
                <w:iCs/>
              </w:rPr>
              <w:t>Preço da Proposta</w:t>
            </w:r>
          </w:p>
          <w:p w14:paraId="150B14FE">
            <w:pPr>
              <w:spacing w:before="120" w:after="120" w:line="240" w:lineRule="auto"/>
              <w:jc w:val="both"/>
            </w:pPr>
            <w:r>
              <w:rPr>
                <w:rFonts w:hint="default"/>
              </w:rPr>
              <w:t>O preço ofertado deverá cobrir todas as despesas relacionadas à execução do Contrato, inclusive tributos e encargos de natureza social, trabalhista, previdenciária, fiscal ou parafiscal, tendo por base a legislação vigente 30 (trinta) dias antes da data prevista para a apresentação de propostas.</w:t>
            </w:r>
            <w:r>
              <w:rPr>
                <w:rFonts w:cs="Times New Roman"/>
              </w:rPr>
              <w:t xml:space="preserve">   </w:t>
            </w:r>
          </w:p>
        </w:tc>
      </w:tr>
      <w:tr w14:paraId="41157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3F08A092">
            <w:pPr>
              <w:spacing w:before="120" w:after="120" w:line="240" w:lineRule="auto"/>
              <w:jc w:val="both"/>
              <w:rPr>
                <w:rFonts w:hint="default"/>
                <w:lang w:val="pt-BR"/>
              </w:rPr>
            </w:pPr>
            <w:r>
              <w:t>1.</w:t>
            </w:r>
            <w:r>
              <w:rPr>
                <w:rFonts w:hint="default"/>
                <w:lang w:val="pt-BR"/>
              </w:rPr>
              <w:t>4</w:t>
            </w:r>
          </w:p>
        </w:tc>
        <w:tc>
          <w:tcPr>
            <w:tcW w:w="7866" w:type="dxa"/>
          </w:tcPr>
          <w:p w14:paraId="2E4EDB42">
            <w:pPr>
              <w:spacing w:before="120" w:after="120" w:line="240" w:lineRule="auto"/>
              <w:jc w:val="both"/>
              <w:rPr>
                <w:b/>
                <w:bCs/>
              </w:rPr>
            </w:pPr>
            <w:r>
              <w:rPr>
                <w:b/>
                <w:bCs/>
              </w:rPr>
              <w:t>Reajustamento</w:t>
            </w:r>
          </w:p>
          <w:p w14:paraId="766E4ACB">
            <w:pPr>
              <w:spacing w:before="120" w:after="120" w:line="240" w:lineRule="auto"/>
              <w:jc w:val="both"/>
              <w:rPr>
                <w:color w:val="FF0000"/>
              </w:rPr>
            </w:pPr>
            <w:r>
              <w:t>Os preços cotados pelo concorrente estarão sujeitos a reajuste anual durante a execução do contrato, de acordo com as disposições da subcláusula 45.1 das Condições Gerais do Contrato.</w:t>
            </w:r>
          </w:p>
        </w:tc>
      </w:tr>
      <w:tr w14:paraId="03C6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06F43288">
            <w:pPr>
              <w:spacing w:before="120" w:after="120" w:line="240" w:lineRule="auto"/>
              <w:jc w:val="both"/>
              <w:rPr>
                <w:rFonts w:hint="default"/>
                <w:lang w:val="pt-BR"/>
              </w:rPr>
            </w:pPr>
            <w:r>
              <w:t>1.</w:t>
            </w:r>
            <w:r>
              <w:rPr>
                <w:rFonts w:hint="default"/>
                <w:lang w:val="pt-BR"/>
              </w:rPr>
              <w:t>5</w:t>
            </w:r>
          </w:p>
        </w:tc>
        <w:tc>
          <w:tcPr>
            <w:tcW w:w="7866" w:type="dxa"/>
          </w:tcPr>
          <w:p w14:paraId="506CF2E3">
            <w:pPr>
              <w:spacing w:before="120" w:after="120" w:line="240" w:lineRule="auto"/>
              <w:jc w:val="both"/>
              <w:rPr>
                <w:b/>
                <w:bCs/>
                <w:iCs/>
              </w:rPr>
            </w:pPr>
            <w:r>
              <w:rPr>
                <w:b/>
                <w:bCs/>
                <w:iCs/>
              </w:rPr>
              <w:t>Período de Validade da Proposta</w:t>
            </w:r>
          </w:p>
          <w:p w14:paraId="059E3CB2">
            <w:pPr>
              <w:spacing w:before="120" w:after="120" w:line="240" w:lineRule="auto"/>
              <w:jc w:val="both"/>
            </w:pPr>
            <w:r>
              <w:rPr>
                <w:rFonts w:cs="Times New Roman"/>
              </w:rPr>
              <w:t xml:space="preserve">As propostas deverão ter validade de </w:t>
            </w:r>
            <w:r>
              <w:rPr>
                <w:rFonts w:cs="Times New Roman"/>
                <w:b/>
                <w:bCs/>
              </w:rPr>
              <w:t>90 (noventa) dias</w:t>
            </w:r>
            <w:r>
              <w:rPr>
                <w:rFonts w:cs="Times New Roman"/>
              </w:rPr>
              <w:t xml:space="preserve"> contados da data final estabelecida para apresentação das propostas.</w:t>
            </w:r>
          </w:p>
        </w:tc>
      </w:tr>
      <w:tr w14:paraId="4EE0C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78E6B8D9">
            <w:pPr>
              <w:spacing w:before="120" w:after="120" w:line="240" w:lineRule="auto"/>
              <w:jc w:val="both"/>
              <w:rPr>
                <w:rFonts w:hint="default"/>
                <w:lang w:val="pt-BR"/>
              </w:rPr>
            </w:pPr>
            <w:r>
              <w:t>1.</w:t>
            </w:r>
            <w:r>
              <w:rPr>
                <w:rFonts w:hint="default"/>
                <w:lang w:val="pt-BR"/>
              </w:rPr>
              <w:t>6</w:t>
            </w:r>
          </w:p>
        </w:tc>
        <w:tc>
          <w:tcPr>
            <w:tcW w:w="7866" w:type="dxa"/>
          </w:tcPr>
          <w:p w14:paraId="40C117B2">
            <w:pPr>
              <w:spacing w:before="120" w:after="120" w:line="240" w:lineRule="auto"/>
              <w:jc w:val="both"/>
              <w:rPr>
                <w:b/>
                <w:bCs/>
                <w:iCs/>
              </w:rPr>
            </w:pPr>
            <w:r>
              <w:rPr>
                <w:b/>
                <w:bCs/>
                <w:iCs/>
              </w:rPr>
              <w:t>Declaração de Manutenção de Proposta</w:t>
            </w:r>
          </w:p>
          <w:p w14:paraId="18BEC134">
            <w:pPr>
              <w:spacing w:before="120" w:after="120" w:line="240" w:lineRule="auto"/>
              <w:jc w:val="both"/>
              <w:rPr>
                <w:rFonts w:cs="Times New Roman"/>
              </w:rPr>
            </w:pPr>
            <w:r>
              <w:t xml:space="preserve">Se o concorrente incorrer em qualquer uma das ações prescritas nos subparágrafos (a) ou (b) das IAC 18.5, o Contratante declarará o concorrente inelegível para a adjudicação de contratos pelo Contratante por um período de </w:t>
            </w:r>
            <w:r>
              <w:rPr>
                <w:i/>
                <w:iCs/>
              </w:rPr>
              <w:t>5</w:t>
            </w:r>
            <w:r>
              <w:t xml:space="preserve"> anos, </w:t>
            </w:r>
            <w:r>
              <w:rPr>
                <w:rFonts w:cs="Times New Roman"/>
              </w:rPr>
              <w:t>nos casos previstos nos artigos 155 e 156 da Lei 14.133/21.</w:t>
            </w:r>
          </w:p>
          <w:p w14:paraId="14C358DC">
            <w:pPr>
              <w:spacing w:before="120" w:after="120" w:line="240" w:lineRule="auto"/>
              <w:jc w:val="both"/>
              <w:rPr>
                <w:rFonts w:cs="Times New Roman"/>
              </w:rPr>
            </w:pPr>
            <w:r>
              <w:rPr>
                <w:rFonts w:cs="Times New Roman"/>
              </w:rPr>
              <w:t xml:space="preserve">Atender ao Modelo 20 da Seção 4 - </w:t>
            </w:r>
            <w:r>
              <w:t>A apresentação dos documentos supracitados será exigida apenas da licitante provisoriamente classificada em primeiro lugar.</w:t>
            </w:r>
          </w:p>
        </w:tc>
      </w:tr>
      <w:tr w14:paraId="0435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9016" w:type="dxa"/>
            <w:gridSpan w:val="2"/>
            <w:shd w:val="clear" w:color="auto" w:fill="F1F1F1" w:themeFill="background1" w:themeFillShade="F2"/>
          </w:tcPr>
          <w:p w14:paraId="7D326624">
            <w:pPr>
              <w:spacing w:before="120" w:after="120" w:line="240" w:lineRule="auto"/>
              <w:jc w:val="center"/>
              <w:rPr>
                <w:b/>
                <w:bCs/>
              </w:rPr>
            </w:pPr>
            <w:r>
              <w:rPr>
                <w:b/>
                <w:bCs/>
              </w:rPr>
              <w:t>D – APRESENTAÇÃO DAS PROPOSTAS</w:t>
            </w:r>
          </w:p>
        </w:tc>
      </w:tr>
      <w:tr w14:paraId="06EE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613961E8">
            <w:pPr>
              <w:spacing w:before="120" w:after="120" w:line="240" w:lineRule="auto"/>
              <w:jc w:val="both"/>
              <w:rPr>
                <w:rFonts w:hint="default"/>
                <w:lang w:val="pt-BR"/>
              </w:rPr>
            </w:pPr>
            <w:r>
              <w:t>1.</w:t>
            </w:r>
            <w:r>
              <w:rPr>
                <w:rFonts w:hint="default"/>
                <w:lang w:val="pt-BR"/>
              </w:rPr>
              <w:t>1</w:t>
            </w:r>
          </w:p>
        </w:tc>
        <w:tc>
          <w:tcPr>
            <w:tcW w:w="7866" w:type="dxa"/>
          </w:tcPr>
          <w:p w14:paraId="64809AA5">
            <w:pPr>
              <w:spacing w:before="120" w:after="120" w:line="240" w:lineRule="auto"/>
              <w:jc w:val="both"/>
              <w:rPr>
                <w:rFonts w:hint="default"/>
                <w:b/>
                <w:bCs/>
                <w:iCs/>
                <w:color w:val="auto"/>
                <w:highlight w:val="none"/>
              </w:rPr>
            </w:pPr>
            <w:r>
              <w:rPr>
                <w:rFonts w:hint="default"/>
                <w:b/>
                <w:bCs/>
                <w:iCs/>
                <w:color w:val="auto"/>
                <w:highlight w:val="none"/>
              </w:rPr>
              <w:t>Apresentação e Envio das Propostas</w:t>
            </w:r>
          </w:p>
          <w:p w14:paraId="49AEE46E">
            <w:pPr>
              <w:spacing w:before="120" w:after="120" w:line="240" w:lineRule="auto"/>
              <w:jc w:val="both"/>
              <w:rPr>
                <w:rFonts w:ascii="Times New Roman" w:hAnsi="Times New Roman" w:cs="Times New Roman"/>
              </w:rPr>
            </w:pPr>
            <w:r>
              <w:rPr>
                <w:rFonts w:ascii="Times New Roman" w:hAnsi="Times New Roman" w:cs="Times New Roman"/>
              </w:rPr>
              <w:t xml:space="preserve">Os concorrentes encaminharão, exclusivamente por meio do </w:t>
            </w:r>
            <w:r>
              <w:rPr>
                <w:rFonts w:ascii="Times New Roman" w:hAnsi="Times New Roman" w:cs="Times New Roman"/>
                <w:i/>
                <w:iCs/>
              </w:rPr>
              <w:t>Portal</w:t>
            </w:r>
            <w:r>
              <w:rPr>
                <w:rFonts w:ascii="Times New Roman" w:hAnsi="Times New Roman"/>
              </w:rPr>
              <w:t xml:space="preserve"> (Bolsa de Licitações e Leilões do Brasil-BLL - </w:t>
            </w:r>
            <w:r>
              <w:rPr>
                <w:rFonts w:ascii="Times New Roman" w:hAnsi="Times New Roman"/>
              </w:rPr>
              <w:fldChar w:fldCharType="begin"/>
            </w:r>
            <w:r>
              <w:rPr>
                <w:rFonts w:ascii="Times New Roman" w:hAnsi="Times New Roman"/>
              </w:rPr>
              <w:instrText xml:space="preserve"> HYPERLINK "http://www.bll.org.br/" </w:instrText>
            </w:r>
            <w:r>
              <w:rPr>
                <w:rFonts w:ascii="Times New Roman" w:hAnsi="Times New Roman"/>
              </w:rPr>
              <w:fldChar w:fldCharType="separate"/>
            </w:r>
            <w:r>
              <w:rPr>
                <w:rFonts w:ascii="Times New Roman" w:hAnsi="Times New Roman"/>
              </w:rPr>
              <w:t>www.bll.org.br</w:t>
            </w:r>
            <w:r>
              <w:rPr>
                <w:rFonts w:ascii="Times New Roman" w:hAnsi="Times New Roman"/>
              </w:rPr>
              <w:fldChar w:fldCharType="end"/>
            </w:r>
            <w:r>
              <w:rPr>
                <w:rFonts w:asciiTheme="minorHAnsi" w:hAnsiTheme="minorHAnsi"/>
                <w:lang w:eastAsia="zh-CN"/>
              </w:rPr>
              <w:t>)</w:t>
            </w:r>
            <w:r>
              <w:rPr>
                <w:rFonts w:ascii="Times New Roman" w:hAnsi="Times New Roman" w:cs="Times New Roman"/>
              </w:rPr>
              <w:t>, a proposta com o preço, até a data e o horário estabelecidos para abertura da sessão pública, quando, então, encerrar-se-á automaticamente a etapa de envio dessa documentação.</w:t>
            </w:r>
          </w:p>
          <w:p w14:paraId="4D747E58">
            <w:pPr>
              <w:tabs>
                <w:tab w:val="left" w:pos="992"/>
              </w:tabs>
              <w:adjustRightInd w:val="0"/>
              <w:spacing w:after="0" w:afterLines="40" w:line="240" w:lineRule="auto"/>
              <w:jc w:val="both"/>
              <w:rPr>
                <w:rFonts w:ascii="Times New Roman" w:hAnsi="Times New Roman" w:cs="Times New Roman"/>
              </w:rPr>
            </w:pPr>
            <w:r>
              <w:rPr>
                <w:rFonts w:ascii="Times New Roman" w:hAnsi="Times New Roman" w:cs="Times New Roman"/>
              </w:rPr>
              <w:t>Previamente, a licitante deverá enviar sua proposta mediante o preenchimento, no sistema eletrônico, dos seguintes campos, conforme o caso:</w:t>
            </w:r>
          </w:p>
          <w:p w14:paraId="0B5B60A2">
            <w:pPr>
              <w:spacing w:before="120" w:after="120" w:line="240" w:lineRule="auto"/>
              <w:ind w:left="1208" w:hanging="425"/>
              <w:jc w:val="both"/>
              <w:rPr>
                <w:rFonts w:ascii="Times New Roman" w:hAnsi="Times New Roman"/>
                <w:bCs/>
                <w:color w:val="FF0000"/>
              </w:rPr>
            </w:pPr>
            <w:r>
              <w:rPr>
                <w:rFonts w:ascii="Times New Roman" w:hAnsi="Times New Roman"/>
                <w:bCs/>
              </w:rPr>
              <w:t>(a)</w:t>
            </w:r>
            <w:r>
              <w:rPr>
                <w:rFonts w:ascii="Times New Roman" w:hAnsi="Times New Roman"/>
                <w:bCs/>
              </w:rPr>
              <w:tab/>
            </w:r>
            <w:r>
              <w:rPr>
                <w:rFonts w:ascii="Times New Roman" w:hAnsi="Times New Roman"/>
                <w:bCs/>
              </w:rPr>
              <w:t xml:space="preserve">Valor </w:t>
            </w:r>
            <w:r>
              <w:rPr>
                <w:rFonts w:ascii="Times New Roman" w:hAnsi="Times New Roman"/>
              </w:rPr>
              <w:t>unitário</w:t>
            </w:r>
            <w:r>
              <w:rPr>
                <w:rFonts w:ascii="Times New Roman" w:hAnsi="Times New Roman"/>
                <w:bCs/>
              </w:rPr>
              <w:t xml:space="preserve"> e total (lote e/ou seus itens); </w:t>
            </w:r>
          </w:p>
          <w:p w14:paraId="3E63A171">
            <w:pPr>
              <w:spacing w:before="120" w:after="120" w:line="240" w:lineRule="auto"/>
              <w:ind w:left="1208" w:hanging="425"/>
              <w:jc w:val="both"/>
              <w:rPr>
                <w:rFonts w:ascii="Times New Roman" w:hAnsi="Times New Roman"/>
                <w:bCs/>
              </w:rPr>
            </w:pPr>
            <w:r>
              <w:rPr>
                <w:rFonts w:ascii="Times New Roman" w:hAnsi="Times New Roman"/>
                <w:bCs/>
              </w:rPr>
              <w:t>(b)  Quantidade;</w:t>
            </w:r>
          </w:p>
          <w:p w14:paraId="031152B9">
            <w:pPr>
              <w:spacing w:before="120" w:after="120" w:line="240" w:lineRule="auto"/>
              <w:ind w:left="1208" w:hanging="425"/>
              <w:jc w:val="both"/>
              <w:rPr>
                <w:rFonts w:hint="default"/>
                <w:b/>
                <w:bCs/>
                <w:iCs/>
                <w:color w:val="auto"/>
                <w:highlight w:val="yellow"/>
                <w:lang w:val="pt-BR"/>
              </w:rPr>
            </w:pPr>
            <w:r>
              <w:rPr>
                <w:rFonts w:ascii="Times New Roman" w:hAnsi="Times New Roman"/>
                <w:bCs/>
              </w:rPr>
              <w:t xml:space="preserve">(c) </w:t>
            </w:r>
            <w:r>
              <w:rPr>
                <w:rFonts w:ascii="Times New Roman" w:hAnsi="Times New Roman"/>
                <w:bCs/>
              </w:rPr>
              <w:tab/>
            </w:r>
            <w:r>
              <w:rPr>
                <w:rFonts w:ascii="Times New Roman" w:hAnsi="Times New Roman"/>
                <w:bCs/>
              </w:rPr>
              <w:t>Descrição detalhada do objeto, conforme Planilha Orçamentária anexo ao Edital</w:t>
            </w:r>
            <w:r>
              <w:rPr>
                <w:rFonts w:hint="default"/>
                <w:b w:val="0"/>
                <w:bCs w:val="0"/>
                <w:iCs/>
                <w:color w:val="auto"/>
                <w:highlight w:val="none"/>
                <w:lang w:val="pt-BR"/>
              </w:rPr>
              <w:t>.</w:t>
            </w:r>
          </w:p>
        </w:tc>
      </w:tr>
      <w:tr w14:paraId="4052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2C3C6106">
            <w:pPr>
              <w:spacing w:before="120" w:after="120" w:line="240" w:lineRule="auto"/>
              <w:jc w:val="both"/>
              <w:rPr>
                <w:rFonts w:hint="default"/>
                <w:lang w:val="pt-BR"/>
              </w:rPr>
            </w:pPr>
            <w:r>
              <w:rPr>
                <w:rFonts w:hint="default"/>
                <w:lang w:val="pt-BR"/>
              </w:rPr>
              <w:t>1</w:t>
            </w:r>
            <w:r>
              <w:t>.</w:t>
            </w:r>
            <w:r>
              <w:rPr>
                <w:rFonts w:hint="default"/>
                <w:lang w:val="pt-BR"/>
              </w:rPr>
              <w:t>2</w:t>
            </w:r>
          </w:p>
        </w:tc>
        <w:tc>
          <w:tcPr>
            <w:tcW w:w="7866" w:type="dxa"/>
          </w:tcPr>
          <w:p w14:paraId="29F43AA6">
            <w:pPr>
              <w:spacing w:before="120" w:after="120" w:line="240" w:lineRule="auto"/>
              <w:jc w:val="both"/>
              <w:rPr>
                <w:rFonts w:ascii="Times New Roman" w:hAnsi="Times New Roman"/>
                <w:b/>
                <w:bCs/>
                <w:iCs/>
              </w:rPr>
            </w:pPr>
            <w:r>
              <w:rPr>
                <w:rFonts w:ascii="Times New Roman" w:hAnsi="Times New Roman"/>
                <w:b/>
                <w:bCs/>
                <w:iCs/>
              </w:rPr>
              <w:t xml:space="preserve">Prazo para Apresentação </w:t>
            </w:r>
            <w:r>
              <w:rPr>
                <w:rFonts w:hint="default"/>
                <w:b/>
                <w:bCs/>
                <w:iCs/>
                <w:lang w:val="pt-BR"/>
              </w:rPr>
              <w:t>dos documentos de Habilitação e</w:t>
            </w:r>
            <w:r>
              <w:rPr>
                <w:rFonts w:ascii="Times New Roman" w:hAnsi="Times New Roman"/>
                <w:b/>
                <w:bCs/>
                <w:iCs/>
              </w:rPr>
              <w:t xml:space="preserve"> Propostas</w:t>
            </w:r>
          </w:p>
          <w:p w14:paraId="4CEAC6E4">
            <w:pPr>
              <w:spacing w:before="120" w:after="120" w:line="240" w:lineRule="auto"/>
              <w:jc w:val="both"/>
              <w:rPr>
                <w:rFonts w:ascii="Times New Roman" w:hAnsi="Times New Roman" w:cs="Times New Roman"/>
              </w:rPr>
            </w:pPr>
            <w:r>
              <w:rPr>
                <w:rFonts w:asciiTheme="minorHAnsi" w:hAnsiTheme="minorHAnsi"/>
              </w:rPr>
              <w:t xml:space="preserve"> </w:t>
            </w:r>
            <w:r>
              <w:rPr>
                <w:rFonts w:ascii="Times New Roman" w:hAnsi="Times New Roman" w:cs="Times New Roman"/>
              </w:rPr>
              <w:t>Procedimento                                         Data                 horário</w:t>
            </w:r>
          </w:p>
          <w:p w14:paraId="6040F3F9">
            <w:pPr>
              <w:spacing w:before="120" w:after="120" w:line="240" w:lineRule="auto"/>
              <w:jc w:val="both"/>
              <w:rPr>
                <w:rFonts w:ascii="Times New Roman" w:hAnsi="Times New Roman" w:cs="Times New Roman"/>
                <w:b/>
                <w:bCs/>
                <w:color w:val="auto"/>
                <w:highlight w:val="none"/>
              </w:rPr>
            </w:pPr>
            <w:r>
              <w:rPr>
                <w:rFonts w:ascii="Times New Roman" w:hAnsi="Times New Roman" w:cs="Times New Roman"/>
                <w:b/>
                <w:bCs/>
              </w:rPr>
              <w:t xml:space="preserve">Início de Cadastro das Propostas:       </w:t>
            </w:r>
            <w:r>
              <w:rPr>
                <w:rFonts w:hint="default" w:cs="Times New Roman"/>
                <w:b/>
                <w:bCs/>
                <w:color w:val="auto"/>
                <w:highlight w:val="none"/>
                <w:lang w:val="pt-BR"/>
              </w:rPr>
              <w:t>18</w:t>
            </w:r>
            <w:r>
              <w:rPr>
                <w:rFonts w:ascii="Times New Roman" w:hAnsi="Times New Roman" w:cs="Times New Roman"/>
                <w:b/>
                <w:bCs/>
                <w:color w:val="auto"/>
                <w:highlight w:val="none"/>
              </w:rPr>
              <w:t>/</w:t>
            </w:r>
            <w:r>
              <w:rPr>
                <w:rFonts w:hint="default" w:cs="Times New Roman"/>
                <w:b/>
                <w:bCs/>
                <w:color w:val="auto"/>
                <w:highlight w:val="none"/>
                <w:lang w:val="pt-BR"/>
              </w:rPr>
              <w:t>11</w:t>
            </w:r>
            <w:r>
              <w:rPr>
                <w:rFonts w:ascii="Times New Roman" w:hAnsi="Times New Roman" w:cs="Times New Roman"/>
                <w:b/>
                <w:bCs/>
                <w:color w:val="auto"/>
                <w:highlight w:val="none"/>
              </w:rPr>
              <w:t>/202</w:t>
            </w:r>
            <w:r>
              <w:rPr>
                <w:rFonts w:hint="default" w:ascii="Times New Roman" w:hAnsi="Times New Roman" w:cs="Times New Roman"/>
                <w:b/>
                <w:bCs/>
                <w:color w:val="auto"/>
                <w:highlight w:val="none"/>
                <w:lang w:val="pt-BR"/>
              </w:rPr>
              <w:t>5</w:t>
            </w:r>
            <w:r>
              <w:rPr>
                <w:rFonts w:ascii="Times New Roman" w:hAnsi="Times New Roman" w:cs="Times New Roman"/>
                <w:b/>
                <w:bCs/>
                <w:color w:val="auto"/>
                <w:highlight w:val="none"/>
              </w:rPr>
              <w:t xml:space="preserve">          09:00h</w:t>
            </w:r>
          </w:p>
          <w:p w14:paraId="21DD63B2">
            <w:pPr>
              <w:spacing w:before="120" w:after="120" w:line="240" w:lineRule="auto"/>
              <w:jc w:val="both"/>
              <w:rPr>
                <w:rFonts w:ascii="Times New Roman" w:hAnsi="Times New Roman" w:cs="Times New Roman"/>
                <w:b/>
                <w:bCs/>
                <w:color w:val="auto"/>
                <w:highlight w:val="none"/>
              </w:rPr>
            </w:pPr>
            <w:r>
              <w:rPr>
                <w:rFonts w:ascii="Times New Roman" w:hAnsi="Times New Roman" w:cs="Times New Roman"/>
                <w:b/>
                <w:bCs/>
                <w:color w:val="auto"/>
                <w:highlight w:val="none"/>
              </w:rPr>
              <w:t xml:space="preserve">Término de Cadastro das Propostas:   </w:t>
            </w:r>
            <w:r>
              <w:rPr>
                <w:rFonts w:hint="default" w:cs="Times New Roman"/>
                <w:b/>
                <w:bCs/>
                <w:color w:val="auto"/>
                <w:highlight w:val="none"/>
                <w:lang w:val="pt-BR"/>
              </w:rPr>
              <w:t>09</w:t>
            </w:r>
            <w:r>
              <w:rPr>
                <w:rFonts w:ascii="Times New Roman" w:hAnsi="Times New Roman" w:cs="Times New Roman"/>
                <w:b/>
                <w:bCs/>
                <w:color w:val="auto"/>
                <w:highlight w:val="none"/>
              </w:rPr>
              <w:t>/</w:t>
            </w:r>
            <w:r>
              <w:rPr>
                <w:rFonts w:hint="default" w:cs="Times New Roman"/>
                <w:b/>
                <w:bCs/>
                <w:color w:val="auto"/>
                <w:highlight w:val="none"/>
                <w:lang w:val="pt-BR"/>
              </w:rPr>
              <w:t>12</w:t>
            </w:r>
            <w:r>
              <w:rPr>
                <w:rFonts w:ascii="Times New Roman" w:hAnsi="Times New Roman" w:cs="Times New Roman"/>
                <w:b/>
                <w:bCs/>
                <w:color w:val="auto"/>
                <w:highlight w:val="none"/>
              </w:rPr>
              <w:t>/202</w:t>
            </w:r>
            <w:r>
              <w:rPr>
                <w:rFonts w:hint="default" w:ascii="Times New Roman" w:hAnsi="Times New Roman" w:cs="Times New Roman"/>
                <w:b/>
                <w:bCs/>
                <w:color w:val="auto"/>
                <w:highlight w:val="none"/>
                <w:lang w:val="pt-BR"/>
              </w:rPr>
              <w:t>5</w:t>
            </w:r>
            <w:r>
              <w:rPr>
                <w:rFonts w:ascii="Times New Roman" w:hAnsi="Times New Roman" w:cs="Times New Roman"/>
                <w:b/>
                <w:bCs/>
                <w:color w:val="auto"/>
                <w:highlight w:val="none"/>
              </w:rPr>
              <w:t xml:space="preserve">          08:59h</w:t>
            </w:r>
          </w:p>
          <w:p w14:paraId="73B5ABA6">
            <w:pPr>
              <w:spacing w:before="120" w:after="120" w:line="240" w:lineRule="auto"/>
              <w:jc w:val="both"/>
              <w:rPr>
                <w:rFonts w:ascii="Times New Roman" w:hAnsi="Times New Roman" w:cs="Times New Roman"/>
                <w:b/>
                <w:bCs/>
                <w:color w:val="auto"/>
                <w:highlight w:val="none"/>
              </w:rPr>
            </w:pPr>
            <w:r>
              <w:rPr>
                <w:rFonts w:hint="default" w:ascii="Times New Roman" w:hAnsi="Times New Roman"/>
                <w:b/>
                <w:bCs/>
                <w:color w:val="auto"/>
                <w:highlight w:val="none"/>
              </w:rPr>
              <w:t>Início d</w:t>
            </w:r>
            <w:r>
              <w:rPr>
                <w:rFonts w:hint="default"/>
                <w:b/>
                <w:bCs/>
                <w:color w:val="auto"/>
                <w:highlight w:val="none"/>
                <w:lang w:val="pt-BR"/>
              </w:rPr>
              <w:t>a abertura da sessão</w:t>
            </w:r>
            <w:r>
              <w:rPr>
                <w:rFonts w:hint="default" w:ascii="Times New Roman" w:hAnsi="Times New Roman"/>
                <w:b/>
                <w:bCs/>
                <w:color w:val="auto"/>
                <w:highlight w:val="none"/>
              </w:rPr>
              <w:t xml:space="preserve">:               </w:t>
            </w:r>
            <w:r>
              <w:rPr>
                <w:rFonts w:hint="default"/>
                <w:b/>
                <w:bCs/>
                <w:color w:val="auto"/>
                <w:highlight w:val="none"/>
                <w:lang w:val="pt-BR"/>
              </w:rPr>
              <w:t>09</w:t>
            </w:r>
            <w:bookmarkStart w:id="687" w:name="_GoBack"/>
            <w:bookmarkEnd w:id="687"/>
            <w:r>
              <w:rPr>
                <w:rFonts w:hint="default"/>
                <w:b/>
                <w:bCs/>
                <w:color w:val="auto"/>
                <w:highlight w:val="none"/>
                <w:lang w:val="pt-BR"/>
              </w:rPr>
              <w:t>/12</w:t>
            </w:r>
            <w:r>
              <w:rPr>
                <w:rFonts w:hint="default" w:ascii="Times New Roman" w:hAnsi="Times New Roman"/>
                <w:b/>
                <w:bCs/>
                <w:color w:val="auto"/>
                <w:highlight w:val="none"/>
              </w:rPr>
              <w:t>/2025          09:</w:t>
            </w:r>
            <w:r>
              <w:rPr>
                <w:rFonts w:hint="default"/>
                <w:b/>
                <w:bCs/>
                <w:color w:val="auto"/>
                <w:highlight w:val="none"/>
                <w:lang w:val="pt-BR"/>
              </w:rPr>
              <w:t>00</w:t>
            </w:r>
            <w:r>
              <w:rPr>
                <w:rFonts w:hint="default" w:ascii="Times New Roman" w:hAnsi="Times New Roman"/>
                <w:b/>
                <w:bCs/>
                <w:color w:val="auto"/>
                <w:highlight w:val="none"/>
              </w:rPr>
              <w:t>h</w:t>
            </w:r>
          </w:p>
          <w:p w14:paraId="3332B0D4">
            <w:pPr>
              <w:spacing w:before="120" w:after="120" w:line="240" w:lineRule="auto"/>
              <w:jc w:val="both"/>
              <w:rPr>
                <w:rFonts w:ascii="Times New Roman" w:hAnsi="Times New Roman"/>
                <w:b/>
                <w:bCs/>
              </w:rPr>
            </w:pPr>
            <w:r>
              <w:rPr>
                <w:rFonts w:hint="default"/>
                <w:lang w:val="pt-BR"/>
              </w:rPr>
              <w:t>O</w:t>
            </w:r>
            <w:r>
              <w:rPr>
                <w:rFonts w:ascii="Times New Roman" w:hAnsi="Times New Roman"/>
              </w:rPr>
              <w:t>s</w:t>
            </w:r>
            <w:r>
              <w:rPr>
                <w:rFonts w:hint="default"/>
                <w:lang w:val="pt-BR"/>
              </w:rPr>
              <w:t xml:space="preserve"> documentos de habilitação e</w:t>
            </w:r>
            <w:r>
              <w:rPr>
                <w:rFonts w:ascii="Times New Roman" w:hAnsi="Times New Roman"/>
              </w:rPr>
              <w:t xml:space="preserve"> propostas serão recebidas exclusivamente por meio </w:t>
            </w:r>
            <w:r>
              <w:rPr>
                <w:rFonts w:ascii="Times New Roman" w:hAnsi="Times New Roman"/>
                <w:b/>
                <w:bCs/>
              </w:rPr>
              <w:t xml:space="preserve">do </w:t>
            </w:r>
            <w:r>
              <w:rPr>
                <w:rFonts w:ascii="Times New Roman" w:hAnsi="Times New Roman"/>
                <w:b/>
                <w:bCs/>
                <w:i/>
                <w:iCs/>
              </w:rPr>
              <w:t xml:space="preserve">Portal </w:t>
            </w:r>
            <w:r>
              <w:rPr>
                <w:rFonts w:ascii="Times New Roman" w:hAnsi="Times New Roman"/>
              </w:rPr>
              <w:t>Bolsa de Licitações e Leilões do Brasil-BLL (</w:t>
            </w:r>
            <w:r>
              <w:rPr>
                <w:rFonts w:ascii="Times New Roman" w:hAnsi="Times New Roman"/>
              </w:rPr>
              <w:fldChar w:fldCharType="begin"/>
            </w:r>
            <w:r>
              <w:rPr>
                <w:rFonts w:ascii="Times New Roman" w:hAnsi="Times New Roman"/>
              </w:rPr>
              <w:instrText xml:space="preserve"> HYPERLINK "http://www.bll.org.br/" </w:instrText>
            </w:r>
            <w:r>
              <w:rPr>
                <w:rFonts w:ascii="Times New Roman" w:hAnsi="Times New Roman"/>
              </w:rPr>
              <w:fldChar w:fldCharType="separate"/>
            </w:r>
            <w:r>
              <w:rPr>
                <w:rFonts w:ascii="Times New Roman" w:hAnsi="Times New Roman"/>
              </w:rPr>
              <w:t>www.bll.org.br</w:t>
            </w:r>
            <w:r>
              <w:rPr>
                <w:rFonts w:ascii="Times New Roman" w:hAnsi="Times New Roman"/>
              </w:rPr>
              <w:fldChar w:fldCharType="end"/>
            </w:r>
            <w:r>
              <w:rPr>
                <w:rFonts w:asciiTheme="minorHAnsi" w:hAnsiTheme="minorHAnsi"/>
                <w:lang w:eastAsia="zh-CN"/>
              </w:rPr>
              <w:t>)</w:t>
            </w:r>
            <w:r>
              <w:rPr>
                <w:rFonts w:ascii="Times New Roman" w:hAnsi="Times New Roman"/>
                <w:b/>
                <w:bCs/>
              </w:rPr>
              <w:t>.</w:t>
            </w:r>
          </w:p>
          <w:p w14:paraId="5BC2E99C">
            <w:pPr>
              <w:spacing w:before="120" w:after="120" w:line="240" w:lineRule="auto"/>
              <w:jc w:val="both"/>
            </w:pPr>
            <w:r>
              <w:rPr>
                <w:rFonts w:ascii="Times New Roman" w:hAnsi="Times New Roman"/>
                <w:i/>
              </w:rPr>
              <w:t>Obs:</w:t>
            </w:r>
            <w:r>
              <w:rPr>
                <w:rFonts w:ascii="Times New Roman" w:hAnsi="Times New Roman"/>
              </w:rPr>
              <w:t xml:space="preserve"> Todas as referências de tempo do Edital, do Aviso e da Sessão Pública observarão, obrigatoriamente, o horário de Brasília – DF</w:t>
            </w:r>
          </w:p>
        </w:tc>
      </w:tr>
      <w:tr w14:paraId="475C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Pr>
          <w:p w14:paraId="654B658C">
            <w:pPr>
              <w:spacing w:before="120" w:after="120" w:line="240" w:lineRule="auto"/>
              <w:jc w:val="both"/>
              <w:rPr>
                <w:rFonts w:hint="default"/>
                <w:lang w:val="pt-BR"/>
              </w:rPr>
            </w:pPr>
            <w:r>
              <w:rPr>
                <w:rFonts w:hint="default"/>
                <w:lang w:val="pt-BR"/>
              </w:rPr>
              <w:t>1</w:t>
            </w:r>
            <w:r>
              <w:t>.</w:t>
            </w:r>
            <w:r>
              <w:rPr>
                <w:rFonts w:hint="default"/>
                <w:lang w:val="pt-BR"/>
              </w:rPr>
              <w:t>3</w:t>
            </w:r>
          </w:p>
        </w:tc>
        <w:tc>
          <w:tcPr>
            <w:tcW w:w="7866" w:type="dxa"/>
          </w:tcPr>
          <w:p w14:paraId="096462A9">
            <w:pPr>
              <w:spacing w:before="120" w:after="120" w:line="240" w:lineRule="auto"/>
              <w:jc w:val="both"/>
              <w:rPr>
                <w:b/>
              </w:rPr>
            </w:pPr>
            <w:r>
              <w:rPr>
                <w:b/>
              </w:rPr>
              <w:t>Critério de Julgamento, Regime de Execução e Modo de Disputa</w:t>
            </w:r>
          </w:p>
          <w:p w14:paraId="1872F6D2">
            <w:pPr>
              <w:spacing w:before="120" w:after="120" w:line="240" w:lineRule="auto"/>
              <w:ind w:left="718" w:hanging="425"/>
              <w:jc w:val="both"/>
              <w:rPr>
                <w:bCs/>
              </w:rPr>
            </w:pPr>
            <w:r>
              <w:rPr>
                <w:bCs/>
              </w:rPr>
              <w:t>(a)</w:t>
            </w:r>
            <w:r>
              <w:t xml:space="preserve"> </w:t>
            </w:r>
            <w:r>
              <w:tab/>
            </w:r>
            <w:r>
              <w:rPr>
                <w:bCs/>
              </w:rPr>
              <w:t>Critério de Julgamento: Menor Preço (</w:t>
            </w:r>
            <w:r>
              <w:rPr>
                <w:rFonts w:hint="default"/>
                <w:bCs/>
                <w:lang w:val="pt-BR"/>
              </w:rPr>
              <w:t>global</w:t>
            </w:r>
            <w:r>
              <w:rPr>
                <w:bCs/>
              </w:rPr>
              <w:t>);</w:t>
            </w:r>
          </w:p>
          <w:p w14:paraId="6CAD53A6">
            <w:pPr>
              <w:spacing w:before="120" w:after="120" w:line="240" w:lineRule="auto"/>
              <w:ind w:left="718" w:hanging="425"/>
              <w:jc w:val="both"/>
              <w:rPr>
                <w:bCs/>
                <w:i/>
                <w:iCs/>
              </w:rPr>
            </w:pPr>
            <w:r>
              <w:rPr>
                <w:bCs/>
              </w:rPr>
              <w:t>(b)</w:t>
            </w:r>
            <w:r>
              <w:t xml:space="preserve"> </w:t>
            </w:r>
            <w:r>
              <w:tab/>
            </w:r>
            <w:r>
              <w:rPr>
                <w:bCs/>
              </w:rPr>
              <w:t>Regime de execução: Empreitada por preços unitários</w:t>
            </w:r>
          </w:p>
          <w:p w14:paraId="78F162A4">
            <w:pPr>
              <w:spacing w:before="120" w:after="120" w:line="240" w:lineRule="auto"/>
              <w:ind w:left="718" w:hanging="425"/>
              <w:jc w:val="both"/>
              <w:rPr>
                <w:iCs/>
              </w:rPr>
            </w:pPr>
            <w:r>
              <w:t xml:space="preserve">(c) </w:t>
            </w:r>
            <w:r>
              <w:tab/>
            </w:r>
            <w:r>
              <w:t xml:space="preserve">Modo de disputa: </w:t>
            </w:r>
            <w:r>
              <w:rPr>
                <w:iCs/>
              </w:rPr>
              <w:t>Aberto</w:t>
            </w:r>
          </w:p>
          <w:p w14:paraId="2B7EB1D3">
            <w:pPr>
              <w:spacing w:after="0" w:afterLines="45" w:line="240" w:lineRule="auto"/>
              <w:jc w:val="both"/>
            </w:pPr>
            <w:r>
              <w:rPr>
                <w:rFonts w:hint="default"/>
                <w:lang w:val="pt-BR"/>
              </w:rPr>
              <w:t>S</w:t>
            </w:r>
            <w:r>
              <w:rPr>
                <w:rFonts w:hint="default"/>
              </w:rPr>
              <w:t>erá adotado para o envio de lances da Concorrência o modo de disputa “aberto”, em que as licitantes apresentarão lances públicos e sucessivos, crescentes ou decrescentes, com prorrogações</w:t>
            </w:r>
            <w:r>
              <w:t>.</w:t>
            </w:r>
          </w:p>
          <w:p w14:paraId="1B23C57F">
            <w:pPr>
              <w:pStyle w:val="49"/>
              <w:numPr>
                <w:ilvl w:val="0"/>
                <w:numId w:val="15"/>
              </w:numPr>
              <w:spacing w:after="0" w:afterLines="50" w:line="240" w:lineRule="auto"/>
              <w:ind w:left="660" w:leftChars="100" w:hanging="440" w:hangingChars="200"/>
              <w:jc w:val="both"/>
              <w:rPr>
                <w:rFonts w:hint="default"/>
                <w:lang w:val="pt-BR"/>
              </w:rPr>
            </w:pPr>
            <w:r>
              <w:rPr>
                <w:rFonts w:hint="default"/>
                <w:lang w:val="pt-BR"/>
              </w:rPr>
              <w:t xml:space="preserve"> </w:t>
            </w:r>
            <w:r>
              <w:rPr>
                <w:rFonts w:hint="default"/>
                <w:lang w:val="pt-BR"/>
              </w:rPr>
              <w:tab/>
            </w:r>
            <w:r>
              <w:rPr>
                <w:rFonts w:hint="default"/>
                <w:lang w:val="pt-BR"/>
              </w:rPr>
              <w:t>A etapa de envio de lances durará 10 (dez) minutos e, após isso, será prorrogada automaticamente pelo sistema quando houver lance ofertado nos últimos 2 (dois) minutos do período de duração desta etapa;</w:t>
            </w:r>
          </w:p>
          <w:p w14:paraId="3DF2FE9C">
            <w:pPr>
              <w:pStyle w:val="49"/>
              <w:numPr>
                <w:ilvl w:val="0"/>
                <w:numId w:val="15"/>
              </w:numPr>
              <w:spacing w:after="0" w:afterLines="50" w:line="240" w:lineRule="auto"/>
              <w:ind w:left="660" w:leftChars="100" w:hanging="440" w:hangingChars="200"/>
              <w:jc w:val="both"/>
              <w:rPr>
                <w:rFonts w:hint="default"/>
                <w:lang w:val="pt-BR"/>
              </w:rPr>
            </w:pPr>
            <w:r>
              <w:rPr>
                <w:rFonts w:hint="default"/>
                <w:lang w:val="pt-BR"/>
              </w:rPr>
              <w:t xml:space="preserve"> </w:t>
            </w:r>
            <w:r>
              <w:rPr>
                <w:rFonts w:hint="default"/>
                <w:lang w:val="pt-BR"/>
              </w:rPr>
              <w:tab/>
            </w:r>
            <w:r>
              <w:rPr>
                <w:rFonts w:hint="default"/>
                <w:lang w:val="pt-BR"/>
              </w:rPr>
              <w:t>A prorrogação automática da etapa de lances, será de 2 (dois) minutos e ocorrerá sucessivamente sempre que houver lances enviados nesse período de prorrogação, inclusive quando se tratar de lances intermediários;</w:t>
            </w:r>
          </w:p>
          <w:p w14:paraId="6808512E">
            <w:pPr>
              <w:pStyle w:val="49"/>
              <w:numPr>
                <w:ilvl w:val="0"/>
                <w:numId w:val="15"/>
              </w:numPr>
              <w:spacing w:after="0" w:afterLines="50" w:line="240" w:lineRule="auto"/>
              <w:ind w:left="660" w:leftChars="100" w:hanging="440" w:hangingChars="200"/>
              <w:jc w:val="both"/>
              <w:rPr>
                <w:rFonts w:hint="default"/>
                <w:lang w:val="pt-BR"/>
              </w:rPr>
            </w:pPr>
            <w:r>
              <w:rPr>
                <w:rFonts w:hint="default"/>
                <w:lang w:val="pt-BR"/>
              </w:rPr>
              <w:t xml:space="preserve"> </w:t>
            </w:r>
            <w:r>
              <w:rPr>
                <w:rFonts w:hint="default"/>
                <w:lang w:val="pt-BR"/>
              </w:rPr>
              <w:tab/>
            </w:r>
            <w:r>
              <w:rPr>
                <w:rFonts w:hint="default"/>
                <w:lang w:val="pt-BR"/>
              </w:rPr>
              <w:t>Na hipótese de não haver novos lances na forma estabelecida nos subitens anteriores, a etapa será encerrada automaticamente, e o sistema ordenará e divulgará os lances conforme a ordem final de classificação;</w:t>
            </w:r>
          </w:p>
          <w:p w14:paraId="29EB9EBE">
            <w:pPr>
              <w:pStyle w:val="49"/>
              <w:numPr>
                <w:ilvl w:val="0"/>
                <w:numId w:val="15"/>
              </w:numPr>
              <w:spacing w:after="0" w:afterLines="50" w:line="240" w:lineRule="auto"/>
              <w:ind w:left="660" w:leftChars="100" w:hanging="440" w:hangingChars="200"/>
              <w:jc w:val="both"/>
              <w:rPr>
                <w:rFonts w:hint="default"/>
                <w:lang w:val="pt-BR"/>
              </w:rPr>
            </w:pPr>
            <w:r>
              <w:rPr>
                <w:rFonts w:hint="default"/>
                <w:lang w:val="pt-BR"/>
              </w:rPr>
              <w:t xml:space="preserve"> </w:t>
            </w:r>
            <w:r>
              <w:rPr>
                <w:rFonts w:hint="default"/>
                <w:lang w:val="pt-BR"/>
              </w:rPr>
              <w:tab/>
            </w:r>
            <w:r>
              <w:rPr>
                <w:rFonts w:hint="default"/>
                <w:lang w:val="pt-BR"/>
              </w:rPr>
              <w:t>Definida a melhor proposta, se a diferença em relação à proposta classificada em segundo lugar for de pelo menos 5% (cinco por cento), o(a) pregoeiro(a), agente de contratação, pregoeiro(a) ou comissão de contratação, conforme o caso, poderá admitir o reinício da disputa aberta, para a definição das demais colocações.</w:t>
            </w:r>
          </w:p>
          <w:p w14:paraId="6FED74CD">
            <w:pPr>
              <w:pStyle w:val="49"/>
              <w:numPr>
                <w:ilvl w:val="0"/>
                <w:numId w:val="15"/>
              </w:numPr>
              <w:spacing w:after="0" w:afterLines="50" w:line="240" w:lineRule="auto"/>
              <w:ind w:left="660" w:leftChars="100" w:hanging="440" w:hangingChars="200"/>
              <w:jc w:val="both"/>
              <w:rPr>
                <w:rFonts w:hint="default"/>
                <w:lang w:val="pt-BR"/>
              </w:rPr>
            </w:pPr>
            <w:r>
              <w:rPr>
                <w:rFonts w:hint="default"/>
                <w:lang w:val="pt-BR"/>
              </w:rPr>
              <w:t xml:space="preserve"> </w:t>
            </w:r>
            <w:r>
              <w:rPr>
                <w:rFonts w:hint="default"/>
                <w:lang w:val="pt-BR"/>
              </w:rPr>
              <w:tab/>
            </w:r>
            <w:r>
              <w:rPr>
                <w:rFonts w:hint="default"/>
                <w:lang w:val="pt-BR"/>
              </w:rPr>
              <w:t>Após o reinício previsto, as licitantes serão convocadas para apresentarem lances intermediários</w:t>
            </w:r>
          </w:p>
          <w:p w14:paraId="17EB07B7">
            <w:pPr>
              <w:pStyle w:val="49"/>
              <w:numPr>
                <w:ilvl w:val="0"/>
                <w:numId w:val="0"/>
              </w:numPr>
              <w:tabs>
                <w:tab w:val="left" w:pos="1685"/>
              </w:tabs>
              <w:spacing w:after="0" w:afterLines="50" w:line="240" w:lineRule="auto"/>
              <w:jc w:val="both"/>
            </w:pPr>
            <w:r>
              <w:t>O intervalo mínimo de diferença de valores ou percentuais entre os lances, que incidirá tanto em relação aos lances intermediários quanto em relação à proposta que cobrir a melhor oferta deverá ser de R$ 100,00 (cem reais).</w:t>
            </w:r>
          </w:p>
          <w:p w14:paraId="1F7F2E3A">
            <w:pPr>
              <w:pStyle w:val="49"/>
              <w:numPr>
                <w:ilvl w:val="0"/>
                <w:numId w:val="0"/>
              </w:numPr>
              <w:spacing w:after="0" w:afterLines="50" w:line="240" w:lineRule="auto"/>
              <w:ind w:left="660" w:leftChars="100" w:hanging="440" w:hangingChars="200"/>
              <w:jc w:val="both"/>
              <w:rPr>
                <w:rFonts w:hint="default"/>
              </w:rPr>
            </w:pPr>
            <w:r>
              <w:rPr>
                <w:rFonts w:hint="default"/>
              </w:rPr>
              <w:t xml:space="preserve">I. </w:t>
            </w:r>
            <w:r>
              <w:rPr>
                <w:rFonts w:hint="default"/>
              </w:rPr>
              <w:tab/>
            </w:r>
            <w:r>
              <w:rPr>
                <w:rFonts w:hint="default"/>
              </w:rPr>
              <w:t>Serão considerados intermediários os lances:</w:t>
            </w:r>
          </w:p>
          <w:p w14:paraId="75FB88DF">
            <w:pPr>
              <w:spacing w:before="120" w:after="120" w:line="240" w:lineRule="auto"/>
              <w:ind w:left="1100" w:leftChars="0" w:hanging="440" w:firstLineChars="0"/>
              <w:jc w:val="both"/>
              <w:rPr>
                <w:rFonts w:hint="default"/>
              </w:rPr>
            </w:pPr>
            <w:r>
              <w:rPr>
                <w:rFonts w:hint="default"/>
                <w:lang w:val="pt-BR"/>
              </w:rPr>
              <w:t>(</w:t>
            </w:r>
            <w:r>
              <w:rPr>
                <w:rFonts w:hint="default"/>
              </w:rPr>
              <w:t xml:space="preserve">a) </w:t>
            </w:r>
            <w:r>
              <w:rPr>
                <w:rFonts w:hint="default"/>
              </w:rPr>
              <w:tab/>
            </w:r>
            <w:r>
              <w:rPr>
                <w:rFonts w:hint="default"/>
              </w:rPr>
              <w:t>iguais ou inferiores ao maior já ofertado, quando adotado o critério de julgamento de maior lance;</w:t>
            </w:r>
          </w:p>
          <w:p w14:paraId="0E3B0139">
            <w:pPr>
              <w:spacing w:before="120" w:after="120" w:line="240" w:lineRule="auto"/>
              <w:ind w:left="1100" w:leftChars="0" w:hanging="440" w:firstLineChars="0"/>
              <w:jc w:val="both"/>
              <w:rPr>
                <w:rFonts w:hint="default"/>
                <w:lang w:val="pt-BR"/>
              </w:rPr>
            </w:pPr>
            <w:r>
              <w:rPr>
                <w:rFonts w:hint="default"/>
                <w:lang w:val="pt-BR"/>
              </w:rPr>
              <w:t xml:space="preserve">(b) </w:t>
            </w:r>
            <w:r>
              <w:rPr>
                <w:rFonts w:hint="default"/>
                <w:lang w:val="pt-BR"/>
              </w:rPr>
              <w:tab/>
            </w:r>
            <w:r>
              <w:rPr>
                <w:rFonts w:hint="default"/>
              </w:rPr>
              <w:t>iguais ou superiores ao menor já ofertado, quando adotados os demais critérios de julgamento</w:t>
            </w:r>
            <w:r>
              <w:rPr>
                <w:rFonts w:hint="default"/>
                <w:lang w:val="pt-BR"/>
              </w:rPr>
              <w:t>.</w:t>
            </w:r>
          </w:p>
          <w:p w14:paraId="37B2963C">
            <w:pPr>
              <w:spacing w:before="120" w:after="120" w:line="240" w:lineRule="auto"/>
              <w:jc w:val="both"/>
              <w:rPr>
                <w:rFonts w:hint="default"/>
                <w:lang w:val="pt-BR"/>
              </w:rPr>
            </w:pPr>
            <w:r>
              <w:rPr>
                <w:rFonts w:hint="default"/>
                <w:lang w:val="pt-BR"/>
              </w:rPr>
              <w:t>Após o término dos prazos estabelecidos nos incisos anteriores, o sistema ordenará e divulgará os lances na ordem crescente.</w:t>
            </w:r>
          </w:p>
          <w:p w14:paraId="19B0C787">
            <w:pPr>
              <w:spacing w:before="120" w:after="120" w:line="240" w:lineRule="auto"/>
              <w:jc w:val="both"/>
              <w:rPr>
                <w:rFonts w:hint="default"/>
                <w:lang w:val="pt-BR"/>
              </w:rPr>
            </w:pPr>
            <w:r>
              <w:rPr>
                <w:rFonts w:hint="default"/>
                <w:lang w:val="pt-BR"/>
              </w:rPr>
              <w:t>Caso a licitante não apresente lances, concorrerá com o valor de sua proposta.</w:t>
            </w:r>
          </w:p>
          <w:p w14:paraId="1A01B98D">
            <w:pPr>
              <w:spacing w:before="120" w:after="120" w:line="240" w:lineRule="auto"/>
              <w:jc w:val="both"/>
              <w:rPr>
                <w:rFonts w:hint="default"/>
                <w:lang w:val="pt-BR"/>
              </w:rPr>
            </w:pPr>
            <w:r>
              <w:rPr>
                <w:rFonts w:hint="default"/>
                <w:lang w:val="pt-BR"/>
              </w:rPr>
              <w:t>Desde que disponibilizada a funcionalidade no sistema, a licitante poderá parametrizar o seu valor final mínimo ou o seu percentual de desconto final máximo e obedecerá às seguintes regras:</w:t>
            </w:r>
          </w:p>
          <w:p w14:paraId="559412F3">
            <w:pPr>
              <w:pStyle w:val="49"/>
              <w:numPr>
                <w:ilvl w:val="0"/>
                <w:numId w:val="16"/>
              </w:numPr>
              <w:spacing w:after="0" w:afterLines="50" w:line="240" w:lineRule="auto"/>
              <w:ind w:left="660" w:leftChars="100" w:hanging="440" w:hangingChars="200"/>
              <w:jc w:val="both"/>
              <w:rPr>
                <w:rFonts w:hint="default"/>
              </w:rPr>
            </w:pPr>
            <w:r>
              <w:rPr>
                <w:rFonts w:hint="default"/>
              </w:rPr>
              <w:tab/>
            </w:r>
            <w:r>
              <w:rPr>
                <w:rFonts w:hint="default"/>
              </w:rPr>
              <w:t>A aplicação do intervalo mínimo de diferença de valores ou de percentuais entre os lances, que incidirá tanto em relação aos lances intermediários quanto em relação ao lance que cobrir a melhor oferta; e</w:t>
            </w:r>
          </w:p>
          <w:p w14:paraId="272466BE">
            <w:pPr>
              <w:pStyle w:val="49"/>
              <w:numPr>
                <w:ilvl w:val="0"/>
                <w:numId w:val="16"/>
              </w:numPr>
              <w:spacing w:after="0" w:afterLines="50" w:line="240" w:lineRule="auto"/>
              <w:ind w:left="660" w:leftChars="100" w:hanging="440" w:hangingChars="200"/>
              <w:jc w:val="both"/>
              <w:rPr>
                <w:rFonts w:hint="default"/>
              </w:rPr>
            </w:pPr>
            <w:r>
              <w:rPr>
                <w:rFonts w:hint="default"/>
                <w:lang w:val="pt-BR"/>
              </w:rPr>
              <w:tab/>
            </w:r>
            <w:r>
              <w:rPr>
                <w:rFonts w:hint="default"/>
                <w:lang w:val="pt-BR"/>
              </w:rPr>
              <w:t>Os lances serão de envio automático pelo sistema, respeitado o valor final mínimo estabelecido e o intervalo de que trata o inciso anterior.</w:t>
            </w:r>
            <w:r>
              <w:rPr>
                <w:rFonts w:hint="default"/>
              </w:rPr>
              <w:t>;</w:t>
            </w:r>
          </w:p>
          <w:p w14:paraId="37EE964C">
            <w:pPr>
              <w:numPr>
                <w:ilvl w:val="0"/>
                <w:numId w:val="17"/>
              </w:numPr>
              <w:spacing w:before="120" w:after="120" w:line="240" w:lineRule="auto"/>
              <w:ind w:left="1100" w:leftChars="0" w:hanging="440" w:firstLineChars="0"/>
              <w:jc w:val="both"/>
              <w:rPr>
                <w:rFonts w:hint="default"/>
                <w:lang w:val="pt-BR"/>
              </w:rPr>
            </w:pPr>
            <w:r>
              <w:rPr>
                <w:rFonts w:hint="default"/>
                <w:lang w:val="pt-BR"/>
              </w:rPr>
              <w:tab/>
            </w:r>
            <w:r>
              <w:rPr>
                <w:rFonts w:hint="default"/>
                <w:lang w:val="pt-BR"/>
              </w:rPr>
              <w:t>O valor final mínimo poderá ser alterado pelo fornecedor durante a fase de disputa, sendo vedado valor superior a lance já registrado pelo fornecedor no sistema.</w:t>
            </w:r>
          </w:p>
          <w:p w14:paraId="203B122C">
            <w:pPr>
              <w:numPr>
                <w:ilvl w:val="0"/>
                <w:numId w:val="0"/>
              </w:numPr>
              <w:spacing w:before="120" w:after="120" w:line="240" w:lineRule="auto"/>
              <w:jc w:val="both"/>
              <w:rPr>
                <w:rFonts w:hint="default"/>
                <w:lang w:val="pt-BR"/>
              </w:rPr>
            </w:pPr>
            <w:r>
              <w:rPr>
                <w:rFonts w:hint="default"/>
                <w:lang w:val="pt-BR"/>
              </w:rPr>
              <w:t>Para julgamento e classificação das propostas será adotado o critério do “menor preço” global, observados os requisitos, as especificações técnicas e os parâmetros definidos neste edital e em seus anexos quanto ao objeto.</w:t>
            </w:r>
          </w:p>
          <w:p w14:paraId="6117CCD3">
            <w:pPr>
              <w:numPr>
                <w:ilvl w:val="0"/>
                <w:numId w:val="0"/>
              </w:numPr>
              <w:spacing w:before="120" w:after="120" w:line="240" w:lineRule="auto"/>
              <w:jc w:val="both"/>
              <w:rPr>
                <w:rFonts w:hint="default"/>
                <w:lang w:val="pt-BR"/>
              </w:rPr>
            </w:pPr>
            <w:r>
              <w:rPr>
                <w:rFonts w:hint="default"/>
                <w:lang w:val="pt-BR"/>
              </w:rPr>
              <w:t>Na hipótese de não contratação nos termos previstos nesta SEÇÃO, o procedimento licitatório prossegue com as demais licitantes</w:t>
            </w:r>
          </w:p>
          <w:p w14:paraId="2F3C4388">
            <w:pPr>
              <w:numPr>
                <w:ilvl w:val="0"/>
                <w:numId w:val="0"/>
              </w:numPr>
              <w:spacing w:before="120" w:after="120" w:line="240" w:lineRule="auto"/>
              <w:jc w:val="both"/>
              <w:rPr>
                <w:rFonts w:hint="default"/>
                <w:lang w:val="pt-BR"/>
              </w:rPr>
            </w:pPr>
            <w:r>
              <w:rPr>
                <w:rFonts w:hint="default"/>
                <w:lang w:val="pt-BR"/>
              </w:rPr>
              <w:t>Em caso de empate entre duas ou mais propostas, serão utilizados os critérios de desempate previstos no art. 60 da Lei Federal n.° 14.133/2021.</w:t>
            </w:r>
          </w:p>
        </w:tc>
      </w:tr>
    </w:tbl>
    <w:p w14:paraId="5EB3718A"/>
    <w:p w14:paraId="26866237"/>
    <w:p w14:paraId="71285DD9"/>
    <w:p w14:paraId="5AB54659"/>
    <w:p w14:paraId="00FAAF9C">
      <w:pPr>
        <w:jc w:val="center"/>
      </w:pPr>
      <w:r>
        <w:t>_________________________________</w:t>
      </w:r>
    </w:p>
    <w:p w14:paraId="67426B74">
      <w:pPr>
        <w:jc w:val="center"/>
        <w:rPr>
          <w:rFonts w:hint="default"/>
          <w:b/>
          <w:bCs/>
        </w:rPr>
      </w:pPr>
      <w:r>
        <w:rPr>
          <w:rFonts w:hint="default"/>
          <w:b/>
          <w:bCs/>
        </w:rPr>
        <w:t>Tays Pereira Litran Diniz</w:t>
      </w:r>
    </w:p>
    <w:p w14:paraId="095F78BB">
      <w:pPr>
        <w:jc w:val="center"/>
      </w:pPr>
      <w:r>
        <w:t>Secretário Municipal de Administração</w:t>
      </w:r>
    </w:p>
    <w:p w14:paraId="6ECD8848">
      <w:pPr>
        <w:sectPr>
          <w:headerReference r:id="rId13" w:type="default"/>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pPr>
    </w:p>
    <w:p w14:paraId="55F6A1DA">
      <w:pPr>
        <w:pStyle w:val="87"/>
      </w:pPr>
      <w:bookmarkStart w:id="115" w:name="_Toc174536838"/>
      <w:bookmarkStart w:id="116" w:name="_Toc138837187"/>
      <w:bookmarkStart w:id="117" w:name="_Toc168412196"/>
      <w:bookmarkStart w:id="118" w:name="_Toc153208978"/>
      <w:r>
        <w:t>SEÇÃO 3 - REQUISITOS DE ELEGIBILIDADE E QUALIFICAÇÃO</w:t>
      </w:r>
      <w:bookmarkEnd w:id="115"/>
    </w:p>
    <w:p w14:paraId="753E03B7">
      <w:pPr>
        <w:jc w:val="center"/>
        <w:rPr>
          <w:b/>
          <w:bCs/>
        </w:rPr>
      </w:pPr>
      <w:r>
        <w:rPr>
          <w:b/>
          <w:bCs/>
        </w:rPr>
        <w:t>CONTEÚDO</w:t>
      </w:r>
      <w:r>
        <w:rPr>
          <w:rFonts w:hint="default"/>
          <w:b/>
          <w:bCs/>
          <w:lang w:val="pt-BR"/>
        </w:rPr>
        <w:t xml:space="preserve">             </w:t>
      </w:r>
      <w:r>
        <w:rPr>
          <w:b/>
          <w:bCs/>
        </w:rPr>
        <w:fldChar w:fldCharType="begin"/>
      </w:r>
      <w:r>
        <w:rPr>
          <w:b/>
          <w:bCs/>
        </w:rPr>
        <w:instrText xml:space="preserve"> TOC \h \z \t "Estilo11;1" </w:instrText>
      </w:r>
      <w:r>
        <w:rPr>
          <w:b/>
          <w:bCs/>
        </w:rPr>
        <w:fldChar w:fldCharType="separate"/>
      </w:r>
      <w:r>
        <w:fldChar w:fldCharType="begin"/>
      </w:r>
      <w:r>
        <w:instrText xml:space="preserve"> HYPERLINK \l "_Toc174521778" </w:instrText>
      </w:r>
      <w:r>
        <w:fldChar w:fldCharType="separate"/>
      </w:r>
      <w:r>
        <w:fldChar w:fldCharType="end"/>
      </w:r>
    </w:p>
    <w:p w14:paraId="2D9D2DD6">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"_Toc174521779" </w:instrText>
      </w:r>
      <w:r>
        <w:fldChar w:fldCharType="separate"/>
      </w:r>
      <w:r>
        <w:rPr>
          <w:rStyle w:val="16"/>
        </w:rPr>
        <w:t>1 Habilitação Jurídica</w:t>
      </w:r>
      <w:r>
        <w:tab/>
      </w:r>
      <w:r>
        <w:fldChar w:fldCharType="begin"/>
      </w:r>
      <w:r>
        <w:instrText xml:space="preserve"> PAGEREF _Toc174521779 \h </w:instrText>
      </w:r>
      <w:r>
        <w:fldChar w:fldCharType="separate"/>
      </w:r>
      <w:r>
        <w:t>41</w:t>
      </w:r>
      <w:r>
        <w:fldChar w:fldCharType="end"/>
      </w:r>
      <w:r>
        <w:fldChar w:fldCharType="end"/>
      </w:r>
    </w:p>
    <w:p w14:paraId="48493C8C">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"_Toc174521780" </w:instrText>
      </w:r>
      <w:r>
        <w:fldChar w:fldCharType="separate"/>
      </w:r>
      <w:r>
        <w:rPr>
          <w:rStyle w:val="16"/>
        </w:rPr>
        <w:t>2 Qualificação Econômico-Financeira</w:t>
      </w:r>
      <w:r>
        <w:tab/>
      </w:r>
      <w:r>
        <w:fldChar w:fldCharType="begin"/>
      </w:r>
      <w:r>
        <w:instrText xml:space="preserve"> PAGEREF _Toc174521780 \h </w:instrText>
      </w:r>
      <w:r>
        <w:fldChar w:fldCharType="separate"/>
      </w:r>
      <w:r>
        <w:t>41</w:t>
      </w:r>
      <w:r>
        <w:fldChar w:fldCharType="end"/>
      </w:r>
      <w:r>
        <w:fldChar w:fldCharType="end"/>
      </w:r>
    </w:p>
    <w:p w14:paraId="6CC7727C">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"_Toc174521781" </w:instrText>
      </w:r>
      <w:r>
        <w:fldChar w:fldCharType="separate"/>
      </w:r>
      <w:r>
        <w:rPr>
          <w:rStyle w:val="16"/>
        </w:rPr>
        <w:t>3 Índices de Qualificação Financeira</w:t>
      </w:r>
      <w:r>
        <w:tab/>
      </w:r>
      <w:r>
        <w:fldChar w:fldCharType="begin"/>
      </w:r>
      <w:r>
        <w:instrText xml:space="preserve"> PAGEREF _Toc174521781 \h </w:instrText>
      </w:r>
      <w:r>
        <w:fldChar w:fldCharType="separate"/>
      </w:r>
      <w:r>
        <w:t>42</w:t>
      </w:r>
      <w:r>
        <w:fldChar w:fldCharType="end"/>
      </w:r>
      <w:r>
        <w:fldChar w:fldCharType="end"/>
      </w:r>
    </w:p>
    <w:p w14:paraId="0AC5FCDA">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"_Toc174521782" </w:instrText>
      </w:r>
      <w:r>
        <w:fldChar w:fldCharType="separate"/>
      </w:r>
      <w:r>
        <w:rPr>
          <w:rStyle w:val="16"/>
        </w:rPr>
        <w:t>4 Regularidade Fiscal, Social e Trabalhista</w:t>
      </w:r>
      <w:r>
        <w:tab/>
      </w:r>
      <w:r>
        <w:fldChar w:fldCharType="begin"/>
      </w:r>
      <w:r>
        <w:instrText xml:space="preserve"> PAGEREF _Toc174521782 \h </w:instrText>
      </w:r>
      <w:r>
        <w:fldChar w:fldCharType="separate"/>
      </w:r>
      <w:r>
        <w:t>42</w:t>
      </w:r>
      <w:r>
        <w:fldChar w:fldCharType="end"/>
      </w:r>
      <w:r>
        <w:fldChar w:fldCharType="end"/>
      </w:r>
    </w:p>
    <w:p w14:paraId="63478CA2">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"_Toc174521783" </w:instrText>
      </w:r>
      <w:r>
        <w:fldChar w:fldCharType="separate"/>
      </w:r>
      <w:r>
        <w:rPr>
          <w:rStyle w:val="16"/>
        </w:rPr>
        <w:t>5 Qualificação Técnico-Profissional e Técnico-Operacional</w:t>
      </w:r>
      <w:r>
        <w:tab/>
      </w:r>
      <w:r>
        <w:fldChar w:fldCharType="begin"/>
      </w:r>
      <w:r>
        <w:instrText xml:space="preserve"> PAGEREF _Toc174521783 \h </w:instrText>
      </w:r>
      <w:r>
        <w:fldChar w:fldCharType="separate"/>
      </w:r>
      <w:r>
        <w:t>43</w:t>
      </w:r>
      <w:r>
        <w:fldChar w:fldCharType="end"/>
      </w:r>
      <w:r>
        <w:fldChar w:fldCharType="end"/>
      </w:r>
    </w:p>
    <w:p w14:paraId="224D52DF">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"_Toc174521784" </w:instrText>
      </w:r>
      <w:r>
        <w:fldChar w:fldCharType="separate"/>
      </w:r>
      <w:r>
        <w:rPr>
          <w:rStyle w:val="16"/>
        </w:rPr>
        <w:t>6 Apresentação de Declarações</w:t>
      </w:r>
      <w:r>
        <w:tab/>
      </w:r>
      <w:r>
        <w:fldChar w:fldCharType="begin"/>
      </w:r>
      <w:r>
        <w:instrText xml:space="preserve"> PAGEREF _Toc174521784 \h </w:instrText>
      </w:r>
      <w:r>
        <w:fldChar w:fldCharType="separate"/>
      </w:r>
      <w:r>
        <w:t>53</w:t>
      </w:r>
      <w:r>
        <w:fldChar w:fldCharType="end"/>
      </w:r>
      <w:r>
        <w:fldChar w:fldCharType="end"/>
      </w:r>
    </w:p>
    <w:p w14:paraId="56F7F920">
      <w:pPr>
        <w:pStyle w:val="34"/>
        <w:tabs>
          <w:tab w:val="right" w:leader="dot" w:pos="9016"/>
        </w:tabs>
      </w:pPr>
      <w:r>
        <w:fldChar w:fldCharType="begin"/>
      </w:r>
      <w:r>
        <w:instrText xml:space="preserve"> HYPERLINK \l "_Toc174521785" </w:instrText>
      </w:r>
      <w:r>
        <w:fldChar w:fldCharType="separate"/>
      </w:r>
      <w:r>
        <w:rPr>
          <w:rStyle w:val="16"/>
        </w:rPr>
        <w:t>7 Apresentação das Planilhas de Quantidades, Cronograma, Composição de Preços Unitários e BDI</w:t>
      </w:r>
      <w:r>
        <w:tab/>
      </w:r>
      <w:r>
        <w:fldChar w:fldCharType="begin"/>
      </w:r>
      <w:r>
        <w:instrText xml:space="preserve"> PAGEREF _Toc174521785 \h </w:instrText>
      </w:r>
      <w:r>
        <w:fldChar w:fldCharType="separate"/>
      </w:r>
      <w:r>
        <w:t>53</w:t>
      </w:r>
      <w:r>
        <w:fldChar w:fldCharType="end"/>
      </w:r>
      <w:r>
        <w:fldChar w:fldCharType="end"/>
      </w:r>
    </w:p>
    <w:p w14:paraId="5AABCD27">
      <w:pPr>
        <w:pStyle w:val="34"/>
        <w:tabs>
          <w:tab w:val="right" w:leader="dot" w:pos="9016"/>
        </w:tabs>
      </w:pPr>
      <w:r>
        <w:fldChar w:fldCharType="begin"/>
      </w:r>
      <w:r>
        <w:instrText xml:space="preserve"> HYPERLINK \l "_Toc174521782" </w:instrText>
      </w:r>
      <w:r>
        <w:fldChar w:fldCharType="separate"/>
      </w:r>
      <w:r>
        <w:rPr>
          <w:rStyle w:val="16"/>
        </w:rPr>
        <w:t>8 Apresentação de Garantias</w:t>
      </w:r>
      <w:r>
        <w:tab/>
      </w:r>
      <w:r>
        <w:t>52</w:t>
      </w:r>
      <w:r>
        <w:fldChar w:fldCharType="end"/>
      </w:r>
    </w:p>
    <w:p w14:paraId="7DCC666A">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"_Toc174521782" </w:instrText>
      </w:r>
      <w:r>
        <w:fldChar w:fldCharType="separate"/>
      </w:r>
      <w:r>
        <w:rPr>
          <w:rStyle w:val="16"/>
        </w:rPr>
        <w:t>9 Credenciamento, Informações sobre o Concorrente e Carta de Apresentação da Proposta</w:t>
      </w:r>
      <w:r>
        <w:tab/>
      </w:r>
      <w:r>
        <w:fldChar w:fldCharType="end"/>
      </w:r>
      <w:r>
        <w:t>52</w:t>
      </w:r>
    </w:p>
    <w:p w14:paraId="76CC8B2B"/>
    <w:p w14:paraId="305BA2FA">
      <w:pPr>
        <w:jc w:val="center"/>
        <w:rPr>
          <w:b/>
          <w:bCs/>
        </w:rPr>
      </w:pPr>
      <w:r>
        <w:rPr>
          <w:b/>
          <w:bCs/>
        </w:rPr>
        <w:fldChar w:fldCharType="end"/>
      </w:r>
    </w:p>
    <w:p w14:paraId="42A6BEAB">
      <w:pPr>
        <w:jc w:val="center"/>
        <w:rPr>
          <w:b/>
          <w:bCs/>
        </w:rPr>
      </w:pPr>
      <w:r>
        <w:rPr>
          <w:b/>
          <w:bCs/>
        </w:rPr>
        <w:br w:type="page"/>
      </w:r>
    </w:p>
    <w:p w14:paraId="31F61B9F">
      <w:pPr>
        <w:jc w:val="center"/>
        <w:rPr>
          <w:b/>
          <w:bCs/>
        </w:rPr>
      </w:pPr>
      <w:r>
        <w:rPr>
          <w:b/>
          <w:bCs/>
        </w:rPr>
        <w:t>Introdução</w:t>
      </w:r>
      <w:bookmarkEnd w:id="116"/>
      <w:bookmarkEnd w:id="117"/>
      <w:bookmarkEnd w:id="118"/>
    </w:p>
    <w:p w14:paraId="5B36BA21">
      <w:pPr>
        <w:jc w:val="both"/>
      </w:pPr>
      <w:r>
        <w:t>Esta Seção contém todos os critérios que o Contratante utilizará para determinar a elegibilidade e qualificar os concorrentes.  Não existem outros fatores, métodos ou critérios a serem utilizados distintos dos especificados neste edital.</w:t>
      </w:r>
    </w:p>
    <w:p w14:paraId="5BCBB3D1">
      <w:pPr>
        <w:jc w:val="both"/>
      </w:pPr>
      <w:r>
        <w:t>O concorrente deverá fornecer toda a informação solicitada nos formulários incluídos na Seção 4 - Formulários da Proposta.</w:t>
      </w:r>
    </w:p>
    <w:p w14:paraId="448E95C1">
      <w:pPr>
        <w:jc w:val="both"/>
      </w:pPr>
      <w:r>
        <w:t xml:space="preserve">As provas de regularidade deverão ser apresentadas no original ou em cópias e valerão nos prazos que lhes são próprios, inexistindo esse prazo, reputar-se-ão </w:t>
      </w:r>
      <w:r>
        <w:rPr>
          <w:bCs/>
        </w:rPr>
        <w:t>válidas por 60 dias</w:t>
      </w:r>
      <w:r>
        <w:t>, contados de sua expedição.</w:t>
      </w:r>
    </w:p>
    <w:p w14:paraId="3FC9446E">
      <w:pPr>
        <w:jc w:val="both"/>
      </w:pPr>
      <w:r>
        <w:t xml:space="preserve">O concorrente deverá: </w:t>
      </w:r>
    </w:p>
    <w:p w14:paraId="5A6BE072">
      <w:pPr>
        <w:jc w:val="both"/>
      </w:pPr>
      <w:r>
        <w:t>(a) demonstrar situação regular quanto aos aspectos jurídicos, financeiros, fiscais, sociais e trabalhistas e reserva de cargos;</w:t>
      </w:r>
    </w:p>
    <w:p w14:paraId="4AA3E471">
      <w:pPr>
        <w:jc w:val="both"/>
      </w:pPr>
      <w:r>
        <w:t>(b) atender aos índices contábeis exigidos demonstrando boa situação financeira;</w:t>
      </w:r>
    </w:p>
    <w:p w14:paraId="35AF648C">
      <w:pPr>
        <w:jc w:val="both"/>
      </w:pPr>
      <w:r>
        <w:t>(c) ter executado serviços com características, quantidades e valores de contratos compatíveis com o objeto da licitação (parcelas de maior relevância);</w:t>
      </w:r>
    </w:p>
    <w:p w14:paraId="793F51D2">
      <w:pPr>
        <w:jc w:val="both"/>
      </w:pPr>
      <w:r>
        <w:t>(d) possuir equipe chave, indicada para execução dos serviços, cuja experiência e qualificação sejam compatíveis com os requisitos de similaridade definidos na Seção 3, relativamente às parcelas de maior relevância e valor significativo das Obras;</w:t>
      </w:r>
    </w:p>
    <w:p w14:paraId="6130B39D">
      <w:pPr>
        <w:jc w:val="both"/>
      </w:pPr>
      <w:r>
        <w:t xml:space="preserve">(e) apresentar toda a informação solicitada nos formulários incluídos na Seção 4 - Formulários da Proposta. Sempre que se exigir de um concorrente a indicação de um valor monetário, os concorrentes deverão indicar o equivalente em reais ou indicar a taxa de câmbio utilizada para calcular montantes equivalentes em reais. </w:t>
      </w:r>
    </w:p>
    <w:p w14:paraId="6B70A760">
      <w:pPr>
        <w:jc w:val="both"/>
        <w:sectPr>
          <w:headerReference r:id="rId14" w:type="default"/>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pPr>
    </w:p>
    <w:p w14:paraId="0E38E54C">
      <w:pPr>
        <w:jc w:val="center"/>
        <w:rPr>
          <w:b/>
          <w:bCs/>
        </w:rPr>
      </w:pPr>
      <w:r>
        <w:rPr>
          <w:b/>
          <w:bCs/>
        </w:rPr>
        <w:t>Requisitos de Elegibilidade e Qualificação</w:t>
      </w:r>
    </w:p>
    <w:tbl>
      <w:tblPr>
        <w:tblStyle w:val="12"/>
        <w:tblW w:w="5551"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44"/>
        <w:gridCol w:w="356"/>
        <w:gridCol w:w="5885"/>
        <w:gridCol w:w="2557"/>
        <w:gridCol w:w="1136"/>
        <w:gridCol w:w="991"/>
        <w:gridCol w:w="6"/>
        <w:gridCol w:w="2253"/>
      </w:tblGrid>
      <w:tr w14:paraId="5737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blHeader/>
        </w:trPr>
        <w:tc>
          <w:tcPr>
            <w:tcW w:w="2794" w:type="pct"/>
            <w:gridSpan w:val="4"/>
            <w:shd w:val="clear" w:color="auto" w:fill="3F3F3F" w:themeFill="text1" w:themeFillTint="BF"/>
            <w:vAlign w:val="center"/>
          </w:tcPr>
          <w:p w14:paraId="516C4967">
            <w:pPr>
              <w:spacing w:before="60" w:after="60"/>
              <w:jc w:val="center"/>
              <w:rPr>
                <w:b/>
                <w:bCs/>
                <w:iCs/>
                <w:color w:val="FFFFFF" w:themeColor="background1"/>
                <w14:textFill>
                  <w14:solidFill>
                    <w14:schemeClr w14:val="bg1"/>
                  </w14:solidFill>
                </w14:textFill>
              </w:rPr>
            </w:pPr>
            <w:r>
              <w:rPr>
                <w:b/>
                <w:bCs/>
                <w:iCs/>
                <w:color w:val="FFFFFF" w:themeColor="background1"/>
                <w14:textFill>
                  <w14:solidFill>
                    <w14:schemeClr w14:val="bg1"/>
                  </w14:solidFill>
                </w14:textFill>
              </w:rPr>
              <w:br w:type="page"/>
            </w:r>
            <w:r>
              <w:rPr>
                <w:b/>
                <w:bCs/>
                <w:iCs/>
                <w:color w:val="FFFFFF" w:themeColor="background1"/>
                <w14:textFill>
                  <w14:solidFill>
                    <w14:schemeClr w14:val="bg1"/>
                  </w14:solidFill>
                </w14:textFill>
              </w:rPr>
              <w:br w:type="page"/>
            </w:r>
            <w:r>
              <w:rPr>
                <w:b/>
                <w:bCs/>
                <w:iCs/>
                <w:color w:val="FFFFFF" w:themeColor="background1"/>
                <w14:textFill>
                  <w14:solidFill>
                    <w14:schemeClr w14:val="bg1"/>
                  </w14:solidFill>
                </w14:textFill>
              </w:rPr>
              <w:t>Critérios de Elegibilidade e Qualificação</w:t>
            </w:r>
          </w:p>
        </w:tc>
        <w:tc>
          <w:tcPr>
            <w:tcW w:w="1490" w:type="pct"/>
            <w:gridSpan w:val="4"/>
            <w:shd w:val="clear" w:color="auto" w:fill="3F3F3F" w:themeFill="text1" w:themeFillTint="BF"/>
            <w:vAlign w:val="center"/>
          </w:tcPr>
          <w:p w14:paraId="155E5774">
            <w:pPr>
              <w:spacing w:before="60" w:after="60"/>
              <w:jc w:val="center"/>
              <w:rPr>
                <w:b/>
                <w:bCs/>
                <w:iCs/>
                <w:color w:val="FFFFFF" w:themeColor="background1"/>
                <w14:textFill>
                  <w14:solidFill>
                    <w14:schemeClr w14:val="bg1"/>
                  </w14:solidFill>
                </w14:textFill>
              </w:rPr>
            </w:pPr>
            <w:r>
              <w:rPr>
                <w:b/>
                <w:bCs/>
                <w:iCs/>
                <w:color w:val="FFFFFF" w:themeColor="background1"/>
                <w14:textFill>
                  <w14:solidFill>
                    <w14:schemeClr w14:val="bg1"/>
                  </w14:solidFill>
                </w14:textFill>
              </w:rPr>
              <w:t>Requisitos de Cumprimento</w:t>
            </w:r>
          </w:p>
        </w:tc>
        <w:tc>
          <w:tcPr>
            <w:tcW w:w="715" w:type="pct"/>
            <w:shd w:val="clear" w:color="auto" w:fill="3F3F3F" w:themeFill="text1" w:themeFillTint="BF"/>
            <w:vAlign w:val="center"/>
          </w:tcPr>
          <w:p w14:paraId="0029813A">
            <w:pPr>
              <w:spacing w:before="60" w:after="60"/>
              <w:jc w:val="center"/>
              <w:rPr>
                <w:b/>
                <w:bCs/>
                <w:iCs/>
                <w:color w:val="FFFFFF" w:themeColor="background1"/>
                <w14:textFill>
                  <w14:solidFill>
                    <w14:schemeClr w14:val="bg1"/>
                  </w14:solidFill>
                </w14:textFill>
              </w:rPr>
            </w:pPr>
            <w:r>
              <w:rPr>
                <w:b/>
                <w:bCs/>
                <w:iCs/>
                <w:color w:val="FFFFFF" w:themeColor="background1"/>
                <w14:textFill>
                  <w14:solidFill>
                    <w14:schemeClr w14:val="bg1"/>
                  </w14:solidFill>
                </w14:textFill>
              </w:rPr>
              <w:t>Documentos</w:t>
            </w:r>
          </w:p>
        </w:tc>
      </w:tr>
      <w:tr w14:paraId="7AEBE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blHeader/>
        </w:trPr>
        <w:tc>
          <w:tcPr>
            <w:tcW w:w="225" w:type="pct"/>
            <w:vMerge w:val="restart"/>
            <w:shd w:val="clear" w:color="auto" w:fill="D9D9D9"/>
            <w:vAlign w:val="center"/>
          </w:tcPr>
          <w:p w14:paraId="0DC6E86B">
            <w:pPr>
              <w:spacing w:before="60" w:after="60"/>
              <w:jc w:val="center"/>
              <w:rPr>
                <w:b/>
                <w:bCs/>
                <w:iCs/>
              </w:rPr>
            </w:pPr>
            <w:r>
              <w:rPr>
                <w:b/>
                <w:bCs/>
                <w:iCs/>
              </w:rPr>
              <w:t>N</w:t>
            </w:r>
            <w:r>
              <w:rPr>
                <w:b/>
                <w:bCs/>
                <w:iCs/>
                <w:u w:val="single"/>
                <w:vertAlign w:val="superscript"/>
              </w:rPr>
              <w:t>o</w:t>
            </w:r>
          </w:p>
        </w:tc>
        <w:tc>
          <w:tcPr>
            <w:tcW w:w="585" w:type="pct"/>
            <w:vMerge w:val="restart"/>
            <w:shd w:val="clear" w:color="auto" w:fill="D9D9D9"/>
            <w:vAlign w:val="center"/>
          </w:tcPr>
          <w:p w14:paraId="04B38D90">
            <w:pPr>
              <w:spacing w:before="60" w:after="60"/>
              <w:jc w:val="center"/>
              <w:rPr>
                <w:b/>
                <w:bCs/>
                <w:iCs/>
              </w:rPr>
            </w:pPr>
            <w:r>
              <w:rPr>
                <w:b/>
                <w:bCs/>
                <w:iCs/>
              </w:rPr>
              <w:br w:type="page"/>
            </w:r>
            <w:r>
              <w:rPr>
                <w:b/>
                <w:bCs/>
                <w:iCs/>
              </w:rPr>
              <w:br w:type="page"/>
            </w:r>
            <w:r>
              <w:rPr>
                <w:b/>
                <w:bCs/>
                <w:iCs/>
              </w:rPr>
              <w:t>Assunto</w:t>
            </w:r>
          </w:p>
        </w:tc>
        <w:tc>
          <w:tcPr>
            <w:tcW w:w="1982" w:type="pct"/>
            <w:gridSpan w:val="2"/>
            <w:vMerge w:val="restart"/>
            <w:shd w:val="clear" w:color="auto" w:fill="D9D9D9"/>
            <w:vAlign w:val="center"/>
          </w:tcPr>
          <w:p w14:paraId="66D44DB9">
            <w:pPr>
              <w:spacing w:before="60" w:after="60"/>
              <w:jc w:val="center"/>
              <w:rPr>
                <w:b/>
                <w:bCs/>
                <w:iCs/>
              </w:rPr>
            </w:pPr>
            <w:r>
              <w:rPr>
                <w:b/>
                <w:bCs/>
                <w:iCs/>
              </w:rPr>
              <w:t>Requisito</w:t>
            </w:r>
          </w:p>
        </w:tc>
        <w:tc>
          <w:tcPr>
            <w:tcW w:w="812" w:type="pct"/>
            <w:vMerge w:val="restart"/>
            <w:shd w:val="clear" w:color="auto" w:fill="D9D9D9"/>
            <w:vAlign w:val="center"/>
          </w:tcPr>
          <w:p w14:paraId="3E11E92B">
            <w:pPr>
              <w:spacing w:before="60" w:after="60"/>
              <w:jc w:val="center"/>
              <w:rPr>
                <w:b/>
                <w:bCs/>
                <w:iCs/>
              </w:rPr>
            </w:pPr>
            <w:r>
              <w:rPr>
                <w:b/>
                <w:bCs/>
                <w:iCs/>
              </w:rPr>
              <w:t>Empresa Individual</w:t>
            </w:r>
          </w:p>
        </w:tc>
        <w:tc>
          <w:tcPr>
            <w:tcW w:w="677" w:type="pct"/>
            <w:gridSpan w:val="3"/>
            <w:shd w:val="clear" w:color="auto" w:fill="D9D9D9"/>
            <w:vAlign w:val="center"/>
          </w:tcPr>
          <w:p w14:paraId="35426E6A">
            <w:pPr>
              <w:spacing w:before="60" w:after="60"/>
              <w:jc w:val="center"/>
              <w:rPr>
                <w:b/>
                <w:bCs/>
                <w:iCs/>
                <w:sz w:val="16"/>
                <w:szCs w:val="16"/>
              </w:rPr>
            </w:pPr>
            <w:r>
              <w:rPr>
                <w:b/>
                <w:bCs/>
                <w:iCs/>
                <w:sz w:val="16"/>
                <w:szCs w:val="16"/>
              </w:rPr>
              <w:t xml:space="preserve">Consórcio </w:t>
            </w:r>
          </w:p>
        </w:tc>
        <w:tc>
          <w:tcPr>
            <w:tcW w:w="715" w:type="pct"/>
            <w:vMerge w:val="restart"/>
            <w:shd w:val="clear" w:color="auto" w:fill="D9D9D9"/>
            <w:vAlign w:val="center"/>
          </w:tcPr>
          <w:p w14:paraId="371C109C">
            <w:pPr>
              <w:spacing w:before="60" w:after="60"/>
              <w:jc w:val="center"/>
              <w:rPr>
                <w:b/>
                <w:bCs/>
                <w:iCs/>
              </w:rPr>
            </w:pPr>
            <w:r>
              <w:rPr>
                <w:b/>
                <w:bCs/>
                <w:iCs/>
              </w:rPr>
              <w:t>Apresentação dos Requisitos</w:t>
            </w:r>
          </w:p>
        </w:tc>
      </w:tr>
      <w:tr w14:paraId="0A22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trPr>
        <w:tc>
          <w:tcPr>
            <w:tcW w:w="225" w:type="pct"/>
            <w:vMerge w:val="continue"/>
          </w:tcPr>
          <w:p w14:paraId="0DCED7CE">
            <w:pPr>
              <w:rPr>
                <w:b/>
                <w:bCs/>
                <w:iCs/>
              </w:rPr>
            </w:pPr>
          </w:p>
        </w:tc>
        <w:tc>
          <w:tcPr>
            <w:tcW w:w="585" w:type="pct"/>
            <w:vMerge w:val="continue"/>
            <w:vAlign w:val="center"/>
          </w:tcPr>
          <w:p w14:paraId="7EA65000">
            <w:pPr>
              <w:rPr>
                <w:b/>
                <w:bCs/>
                <w:iCs/>
              </w:rPr>
            </w:pPr>
          </w:p>
        </w:tc>
        <w:tc>
          <w:tcPr>
            <w:tcW w:w="1982" w:type="pct"/>
            <w:gridSpan w:val="2"/>
            <w:vMerge w:val="continue"/>
            <w:vAlign w:val="center"/>
          </w:tcPr>
          <w:p w14:paraId="5BC13207">
            <w:pPr>
              <w:rPr>
                <w:b/>
                <w:bCs/>
                <w:iCs/>
              </w:rPr>
            </w:pPr>
          </w:p>
        </w:tc>
        <w:tc>
          <w:tcPr>
            <w:tcW w:w="812" w:type="pct"/>
            <w:vMerge w:val="continue"/>
            <w:vAlign w:val="center"/>
          </w:tcPr>
          <w:p w14:paraId="53C1F17E">
            <w:pPr>
              <w:rPr>
                <w:b/>
                <w:bCs/>
                <w:iCs/>
              </w:rPr>
            </w:pPr>
          </w:p>
        </w:tc>
        <w:tc>
          <w:tcPr>
            <w:tcW w:w="360" w:type="pct"/>
            <w:shd w:val="clear" w:color="auto" w:fill="D9D9D9"/>
            <w:vAlign w:val="center"/>
          </w:tcPr>
          <w:p w14:paraId="2C4E2F65">
            <w:pPr>
              <w:jc w:val="center"/>
              <w:rPr>
                <w:b/>
                <w:bCs/>
                <w:iCs/>
                <w:sz w:val="16"/>
                <w:szCs w:val="16"/>
              </w:rPr>
            </w:pPr>
            <w:r>
              <w:rPr>
                <w:b/>
                <w:bCs/>
                <w:iCs/>
                <w:sz w:val="16"/>
                <w:szCs w:val="16"/>
              </w:rPr>
              <w:t>Todos os membros combinados</w:t>
            </w:r>
          </w:p>
        </w:tc>
        <w:tc>
          <w:tcPr>
            <w:tcW w:w="316" w:type="pct"/>
            <w:gridSpan w:val="2"/>
            <w:shd w:val="clear" w:color="auto" w:fill="D9D9D9"/>
            <w:vAlign w:val="center"/>
          </w:tcPr>
          <w:p w14:paraId="5D547307">
            <w:pPr>
              <w:jc w:val="center"/>
              <w:rPr>
                <w:b/>
                <w:bCs/>
                <w:iCs/>
                <w:sz w:val="16"/>
                <w:szCs w:val="16"/>
              </w:rPr>
            </w:pPr>
            <w:r>
              <w:rPr>
                <w:b/>
                <w:bCs/>
                <w:iCs/>
                <w:sz w:val="16"/>
                <w:szCs w:val="16"/>
              </w:rPr>
              <w:t>Cada membro</w:t>
            </w:r>
          </w:p>
        </w:tc>
        <w:tc>
          <w:tcPr>
            <w:tcW w:w="715" w:type="pct"/>
            <w:vMerge w:val="continue"/>
            <w:vAlign w:val="center"/>
          </w:tcPr>
          <w:p w14:paraId="0581969E">
            <w:pPr>
              <w:rPr>
                <w:iCs/>
              </w:rPr>
            </w:pPr>
          </w:p>
        </w:tc>
      </w:tr>
      <w:tr w14:paraId="507BF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shd w:val="clear" w:color="auto" w:fill="F1F1F1" w:themeFill="background1" w:themeFillShade="F2"/>
          </w:tcPr>
          <w:p w14:paraId="02EB63CD">
            <w:pPr>
              <w:pStyle w:val="75"/>
              <w:rPr>
                <w:b w:val="0"/>
                <w:bCs w:val="0"/>
              </w:rPr>
            </w:pPr>
            <w:bookmarkStart w:id="119" w:name="_Toc174521779"/>
            <w:bookmarkStart w:id="120" w:name="_Toc168412198"/>
            <w:bookmarkStart w:id="121" w:name="_Toc151809244"/>
            <w:bookmarkStart w:id="122" w:name="_Toc157691587"/>
            <w:r>
              <w:t>1 Habilitação Jurídica</w:t>
            </w:r>
            <w:bookmarkEnd w:id="119"/>
            <w:bookmarkEnd w:id="120"/>
            <w:bookmarkEnd w:id="121"/>
            <w:bookmarkEnd w:id="122"/>
          </w:p>
        </w:tc>
      </w:tr>
      <w:tr w14:paraId="41E7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42F43B5D">
            <w:pPr>
              <w:rPr>
                <w:iCs/>
              </w:rPr>
            </w:pPr>
            <w:r>
              <w:rPr>
                <w:iCs/>
              </w:rPr>
              <w:t>1.1</w:t>
            </w:r>
          </w:p>
        </w:tc>
        <w:tc>
          <w:tcPr>
            <w:tcW w:w="585" w:type="pct"/>
          </w:tcPr>
          <w:p w14:paraId="104BAD38">
            <w:pPr>
              <w:rPr>
                <w:bCs/>
                <w:iCs/>
              </w:rPr>
            </w:pPr>
            <w:r>
              <w:rPr>
                <w:bCs/>
                <w:iCs/>
              </w:rPr>
              <w:t>Ato constitutivo</w:t>
            </w:r>
          </w:p>
        </w:tc>
        <w:tc>
          <w:tcPr>
            <w:tcW w:w="1982" w:type="pct"/>
            <w:gridSpan w:val="2"/>
          </w:tcPr>
          <w:p w14:paraId="11EA5141">
            <w:pPr>
              <w:jc w:val="both"/>
              <w:rPr>
                <w:bCs/>
                <w:iCs/>
              </w:rPr>
            </w:pPr>
            <w:r>
              <w:rPr>
                <w:bCs/>
                <w:iCs/>
              </w:rPr>
              <w:t>Ato constitutivo, estatuto ou contrato social em vigor, devidamente registrado, em se tratando de sociedades comerciais, e, no caso de sociedades por ações, acompanhado de documentos de eleição de seus administradores;</w:t>
            </w:r>
          </w:p>
        </w:tc>
        <w:tc>
          <w:tcPr>
            <w:tcW w:w="812" w:type="pct"/>
          </w:tcPr>
          <w:p w14:paraId="0D387418">
            <w:pPr>
              <w:rPr>
                <w:bCs/>
                <w:iCs/>
              </w:rPr>
            </w:pPr>
            <w:r>
              <w:rPr>
                <w:bCs/>
                <w:iCs/>
              </w:rPr>
              <w:t>Deve atender ao requisito</w:t>
            </w:r>
          </w:p>
        </w:tc>
        <w:tc>
          <w:tcPr>
            <w:tcW w:w="360" w:type="pct"/>
          </w:tcPr>
          <w:p w14:paraId="14FA91EC">
            <w:pPr>
              <w:rPr>
                <w:bCs/>
                <w:iCs/>
              </w:rPr>
            </w:pPr>
            <w:r>
              <w:rPr>
                <w:bCs/>
                <w:iCs/>
              </w:rPr>
              <w:t>N.A</w:t>
            </w:r>
          </w:p>
        </w:tc>
        <w:tc>
          <w:tcPr>
            <w:tcW w:w="316" w:type="pct"/>
            <w:gridSpan w:val="2"/>
          </w:tcPr>
          <w:p w14:paraId="007D92DE">
            <w:pPr>
              <w:rPr>
                <w:bCs/>
                <w:iCs/>
              </w:rPr>
            </w:pPr>
            <w:r>
              <w:rPr>
                <w:bCs/>
                <w:iCs/>
              </w:rPr>
              <w:t>N.A</w:t>
            </w:r>
          </w:p>
        </w:tc>
        <w:tc>
          <w:tcPr>
            <w:tcW w:w="715" w:type="pct"/>
          </w:tcPr>
          <w:p w14:paraId="419D6F1B">
            <w:pPr>
              <w:rPr>
                <w:bCs/>
                <w:iCs/>
              </w:rPr>
            </w:pPr>
            <w:r>
              <w:rPr>
                <w:bCs/>
                <w:iCs/>
              </w:rPr>
              <w:t>Anexo à proposta</w:t>
            </w:r>
          </w:p>
          <w:p w14:paraId="69CD3727">
            <w:pPr>
              <w:rPr>
                <w:bCs/>
                <w:iCs/>
              </w:rPr>
            </w:pPr>
          </w:p>
        </w:tc>
      </w:tr>
      <w:tr w14:paraId="4EBF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36E6B6A3">
            <w:pPr>
              <w:rPr>
                <w:iCs/>
              </w:rPr>
            </w:pPr>
            <w:r>
              <w:rPr>
                <w:iCs/>
              </w:rPr>
              <w:t>1.2</w:t>
            </w:r>
          </w:p>
        </w:tc>
        <w:tc>
          <w:tcPr>
            <w:tcW w:w="585" w:type="pct"/>
          </w:tcPr>
          <w:p w14:paraId="49C94325">
            <w:pPr>
              <w:rPr>
                <w:bCs/>
                <w:iCs/>
              </w:rPr>
            </w:pPr>
            <w:r>
              <w:rPr>
                <w:bCs/>
                <w:iCs/>
              </w:rPr>
              <w:t>Decreto de autorização</w:t>
            </w:r>
          </w:p>
        </w:tc>
        <w:tc>
          <w:tcPr>
            <w:tcW w:w="1982" w:type="pct"/>
            <w:gridSpan w:val="2"/>
          </w:tcPr>
          <w:p w14:paraId="12F98AEB">
            <w:pPr>
              <w:jc w:val="both"/>
              <w:rPr>
                <w:bCs/>
                <w:iCs/>
              </w:rPr>
            </w:pPr>
            <w:r>
              <w:rPr>
                <w:bCs/>
                <w:iCs/>
              </w:rPr>
              <w:t>Decreto de autorização, em se tratando de empresa ou de sociedade estrangeira em funcionamento no país, e ato do registro de autorização para funcionamento expedido pelo órgão competente, quando a atividade assim o exigir;</w:t>
            </w:r>
          </w:p>
        </w:tc>
        <w:tc>
          <w:tcPr>
            <w:tcW w:w="812" w:type="pct"/>
          </w:tcPr>
          <w:p w14:paraId="0CD40316">
            <w:pPr>
              <w:rPr>
                <w:bCs/>
                <w:iCs/>
              </w:rPr>
            </w:pPr>
            <w:r>
              <w:rPr>
                <w:bCs/>
                <w:iCs/>
              </w:rPr>
              <w:t>Deve atender ao requisito</w:t>
            </w:r>
          </w:p>
        </w:tc>
        <w:tc>
          <w:tcPr>
            <w:tcW w:w="360" w:type="pct"/>
          </w:tcPr>
          <w:p w14:paraId="080A25CA">
            <w:pPr>
              <w:rPr>
                <w:bCs/>
                <w:iCs/>
              </w:rPr>
            </w:pPr>
            <w:r>
              <w:rPr>
                <w:bCs/>
                <w:iCs/>
              </w:rPr>
              <w:t>N.A</w:t>
            </w:r>
          </w:p>
        </w:tc>
        <w:tc>
          <w:tcPr>
            <w:tcW w:w="316" w:type="pct"/>
            <w:gridSpan w:val="2"/>
          </w:tcPr>
          <w:p w14:paraId="3D6C09A1">
            <w:pPr>
              <w:rPr>
                <w:bCs/>
                <w:iCs/>
              </w:rPr>
            </w:pPr>
            <w:r>
              <w:rPr>
                <w:bCs/>
                <w:iCs/>
              </w:rPr>
              <w:t>N.A</w:t>
            </w:r>
          </w:p>
        </w:tc>
        <w:tc>
          <w:tcPr>
            <w:tcW w:w="715" w:type="pct"/>
          </w:tcPr>
          <w:p w14:paraId="500DA149">
            <w:pPr>
              <w:rPr>
                <w:bCs/>
                <w:iCs/>
              </w:rPr>
            </w:pPr>
            <w:r>
              <w:rPr>
                <w:bCs/>
                <w:iCs/>
              </w:rPr>
              <w:t>Anexo à proposta</w:t>
            </w:r>
          </w:p>
        </w:tc>
      </w:tr>
      <w:tr w14:paraId="23A12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211D02DE">
            <w:pPr>
              <w:rPr>
                <w:iCs/>
              </w:rPr>
            </w:pPr>
            <w:r>
              <w:rPr>
                <w:iCs/>
              </w:rPr>
              <w:t>1.3</w:t>
            </w:r>
          </w:p>
        </w:tc>
        <w:tc>
          <w:tcPr>
            <w:tcW w:w="585" w:type="pct"/>
          </w:tcPr>
          <w:p w14:paraId="5C3CA8EF">
            <w:pPr>
              <w:rPr>
                <w:bCs/>
                <w:iCs/>
              </w:rPr>
            </w:pPr>
            <w:r>
              <w:rPr>
                <w:bCs/>
                <w:iCs/>
              </w:rPr>
              <w:t>Inscrição do ato constitutivo</w:t>
            </w:r>
          </w:p>
        </w:tc>
        <w:tc>
          <w:tcPr>
            <w:tcW w:w="1982" w:type="pct"/>
            <w:gridSpan w:val="2"/>
          </w:tcPr>
          <w:p w14:paraId="394A92E4">
            <w:pPr>
              <w:jc w:val="both"/>
              <w:rPr>
                <w:bCs/>
                <w:iCs/>
              </w:rPr>
            </w:pPr>
            <w:r>
              <w:rPr>
                <w:bCs/>
                <w:iCs/>
              </w:rPr>
              <w:t xml:space="preserve">Inscrição do ato constitutivo, no caso de sociedades civis, acompanhada de prova de diretoria em exercício </w:t>
            </w:r>
          </w:p>
        </w:tc>
        <w:tc>
          <w:tcPr>
            <w:tcW w:w="812" w:type="pct"/>
          </w:tcPr>
          <w:p w14:paraId="09224C49">
            <w:pPr>
              <w:rPr>
                <w:bCs/>
                <w:iCs/>
              </w:rPr>
            </w:pPr>
            <w:r>
              <w:rPr>
                <w:bCs/>
                <w:iCs/>
              </w:rPr>
              <w:t>Deve atender ao requisito</w:t>
            </w:r>
          </w:p>
        </w:tc>
        <w:tc>
          <w:tcPr>
            <w:tcW w:w="360" w:type="pct"/>
          </w:tcPr>
          <w:p w14:paraId="77DAAE8F">
            <w:pPr>
              <w:rPr>
                <w:bCs/>
                <w:iCs/>
              </w:rPr>
            </w:pPr>
            <w:r>
              <w:rPr>
                <w:bCs/>
                <w:iCs/>
              </w:rPr>
              <w:t>N.A</w:t>
            </w:r>
          </w:p>
        </w:tc>
        <w:tc>
          <w:tcPr>
            <w:tcW w:w="316" w:type="pct"/>
            <w:gridSpan w:val="2"/>
          </w:tcPr>
          <w:p w14:paraId="1F9DFFEC">
            <w:pPr>
              <w:rPr>
                <w:bCs/>
                <w:iCs/>
              </w:rPr>
            </w:pPr>
            <w:r>
              <w:rPr>
                <w:bCs/>
                <w:iCs/>
              </w:rPr>
              <w:t>N.A</w:t>
            </w:r>
          </w:p>
        </w:tc>
        <w:tc>
          <w:tcPr>
            <w:tcW w:w="715" w:type="pct"/>
          </w:tcPr>
          <w:p w14:paraId="2DB0044E">
            <w:pPr>
              <w:rPr>
                <w:bCs/>
                <w:iCs/>
              </w:rPr>
            </w:pPr>
            <w:r>
              <w:rPr>
                <w:bCs/>
                <w:iCs/>
              </w:rPr>
              <w:t>Anexo à proposta</w:t>
            </w:r>
          </w:p>
        </w:tc>
      </w:tr>
      <w:tr w14:paraId="28CCD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9"/>
            <w:shd w:val="clear" w:color="auto" w:fill="F1F1F1" w:themeFill="background1" w:themeFillShade="F2"/>
          </w:tcPr>
          <w:p w14:paraId="451CF398">
            <w:pPr>
              <w:pStyle w:val="75"/>
              <w:rPr>
                <w:b w:val="0"/>
                <w:bCs w:val="0"/>
              </w:rPr>
            </w:pPr>
            <w:bookmarkStart w:id="123" w:name="_Toc174521780"/>
            <w:bookmarkStart w:id="124" w:name="_Toc151809245"/>
            <w:bookmarkStart w:id="125" w:name="_Toc157691588"/>
            <w:bookmarkStart w:id="126" w:name="_Toc168412199"/>
            <w:r>
              <w:t>2 Qualificação Econômico-Financeira</w:t>
            </w:r>
            <w:bookmarkEnd w:id="123"/>
            <w:bookmarkEnd w:id="124"/>
            <w:bookmarkEnd w:id="125"/>
            <w:bookmarkEnd w:id="126"/>
          </w:p>
        </w:tc>
      </w:tr>
      <w:tr w14:paraId="09C6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25" w:type="pct"/>
          </w:tcPr>
          <w:p w14:paraId="0E265223">
            <w:pPr>
              <w:rPr>
                <w:iCs/>
              </w:rPr>
            </w:pPr>
            <w:r>
              <w:rPr>
                <w:iCs/>
              </w:rPr>
              <w:t>2.1</w:t>
            </w:r>
          </w:p>
        </w:tc>
        <w:tc>
          <w:tcPr>
            <w:tcW w:w="585" w:type="pct"/>
          </w:tcPr>
          <w:p w14:paraId="53E8FA22">
            <w:pPr>
              <w:rPr>
                <w:bCs/>
                <w:iCs/>
                <w:color w:val="auto"/>
              </w:rPr>
            </w:pPr>
            <w:r>
              <w:rPr>
                <w:bCs/>
                <w:iCs/>
                <w:color w:val="auto"/>
              </w:rPr>
              <w:t>Balanço patrimonial</w:t>
            </w:r>
          </w:p>
        </w:tc>
        <w:tc>
          <w:tcPr>
            <w:tcW w:w="1982" w:type="pct"/>
            <w:gridSpan w:val="2"/>
          </w:tcPr>
          <w:p w14:paraId="697E6AD8">
            <w:pPr>
              <w:jc w:val="both"/>
              <w:rPr>
                <w:bCs/>
                <w:iCs/>
                <w:color w:val="auto"/>
              </w:rPr>
            </w:pPr>
            <w:r>
              <w:rPr>
                <w:bCs/>
                <w:color w:val="auto"/>
              </w:rPr>
              <w:t>Balanço</w:t>
            </w:r>
            <w:r>
              <w:rPr>
                <w:bCs/>
                <w:iCs/>
                <w:color w:val="auto"/>
              </w:rPr>
              <w:t xml:space="preserve"> patrimonial, demonstração de resultado de exercício e demais demonstrações contábeis </w:t>
            </w:r>
            <w:r>
              <w:rPr>
                <w:color w:val="auto"/>
              </w:rPr>
              <w:t>dos 2</w:t>
            </w:r>
            <w:r>
              <w:rPr>
                <w:rFonts w:hint="default"/>
                <w:color w:val="auto"/>
                <w:lang w:val="pt-BR"/>
              </w:rPr>
              <w:t xml:space="preserve"> </w:t>
            </w:r>
            <w:r>
              <w:rPr>
                <w:color w:val="auto"/>
              </w:rPr>
              <w:t>(dois) últimos exercícios sociais.</w:t>
            </w:r>
          </w:p>
        </w:tc>
        <w:tc>
          <w:tcPr>
            <w:tcW w:w="812" w:type="pct"/>
          </w:tcPr>
          <w:p w14:paraId="27165773">
            <w:pPr>
              <w:rPr>
                <w:bCs/>
                <w:iCs/>
              </w:rPr>
            </w:pPr>
            <w:r>
              <w:rPr>
                <w:bCs/>
                <w:iCs/>
              </w:rPr>
              <w:t>Deve atender ao requisito</w:t>
            </w:r>
          </w:p>
        </w:tc>
        <w:tc>
          <w:tcPr>
            <w:tcW w:w="360" w:type="pct"/>
          </w:tcPr>
          <w:p w14:paraId="4DEF8537">
            <w:pPr>
              <w:rPr>
                <w:bCs/>
                <w:iCs/>
              </w:rPr>
            </w:pPr>
            <w:r>
              <w:rPr>
                <w:bCs/>
                <w:iCs/>
              </w:rPr>
              <w:t>N.A</w:t>
            </w:r>
          </w:p>
        </w:tc>
        <w:tc>
          <w:tcPr>
            <w:tcW w:w="316" w:type="pct"/>
            <w:gridSpan w:val="2"/>
          </w:tcPr>
          <w:p w14:paraId="72064C35">
            <w:pPr>
              <w:rPr>
                <w:bCs/>
                <w:iCs/>
              </w:rPr>
            </w:pPr>
            <w:r>
              <w:rPr>
                <w:bCs/>
                <w:iCs/>
              </w:rPr>
              <w:t>N.A</w:t>
            </w:r>
          </w:p>
        </w:tc>
        <w:tc>
          <w:tcPr>
            <w:tcW w:w="715" w:type="pct"/>
          </w:tcPr>
          <w:p w14:paraId="449603B0">
            <w:pPr>
              <w:rPr>
                <w:bCs/>
                <w:iCs/>
              </w:rPr>
            </w:pPr>
            <w:r>
              <w:rPr>
                <w:bCs/>
                <w:iCs/>
              </w:rPr>
              <w:t>Anexo à proposta</w:t>
            </w:r>
          </w:p>
        </w:tc>
      </w:tr>
      <w:tr w14:paraId="15CAC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25" w:type="pct"/>
          </w:tcPr>
          <w:p w14:paraId="4C8BA889">
            <w:pPr>
              <w:rPr>
                <w:iCs/>
              </w:rPr>
            </w:pPr>
            <w:r>
              <w:rPr>
                <w:iCs/>
              </w:rPr>
              <w:t>2.2</w:t>
            </w:r>
          </w:p>
        </w:tc>
        <w:tc>
          <w:tcPr>
            <w:tcW w:w="585" w:type="pct"/>
          </w:tcPr>
          <w:p w14:paraId="59878BBA">
            <w:pPr>
              <w:rPr>
                <w:bCs/>
                <w:iCs/>
                <w:color w:val="auto"/>
              </w:rPr>
            </w:pPr>
            <w:r>
              <w:rPr>
                <w:bCs/>
                <w:iCs/>
                <w:color w:val="auto"/>
              </w:rPr>
              <w:t>Certidão negativa</w:t>
            </w:r>
          </w:p>
        </w:tc>
        <w:tc>
          <w:tcPr>
            <w:tcW w:w="1982" w:type="pct"/>
            <w:gridSpan w:val="2"/>
          </w:tcPr>
          <w:p w14:paraId="0E91FFC4">
            <w:pPr>
              <w:jc w:val="both"/>
              <w:rPr>
                <w:bCs/>
                <w:iCs/>
                <w:color w:val="auto"/>
              </w:rPr>
            </w:pPr>
            <w:r>
              <w:rPr>
                <w:bCs/>
                <w:iCs/>
                <w:color w:val="auto"/>
              </w:rPr>
              <w:t>Certidão negativa de feitos sobre falência expedida pelo distribuidor da sede do licitante.</w:t>
            </w:r>
          </w:p>
        </w:tc>
        <w:tc>
          <w:tcPr>
            <w:tcW w:w="812" w:type="pct"/>
          </w:tcPr>
          <w:p w14:paraId="0BEAECBB">
            <w:pPr>
              <w:rPr>
                <w:bCs/>
                <w:iCs/>
              </w:rPr>
            </w:pPr>
            <w:r>
              <w:rPr>
                <w:bCs/>
                <w:iCs/>
              </w:rPr>
              <w:t>Deve atender ao requisito</w:t>
            </w:r>
          </w:p>
        </w:tc>
        <w:tc>
          <w:tcPr>
            <w:tcW w:w="360" w:type="pct"/>
          </w:tcPr>
          <w:p w14:paraId="0E9CFF78">
            <w:pPr>
              <w:rPr>
                <w:bCs/>
                <w:iCs/>
              </w:rPr>
            </w:pPr>
            <w:r>
              <w:rPr>
                <w:bCs/>
                <w:iCs/>
              </w:rPr>
              <w:t>N.A</w:t>
            </w:r>
          </w:p>
        </w:tc>
        <w:tc>
          <w:tcPr>
            <w:tcW w:w="316" w:type="pct"/>
            <w:gridSpan w:val="2"/>
          </w:tcPr>
          <w:p w14:paraId="35672334">
            <w:pPr>
              <w:rPr>
                <w:bCs/>
                <w:iCs/>
              </w:rPr>
            </w:pPr>
            <w:r>
              <w:rPr>
                <w:bCs/>
                <w:iCs/>
              </w:rPr>
              <w:t>N.A</w:t>
            </w:r>
          </w:p>
        </w:tc>
        <w:tc>
          <w:tcPr>
            <w:tcW w:w="715" w:type="pct"/>
          </w:tcPr>
          <w:p w14:paraId="23E9895C">
            <w:pPr>
              <w:rPr>
                <w:bCs/>
                <w:iCs/>
              </w:rPr>
            </w:pPr>
            <w:r>
              <w:rPr>
                <w:bCs/>
                <w:iCs/>
              </w:rPr>
              <w:t>Anexo à proposta</w:t>
            </w:r>
          </w:p>
          <w:p w14:paraId="38D00F0F">
            <w:pPr>
              <w:rPr>
                <w:bCs/>
                <w:iCs/>
              </w:rPr>
            </w:pPr>
          </w:p>
        </w:tc>
      </w:tr>
      <w:tr w14:paraId="7223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225" w:type="pct"/>
          </w:tcPr>
          <w:p w14:paraId="37AD7463">
            <w:r>
              <w:t xml:space="preserve">2.3 </w:t>
            </w:r>
          </w:p>
        </w:tc>
        <w:tc>
          <w:tcPr>
            <w:tcW w:w="585" w:type="pct"/>
          </w:tcPr>
          <w:p w14:paraId="554B06F9">
            <w:pPr>
              <w:rPr>
                <w:color w:val="auto"/>
              </w:rPr>
            </w:pPr>
            <w:r>
              <w:rPr>
                <w:color w:val="auto"/>
              </w:rPr>
              <w:t>Certidão positiva de recuperação judicial ou extrajudicial</w:t>
            </w:r>
          </w:p>
        </w:tc>
        <w:tc>
          <w:tcPr>
            <w:tcW w:w="1982" w:type="pct"/>
            <w:gridSpan w:val="2"/>
          </w:tcPr>
          <w:p w14:paraId="6C54ECF5">
            <w:pPr>
              <w:jc w:val="both"/>
              <w:rPr>
                <w:color w:val="auto"/>
              </w:rPr>
            </w:pPr>
            <w:r>
              <w:rPr>
                <w:color w:val="auto"/>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c>
          <w:tcPr>
            <w:tcW w:w="812" w:type="pct"/>
          </w:tcPr>
          <w:p w14:paraId="45F608E1">
            <w:r>
              <w:t>Deve atender ao requisito</w:t>
            </w:r>
          </w:p>
        </w:tc>
        <w:tc>
          <w:tcPr>
            <w:tcW w:w="360" w:type="pct"/>
          </w:tcPr>
          <w:p w14:paraId="0742761E">
            <w:pPr>
              <w:rPr>
                <w:bCs/>
                <w:iCs/>
              </w:rPr>
            </w:pPr>
            <w:r>
              <w:rPr>
                <w:bCs/>
                <w:iCs/>
              </w:rPr>
              <w:t>N.A</w:t>
            </w:r>
          </w:p>
        </w:tc>
        <w:tc>
          <w:tcPr>
            <w:tcW w:w="316" w:type="pct"/>
            <w:gridSpan w:val="2"/>
          </w:tcPr>
          <w:p w14:paraId="5860D9F0">
            <w:pPr>
              <w:rPr>
                <w:bCs/>
                <w:iCs/>
              </w:rPr>
            </w:pPr>
            <w:r>
              <w:rPr>
                <w:bCs/>
                <w:iCs/>
              </w:rPr>
              <w:t>N.A</w:t>
            </w:r>
          </w:p>
        </w:tc>
        <w:tc>
          <w:tcPr>
            <w:tcW w:w="715" w:type="pct"/>
          </w:tcPr>
          <w:p w14:paraId="7773CE0B">
            <w:r>
              <w:t>Anexo à proposta</w:t>
            </w:r>
          </w:p>
        </w:tc>
      </w:tr>
      <w:tr w14:paraId="172B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shd w:val="clear" w:color="auto" w:fill="F1F1F1" w:themeFill="background1" w:themeFillShade="F2"/>
          </w:tcPr>
          <w:p w14:paraId="08A61791">
            <w:pPr>
              <w:pStyle w:val="75"/>
              <w:rPr>
                <w:b w:val="0"/>
                <w:bCs w:val="0"/>
              </w:rPr>
            </w:pPr>
            <w:bookmarkStart w:id="127" w:name="_Toc151809246"/>
            <w:bookmarkStart w:id="128" w:name="_Toc157691589"/>
            <w:bookmarkStart w:id="129" w:name="_Toc174521781"/>
            <w:bookmarkStart w:id="130" w:name="_Toc168412200"/>
            <w:r>
              <w:t>3 Índices de Qualificação Financeira</w:t>
            </w:r>
            <w:bookmarkEnd w:id="127"/>
            <w:bookmarkEnd w:id="128"/>
            <w:bookmarkEnd w:id="129"/>
            <w:bookmarkEnd w:id="130"/>
          </w:p>
        </w:tc>
      </w:tr>
      <w:tr w14:paraId="1045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25" w:type="pct"/>
            <w:vMerge w:val="restart"/>
          </w:tcPr>
          <w:p w14:paraId="15BAFC1E">
            <w:pPr>
              <w:rPr>
                <w:iCs/>
                <w:color w:val="auto"/>
              </w:rPr>
            </w:pPr>
            <w:r>
              <w:rPr>
                <w:iCs/>
                <w:color w:val="auto"/>
              </w:rPr>
              <w:t>3.1</w:t>
            </w:r>
          </w:p>
        </w:tc>
        <w:tc>
          <w:tcPr>
            <w:tcW w:w="585" w:type="pct"/>
            <w:vMerge w:val="restart"/>
          </w:tcPr>
          <w:p w14:paraId="1741E3C6">
            <w:pPr>
              <w:rPr>
                <w:bCs/>
                <w:iCs/>
                <w:color w:val="auto"/>
              </w:rPr>
            </w:pPr>
            <w:r>
              <w:rPr>
                <w:bCs/>
                <w:iCs/>
                <w:color w:val="auto"/>
              </w:rPr>
              <w:t>Índices contábeis exigidos</w:t>
            </w:r>
          </w:p>
        </w:tc>
        <w:tc>
          <w:tcPr>
            <w:tcW w:w="1982" w:type="pct"/>
            <w:gridSpan w:val="2"/>
          </w:tcPr>
          <w:p w14:paraId="1B0DCE6C">
            <w:pPr>
              <w:rPr>
                <w:b/>
                <w:color w:val="auto"/>
              </w:rPr>
            </w:pPr>
            <w:r>
              <w:rPr>
                <w:b/>
                <w:color w:val="auto"/>
              </w:rPr>
              <w:t>Índice de Liquidez Geral (ILG)</w:t>
            </w:r>
          </w:p>
          <w:p w14:paraId="1CD09AA1">
            <w:pPr>
              <w:rPr>
                <w:bCs/>
                <w:iCs/>
                <w:color w:val="auto"/>
              </w:rPr>
            </w:pPr>
            <w:r>
              <w:rPr>
                <w:bCs/>
                <w:iCs/>
                <w:color w:val="auto"/>
              </w:rPr>
              <w:t>ILG ≥ 1,00</w:t>
            </w:r>
          </w:p>
          <w:p w14:paraId="1CEF080E">
            <w:pPr>
              <w:rPr>
                <w:bCs/>
                <w:iCs/>
                <w:color w:val="auto"/>
              </w:rPr>
            </w:pPr>
            <m:oMathPara>
              <m:oMathParaPr>
                <m:jc m:val="left"/>
              </m:oMathParaPr>
              <m:oMath>
                <m:r>
                  <m:rPr>
                    <m:nor/>
                    <m:sty m:val="p"/>
                  </m:rPr>
                  <w:rPr>
                    <w:rFonts w:cs="Times New Roman"/>
                    <w:b w:val="0"/>
                    <w:bCs/>
                    <w:i w:val="0"/>
                    <w:iCs/>
                    <w:color w:val="auto"/>
                    <w:sz w:val="20"/>
                    <w:szCs w:val="20"/>
                  </w:rPr>
                  <m:t xml:space="preserve">ILG= </m:t>
                </m:r>
                <m:f>
                  <m:fPr>
                    <m:ctrlPr>
                      <w:rPr>
                        <w:rFonts w:ascii="Cambria Math" w:hAnsi="Cambria Math" w:cs="Times New Roman"/>
                        <w:bCs/>
                        <w:iCs/>
                        <w:color w:val="auto"/>
                        <w:sz w:val="20"/>
                        <w:szCs w:val="20"/>
                      </w:rPr>
                    </m:ctrlPr>
                  </m:fPr>
                  <m:num>
                    <m:r>
                      <m:rPr>
                        <m:nor/>
                        <m:sty m:val="p"/>
                      </m:rPr>
                      <w:rPr>
                        <w:rFonts w:cs="Times New Roman"/>
                        <w:b w:val="0"/>
                        <w:bCs/>
                        <w:i w:val="0"/>
                        <w:iCs/>
                        <w:color w:val="auto"/>
                        <w:sz w:val="20"/>
                        <w:szCs w:val="20"/>
                      </w:rPr>
                      <m:t>Ativo Circulante+Ativo Realizável a Longo Prazo</m:t>
                    </m:r>
                    <m:ctrlPr>
                      <w:rPr>
                        <w:rFonts w:ascii="Cambria Math" w:hAnsi="Cambria Math" w:cs="Times New Roman"/>
                        <w:bCs/>
                        <w:iCs/>
                        <w:color w:val="auto"/>
                        <w:sz w:val="20"/>
                        <w:szCs w:val="20"/>
                      </w:rPr>
                    </m:ctrlPr>
                  </m:num>
                  <m:den>
                    <m:r>
                      <m:rPr>
                        <m:nor/>
                        <m:sty m:val="p"/>
                      </m:rPr>
                      <w:rPr>
                        <w:rFonts w:cs="Times New Roman"/>
                        <w:b w:val="0"/>
                        <w:bCs/>
                        <w:i w:val="0"/>
                        <w:iCs/>
                        <w:color w:val="auto"/>
                        <w:sz w:val="20"/>
                        <w:szCs w:val="20"/>
                      </w:rPr>
                      <m:t>Passivo Circulante+Passivo Exigível a Longo Prazo</m:t>
                    </m:r>
                    <m:ctrlPr>
                      <w:rPr>
                        <w:rFonts w:ascii="Cambria Math" w:hAnsi="Cambria Math" w:cs="Times New Roman"/>
                        <w:bCs/>
                        <w:iCs/>
                        <w:color w:val="auto"/>
                        <w:sz w:val="20"/>
                        <w:szCs w:val="20"/>
                      </w:rPr>
                    </m:ctrlPr>
                  </m:den>
                </m:f>
              </m:oMath>
            </m:oMathPara>
          </w:p>
        </w:tc>
        <w:tc>
          <w:tcPr>
            <w:tcW w:w="812" w:type="pct"/>
            <w:vMerge w:val="restart"/>
          </w:tcPr>
          <w:p w14:paraId="0358FC66">
            <w:pPr>
              <w:rPr>
                <w:bCs/>
                <w:iCs/>
                <w:color w:val="auto"/>
              </w:rPr>
            </w:pPr>
            <w:r>
              <w:rPr>
                <w:bCs/>
                <w:iCs/>
                <w:color w:val="auto"/>
              </w:rPr>
              <w:t>Deve atender ao requisito</w:t>
            </w:r>
          </w:p>
        </w:tc>
        <w:tc>
          <w:tcPr>
            <w:tcW w:w="360" w:type="pct"/>
            <w:vMerge w:val="restart"/>
          </w:tcPr>
          <w:p w14:paraId="4418368C">
            <w:pPr>
              <w:rPr>
                <w:bCs/>
                <w:iCs/>
                <w:color w:val="auto"/>
              </w:rPr>
            </w:pPr>
            <w:r>
              <w:rPr>
                <w:bCs/>
                <w:iCs/>
                <w:color w:val="auto"/>
              </w:rPr>
              <w:t>N.A</w:t>
            </w:r>
          </w:p>
        </w:tc>
        <w:tc>
          <w:tcPr>
            <w:tcW w:w="316" w:type="pct"/>
            <w:gridSpan w:val="2"/>
            <w:vMerge w:val="restart"/>
          </w:tcPr>
          <w:p w14:paraId="6D71F7BB">
            <w:pPr>
              <w:rPr>
                <w:bCs/>
                <w:iCs/>
                <w:color w:val="auto"/>
              </w:rPr>
            </w:pPr>
            <w:r>
              <w:rPr>
                <w:bCs/>
                <w:iCs/>
                <w:color w:val="auto"/>
              </w:rPr>
              <w:t>N.A</w:t>
            </w:r>
          </w:p>
        </w:tc>
        <w:tc>
          <w:tcPr>
            <w:tcW w:w="715" w:type="pct"/>
            <w:vMerge w:val="restart"/>
          </w:tcPr>
          <w:p w14:paraId="4EDEE6FE">
            <w:pPr>
              <w:rPr>
                <w:bCs/>
                <w:iCs/>
                <w:color w:val="auto"/>
              </w:rPr>
            </w:pPr>
            <w:r>
              <w:rPr>
                <w:bCs/>
                <w:iCs/>
                <w:color w:val="auto"/>
              </w:rPr>
              <w:t>Informes contábeis auditados</w:t>
            </w:r>
          </w:p>
        </w:tc>
      </w:tr>
      <w:tr w14:paraId="2716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vMerge w:val="continue"/>
          </w:tcPr>
          <w:p w14:paraId="303CC808">
            <w:pPr>
              <w:rPr>
                <w:iCs/>
                <w:color w:val="auto"/>
              </w:rPr>
            </w:pPr>
          </w:p>
        </w:tc>
        <w:tc>
          <w:tcPr>
            <w:tcW w:w="585" w:type="pct"/>
            <w:vMerge w:val="continue"/>
          </w:tcPr>
          <w:p w14:paraId="04FA83F8">
            <w:pPr>
              <w:rPr>
                <w:bCs/>
                <w:iCs/>
                <w:color w:val="auto"/>
              </w:rPr>
            </w:pPr>
          </w:p>
        </w:tc>
        <w:tc>
          <w:tcPr>
            <w:tcW w:w="1982" w:type="pct"/>
            <w:gridSpan w:val="2"/>
          </w:tcPr>
          <w:p w14:paraId="1251B571">
            <w:pPr>
              <w:rPr>
                <w:rFonts w:hint="default"/>
                <w:b/>
                <w:color w:val="auto"/>
                <w:lang w:val="pt-BR"/>
              </w:rPr>
            </w:pPr>
            <w:r>
              <w:rPr>
                <w:rFonts w:hint="default"/>
                <w:b/>
                <w:color w:val="auto"/>
              </w:rPr>
              <w:t xml:space="preserve"> Solvência Geral (</w:t>
            </w:r>
            <w:r>
              <w:rPr>
                <w:rFonts w:hint="default"/>
                <w:b/>
                <w:color w:val="auto"/>
                <w:lang w:val="pt-BR"/>
              </w:rPr>
              <w:t>SG</w:t>
            </w:r>
            <w:r>
              <w:rPr>
                <w:b/>
                <w:color w:val="auto"/>
              </w:rPr>
              <w:t>)</w:t>
            </w:r>
          </w:p>
          <w:p w14:paraId="08C69670">
            <w:pPr>
              <w:rPr>
                <w:bCs/>
                <w:iCs/>
                <w:color w:val="auto"/>
              </w:rPr>
            </w:pPr>
            <w:r>
              <w:rPr>
                <w:bCs/>
                <w:iCs/>
                <w:color w:val="auto"/>
              </w:rPr>
              <w:t>ET ≤ 1,00</w:t>
            </w:r>
          </w:p>
          <w:p w14:paraId="4D0367C8">
            <w:pPr>
              <w:spacing w:after="120"/>
              <w:rPr>
                <w:bCs/>
                <w:iCs/>
                <w:color w:val="auto"/>
              </w:rPr>
            </w:pPr>
            <w:r>
              <w:rPr>
                <w:bCs/>
                <w:iCs/>
                <w:color w:val="auto"/>
              </w:rPr>
              <w:t xml:space="preserve">ET = </w:t>
            </w:r>
            <m:oMath>
              <m:f>
                <m:fPr>
                  <m:ctrlPr>
                    <w:rPr>
                      <w:rFonts w:ascii="Cambria Math" w:hAnsi="Cambria Math" w:cs="Times New Roman"/>
                      <w:bCs/>
                      <w:iCs/>
                      <w:color w:val="auto"/>
                      <w:sz w:val="24"/>
                      <w:szCs w:val="24"/>
                    </w:rPr>
                  </m:ctrlPr>
                </m:fPr>
                <m:num>
                  <m:r>
                    <m:rPr>
                      <m:nor/>
                      <m:sty m:val="p"/>
                    </m:rPr>
                    <w:rPr>
                      <w:rFonts w:cs="Times New Roman"/>
                      <w:b w:val="0"/>
                      <w:bCs/>
                      <w:i w:val="0"/>
                      <w:iCs/>
                      <w:color w:val="auto"/>
                      <w:sz w:val="28"/>
                      <w:szCs w:val="28"/>
                    </w:rPr>
                    <m:t>Passivo Circulante+Passível Exigível a Longo Prazo</m:t>
                  </m:r>
                  <m:ctrlPr>
                    <w:rPr>
                      <w:rFonts w:ascii="Cambria Math" w:hAnsi="Cambria Math" w:cs="Times New Roman"/>
                      <w:bCs/>
                      <w:iCs/>
                      <w:color w:val="auto"/>
                      <w:sz w:val="24"/>
                      <w:szCs w:val="24"/>
                    </w:rPr>
                  </m:ctrlPr>
                </m:num>
                <m:den>
                  <m:r>
                    <m:rPr>
                      <m:nor/>
                      <m:sty m:val="p"/>
                    </m:rPr>
                    <w:rPr>
                      <w:rFonts w:cs="Times New Roman"/>
                      <w:b w:val="0"/>
                      <w:bCs/>
                      <w:i w:val="0"/>
                      <w:iCs/>
                      <w:color w:val="auto"/>
                      <w:sz w:val="28"/>
                      <w:szCs w:val="28"/>
                    </w:rPr>
                    <m:t>Ativo Total</m:t>
                  </m:r>
                  <m:ctrlPr>
                    <w:rPr>
                      <w:rFonts w:ascii="Cambria Math" w:hAnsi="Cambria Math" w:cs="Times New Roman"/>
                      <w:bCs/>
                      <w:iCs/>
                      <w:color w:val="auto"/>
                      <w:sz w:val="24"/>
                      <w:szCs w:val="24"/>
                    </w:rPr>
                  </m:ctrlPr>
                </m:den>
              </m:f>
            </m:oMath>
          </w:p>
        </w:tc>
        <w:tc>
          <w:tcPr>
            <w:tcW w:w="812" w:type="pct"/>
            <w:vMerge w:val="continue"/>
          </w:tcPr>
          <w:p w14:paraId="0B592178">
            <w:pPr>
              <w:rPr>
                <w:bCs/>
                <w:iCs/>
                <w:color w:val="auto"/>
              </w:rPr>
            </w:pPr>
          </w:p>
        </w:tc>
        <w:tc>
          <w:tcPr>
            <w:tcW w:w="360" w:type="pct"/>
            <w:vMerge w:val="continue"/>
          </w:tcPr>
          <w:p w14:paraId="2D221F1C">
            <w:pPr>
              <w:rPr>
                <w:bCs/>
                <w:iCs/>
                <w:color w:val="auto"/>
              </w:rPr>
            </w:pPr>
          </w:p>
        </w:tc>
        <w:tc>
          <w:tcPr>
            <w:tcW w:w="316" w:type="pct"/>
            <w:gridSpan w:val="2"/>
            <w:vMerge w:val="continue"/>
          </w:tcPr>
          <w:p w14:paraId="07634564">
            <w:pPr>
              <w:rPr>
                <w:bCs/>
                <w:iCs/>
                <w:color w:val="auto"/>
              </w:rPr>
            </w:pPr>
          </w:p>
        </w:tc>
        <w:tc>
          <w:tcPr>
            <w:tcW w:w="715" w:type="pct"/>
            <w:vMerge w:val="continue"/>
          </w:tcPr>
          <w:p w14:paraId="1BBC9F78">
            <w:pPr>
              <w:rPr>
                <w:bCs/>
                <w:iCs/>
                <w:color w:val="auto"/>
              </w:rPr>
            </w:pPr>
          </w:p>
        </w:tc>
      </w:tr>
      <w:tr w14:paraId="107FD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vMerge w:val="continue"/>
          </w:tcPr>
          <w:p w14:paraId="2AA2F07A">
            <w:pPr>
              <w:rPr>
                <w:iCs/>
              </w:rPr>
            </w:pPr>
          </w:p>
        </w:tc>
        <w:tc>
          <w:tcPr>
            <w:tcW w:w="585" w:type="pct"/>
            <w:vMerge w:val="continue"/>
          </w:tcPr>
          <w:p w14:paraId="06E74228">
            <w:pPr>
              <w:rPr>
                <w:bCs/>
                <w:iCs/>
                <w:color w:val="4EA72E" w:themeColor="accent6"/>
                <w14:textFill>
                  <w14:solidFill>
                    <w14:schemeClr w14:val="accent6"/>
                  </w14:solidFill>
                </w14:textFill>
              </w:rPr>
            </w:pPr>
          </w:p>
        </w:tc>
        <w:tc>
          <w:tcPr>
            <w:tcW w:w="1982" w:type="pct"/>
            <w:gridSpan w:val="2"/>
          </w:tcPr>
          <w:p w14:paraId="17705CC1">
            <w:pPr>
              <w:rPr>
                <w:b/>
                <w:color w:val="auto"/>
              </w:rPr>
            </w:pPr>
            <w:r>
              <w:rPr>
                <w:b/>
                <w:color w:val="auto"/>
              </w:rPr>
              <w:t>Índice De Liquidez Corrente (ILC)</w:t>
            </w:r>
          </w:p>
          <w:p w14:paraId="67FBA356">
            <w:pPr>
              <w:rPr>
                <w:bCs/>
                <w:iCs/>
                <w:color w:val="auto"/>
              </w:rPr>
            </w:pPr>
            <w:r>
              <w:rPr>
                <w:bCs/>
                <w:iCs/>
                <w:color w:val="auto"/>
              </w:rPr>
              <w:t>ILC ≥ 1,00</w:t>
            </w:r>
          </w:p>
          <w:p w14:paraId="42DBBFEE">
            <w:pPr>
              <w:rPr>
                <w:rFonts w:cs="Times New Roman"/>
                <w:bCs/>
                <w:iCs/>
                <w:color w:val="auto"/>
                <w:sz w:val="20"/>
                <w:szCs w:val="20"/>
              </w:rPr>
            </w:pPr>
            <m:oMathPara>
              <m:oMathParaPr>
                <m:jc m:val="left"/>
              </m:oMathParaPr>
              <m:oMath>
                <m:r>
                  <m:rPr>
                    <m:nor/>
                    <m:sty m:val="p"/>
                  </m:rPr>
                  <w:rPr>
                    <w:rFonts w:cs="Times New Roman"/>
                    <w:b w:val="0"/>
                    <w:bCs/>
                    <w:i w:val="0"/>
                    <w:iCs/>
                    <w:color w:val="auto"/>
                    <w:sz w:val="20"/>
                    <w:szCs w:val="20"/>
                  </w:rPr>
                  <m:t>ILC=</m:t>
                </m:r>
                <m:r>
                  <m:rPr>
                    <m:sty m:val="p"/>
                  </m:rPr>
                  <w:rPr>
                    <w:rFonts w:ascii="Cambria Math" w:hAnsi="Cambria Math" w:cs="Times New Roman"/>
                    <w:color w:val="auto"/>
                    <w:sz w:val="20"/>
                    <w:szCs w:val="20"/>
                  </w:rPr>
                  <m:t xml:space="preserve"> </m:t>
                </m:r>
                <m:f>
                  <m:fPr>
                    <m:ctrlPr>
                      <w:rPr>
                        <w:rFonts w:ascii="Cambria Math" w:hAnsi="Cambria Math" w:cs="Times New Roman"/>
                        <w:bCs/>
                        <w:iCs/>
                        <w:color w:val="auto"/>
                        <w:sz w:val="20"/>
                        <w:szCs w:val="20"/>
                      </w:rPr>
                    </m:ctrlPr>
                  </m:fPr>
                  <m:num>
                    <m:r>
                      <m:rPr>
                        <m:nor/>
                        <m:sty m:val="p"/>
                      </m:rPr>
                      <w:rPr>
                        <w:rFonts w:cs="Times New Roman"/>
                        <w:b w:val="0"/>
                        <w:bCs/>
                        <w:i w:val="0"/>
                        <w:iCs/>
                        <w:color w:val="auto"/>
                        <w:sz w:val="20"/>
                        <w:szCs w:val="20"/>
                      </w:rPr>
                      <m:t>Ativo Circulante</m:t>
                    </m:r>
                    <m:ctrlPr>
                      <w:rPr>
                        <w:rFonts w:ascii="Cambria Math" w:hAnsi="Cambria Math" w:cs="Times New Roman"/>
                        <w:bCs/>
                        <w:iCs/>
                        <w:color w:val="auto"/>
                        <w:sz w:val="20"/>
                        <w:szCs w:val="20"/>
                      </w:rPr>
                    </m:ctrlPr>
                  </m:num>
                  <m:den>
                    <m:r>
                      <m:rPr>
                        <m:nor/>
                        <m:sty m:val="p"/>
                      </m:rPr>
                      <w:rPr>
                        <w:rFonts w:cs="Times New Roman"/>
                        <w:b w:val="0"/>
                        <w:bCs/>
                        <w:i w:val="0"/>
                        <w:iCs/>
                        <w:color w:val="auto"/>
                        <w:sz w:val="20"/>
                        <w:szCs w:val="20"/>
                      </w:rPr>
                      <m:t>Passivo Circulante</m:t>
                    </m:r>
                    <m:ctrlPr>
                      <w:rPr>
                        <w:rFonts w:ascii="Cambria Math" w:hAnsi="Cambria Math" w:cs="Times New Roman"/>
                        <w:bCs/>
                        <w:iCs/>
                        <w:color w:val="auto"/>
                        <w:sz w:val="20"/>
                        <w:szCs w:val="20"/>
                      </w:rPr>
                    </m:ctrlPr>
                  </m:den>
                </m:f>
              </m:oMath>
            </m:oMathPara>
          </w:p>
        </w:tc>
        <w:tc>
          <w:tcPr>
            <w:tcW w:w="812" w:type="pct"/>
            <w:vMerge w:val="continue"/>
          </w:tcPr>
          <w:p w14:paraId="2E8617D5">
            <w:pPr>
              <w:rPr>
                <w:bCs/>
                <w:iCs/>
              </w:rPr>
            </w:pPr>
          </w:p>
        </w:tc>
        <w:tc>
          <w:tcPr>
            <w:tcW w:w="360" w:type="pct"/>
            <w:vMerge w:val="continue"/>
          </w:tcPr>
          <w:p w14:paraId="58A0FCC1">
            <w:pPr>
              <w:rPr>
                <w:bCs/>
                <w:iCs/>
              </w:rPr>
            </w:pPr>
          </w:p>
        </w:tc>
        <w:tc>
          <w:tcPr>
            <w:tcW w:w="316" w:type="pct"/>
            <w:gridSpan w:val="2"/>
            <w:vMerge w:val="continue"/>
          </w:tcPr>
          <w:p w14:paraId="53FEE38C">
            <w:pPr>
              <w:rPr>
                <w:bCs/>
                <w:iCs/>
              </w:rPr>
            </w:pPr>
          </w:p>
        </w:tc>
        <w:tc>
          <w:tcPr>
            <w:tcW w:w="715" w:type="pct"/>
            <w:vMerge w:val="continue"/>
          </w:tcPr>
          <w:p w14:paraId="35C11476">
            <w:pPr>
              <w:rPr>
                <w:bCs/>
                <w:iCs/>
              </w:rPr>
            </w:pPr>
          </w:p>
        </w:tc>
      </w:tr>
      <w:tr w14:paraId="1C59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shd w:val="clear" w:color="auto" w:fill="F1F1F1" w:themeFill="background1" w:themeFillShade="F2"/>
          </w:tcPr>
          <w:p w14:paraId="759CFD05">
            <w:pPr>
              <w:pStyle w:val="75"/>
              <w:rPr>
                <w:b w:val="0"/>
                <w:bCs w:val="0"/>
                <w:color w:val="auto"/>
              </w:rPr>
            </w:pPr>
            <w:bookmarkStart w:id="131" w:name="_Toc157691590"/>
            <w:bookmarkStart w:id="132" w:name="_Toc151809247"/>
            <w:bookmarkStart w:id="133" w:name="_Toc174521782"/>
            <w:bookmarkStart w:id="134" w:name="_Toc168412201"/>
            <w:r>
              <w:rPr>
                <w:color w:val="auto"/>
              </w:rPr>
              <w:t>4 Regularidade Fiscal, Social e Trabalhista</w:t>
            </w:r>
            <w:bookmarkEnd w:id="131"/>
            <w:bookmarkEnd w:id="132"/>
            <w:bookmarkEnd w:id="133"/>
            <w:bookmarkEnd w:id="134"/>
          </w:p>
        </w:tc>
      </w:tr>
      <w:tr w14:paraId="744D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15A2BFFB">
            <w:pPr>
              <w:rPr>
                <w:iCs/>
              </w:rPr>
            </w:pPr>
            <w:r>
              <w:rPr>
                <w:iCs/>
              </w:rPr>
              <w:t>4.1</w:t>
            </w:r>
          </w:p>
        </w:tc>
        <w:tc>
          <w:tcPr>
            <w:tcW w:w="698" w:type="pct"/>
            <w:gridSpan w:val="2"/>
          </w:tcPr>
          <w:p w14:paraId="71A0B9E3">
            <w:pPr>
              <w:rPr>
                <w:bCs/>
                <w:iCs/>
                <w:color w:val="auto"/>
              </w:rPr>
            </w:pPr>
            <w:r>
              <w:rPr>
                <w:bCs/>
                <w:iCs/>
                <w:color w:val="auto"/>
              </w:rPr>
              <w:t>CNPJ</w:t>
            </w:r>
          </w:p>
        </w:tc>
        <w:tc>
          <w:tcPr>
            <w:tcW w:w="1869" w:type="pct"/>
          </w:tcPr>
          <w:p w14:paraId="6373642B">
            <w:pPr>
              <w:jc w:val="both"/>
              <w:rPr>
                <w:bCs/>
                <w:iCs/>
                <w:color w:val="auto"/>
              </w:rPr>
            </w:pPr>
            <w:r>
              <w:rPr>
                <w:bCs/>
                <w:iCs/>
                <w:color w:val="auto"/>
              </w:rPr>
              <w:t>Prova de inscrição no Cadastro Nacional de Pessoas Jurídicas (CNPJ)</w:t>
            </w:r>
          </w:p>
        </w:tc>
        <w:tc>
          <w:tcPr>
            <w:tcW w:w="812" w:type="pct"/>
          </w:tcPr>
          <w:p w14:paraId="4E728821">
            <w:pPr>
              <w:rPr>
                <w:bCs/>
                <w:iCs/>
              </w:rPr>
            </w:pPr>
            <w:r>
              <w:rPr>
                <w:bCs/>
                <w:iCs/>
              </w:rPr>
              <w:t>Deve atender ao requisito</w:t>
            </w:r>
          </w:p>
        </w:tc>
        <w:tc>
          <w:tcPr>
            <w:tcW w:w="360" w:type="pct"/>
          </w:tcPr>
          <w:p w14:paraId="15E64F3A">
            <w:pPr>
              <w:rPr>
                <w:bCs/>
                <w:iCs/>
              </w:rPr>
            </w:pPr>
            <w:r>
              <w:rPr>
                <w:bCs/>
                <w:iCs/>
              </w:rPr>
              <w:t>N.A</w:t>
            </w:r>
          </w:p>
        </w:tc>
        <w:tc>
          <w:tcPr>
            <w:tcW w:w="316" w:type="pct"/>
            <w:gridSpan w:val="2"/>
          </w:tcPr>
          <w:p w14:paraId="5F15AE2B">
            <w:pPr>
              <w:rPr>
                <w:bCs/>
                <w:iCs/>
              </w:rPr>
            </w:pPr>
            <w:r>
              <w:rPr>
                <w:bCs/>
                <w:iCs/>
              </w:rPr>
              <w:t>N.A</w:t>
            </w:r>
          </w:p>
        </w:tc>
        <w:tc>
          <w:tcPr>
            <w:tcW w:w="715" w:type="pct"/>
          </w:tcPr>
          <w:p w14:paraId="02CCA29D">
            <w:pPr>
              <w:rPr>
                <w:bCs/>
                <w:iCs/>
              </w:rPr>
            </w:pPr>
            <w:r>
              <w:rPr>
                <w:bCs/>
                <w:iCs/>
              </w:rPr>
              <w:t>Anexo à proposta</w:t>
            </w:r>
          </w:p>
        </w:tc>
      </w:tr>
      <w:tr w14:paraId="6284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5F63E72F">
            <w:r>
              <w:t>4.2</w:t>
            </w:r>
          </w:p>
        </w:tc>
        <w:tc>
          <w:tcPr>
            <w:tcW w:w="698" w:type="pct"/>
            <w:gridSpan w:val="2"/>
          </w:tcPr>
          <w:p w14:paraId="25D3AF99">
            <w:pPr>
              <w:rPr>
                <w:color w:val="auto"/>
              </w:rPr>
            </w:pPr>
            <w:r>
              <w:rPr>
                <w:color w:val="auto"/>
              </w:rPr>
              <w:t>Inscrição no cadastro de contribuintes estadual ou municipal</w:t>
            </w:r>
          </w:p>
        </w:tc>
        <w:tc>
          <w:tcPr>
            <w:tcW w:w="1869" w:type="pct"/>
          </w:tcPr>
          <w:p w14:paraId="175DAA32">
            <w:pPr>
              <w:jc w:val="both"/>
              <w:rPr>
                <w:color w:val="auto"/>
              </w:rPr>
            </w:pPr>
            <w:r>
              <w:rPr>
                <w:color w:val="auto"/>
              </w:rPr>
              <w:t>Prova de inscrição no cadastro de contribuintes  municipal, se houver, relativo ao domicílio ou sede do Concorrente, pertinente ao seu ramo de atividade e compatível com o objeto contratual</w:t>
            </w:r>
          </w:p>
        </w:tc>
        <w:tc>
          <w:tcPr>
            <w:tcW w:w="812" w:type="pct"/>
          </w:tcPr>
          <w:p w14:paraId="1765A5A2">
            <w:r>
              <w:t>Deve atender ao requisito</w:t>
            </w:r>
          </w:p>
        </w:tc>
        <w:tc>
          <w:tcPr>
            <w:tcW w:w="360" w:type="pct"/>
          </w:tcPr>
          <w:p w14:paraId="08706357">
            <w:pPr>
              <w:rPr>
                <w:bCs/>
                <w:iCs/>
              </w:rPr>
            </w:pPr>
            <w:r>
              <w:rPr>
                <w:bCs/>
                <w:iCs/>
              </w:rPr>
              <w:t>N.A</w:t>
            </w:r>
          </w:p>
        </w:tc>
        <w:tc>
          <w:tcPr>
            <w:tcW w:w="316" w:type="pct"/>
            <w:gridSpan w:val="2"/>
          </w:tcPr>
          <w:p w14:paraId="4821FCE7">
            <w:pPr>
              <w:rPr>
                <w:bCs/>
                <w:iCs/>
              </w:rPr>
            </w:pPr>
            <w:r>
              <w:rPr>
                <w:bCs/>
                <w:iCs/>
              </w:rPr>
              <w:t>N.A</w:t>
            </w:r>
          </w:p>
        </w:tc>
        <w:tc>
          <w:tcPr>
            <w:tcW w:w="715" w:type="pct"/>
          </w:tcPr>
          <w:p w14:paraId="245B7144">
            <w:r>
              <w:t>Anexo à proposta</w:t>
            </w:r>
          </w:p>
        </w:tc>
      </w:tr>
      <w:tr w14:paraId="53C3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7918F2E0">
            <w:pPr>
              <w:rPr>
                <w:iCs/>
              </w:rPr>
            </w:pPr>
            <w:r>
              <w:rPr>
                <w:iCs/>
              </w:rPr>
              <w:t>4.3</w:t>
            </w:r>
          </w:p>
        </w:tc>
        <w:tc>
          <w:tcPr>
            <w:tcW w:w="698" w:type="pct"/>
            <w:gridSpan w:val="2"/>
          </w:tcPr>
          <w:p w14:paraId="14F01A46">
            <w:pPr>
              <w:rPr>
                <w:bCs/>
                <w:iCs/>
                <w:color w:val="auto"/>
              </w:rPr>
            </w:pPr>
            <w:r>
              <w:rPr>
                <w:bCs/>
                <w:iCs/>
                <w:color w:val="auto"/>
              </w:rPr>
              <w:t>Regularidade perante as Fazendas</w:t>
            </w:r>
          </w:p>
        </w:tc>
        <w:tc>
          <w:tcPr>
            <w:tcW w:w="1869" w:type="pct"/>
          </w:tcPr>
          <w:p w14:paraId="78F81AEF">
            <w:pPr>
              <w:jc w:val="both"/>
              <w:rPr>
                <w:bCs/>
                <w:iCs/>
                <w:color w:val="auto"/>
              </w:rPr>
            </w:pPr>
            <w:r>
              <w:rPr>
                <w:bCs/>
                <w:iCs/>
                <w:color w:val="auto"/>
              </w:rPr>
              <w:t>Regularidade perante a Fazenda federal, e a municipal do domicílio ou sede do concorrente, ou outra equivalente, na forma da lei</w:t>
            </w:r>
          </w:p>
        </w:tc>
        <w:tc>
          <w:tcPr>
            <w:tcW w:w="812" w:type="pct"/>
          </w:tcPr>
          <w:p w14:paraId="34DEA1CA">
            <w:pPr>
              <w:rPr>
                <w:bCs/>
                <w:iCs/>
              </w:rPr>
            </w:pPr>
            <w:r>
              <w:rPr>
                <w:bCs/>
                <w:iCs/>
              </w:rPr>
              <w:t>Deve atender ao requisito</w:t>
            </w:r>
          </w:p>
        </w:tc>
        <w:tc>
          <w:tcPr>
            <w:tcW w:w="360" w:type="pct"/>
          </w:tcPr>
          <w:p w14:paraId="0916A373">
            <w:pPr>
              <w:rPr>
                <w:bCs/>
                <w:iCs/>
              </w:rPr>
            </w:pPr>
            <w:r>
              <w:rPr>
                <w:bCs/>
                <w:iCs/>
              </w:rPr>
              <w:t>N.A</w:t>
            </w:r>
          </w:p>
        </w:tc>
        <w:tc>
          <w:tcPr>
            <w:tcW w:w="316" w:type="pct"/>
            <w:gridSpan w:val="2"/>
          </w:tcPr>
          <w:p w14:paraId="2FCCB4B0">
            <w:pPr>
              <w:rPr>
                <w:bCs/>
                <w:iCs/>
              </w:rPr>
            </w:pPr>
            <w:r>
              <w:rPr>
                <w:bCs/>
                <w:iCs/>
              </w:rPr>
              <w:t>N.A</w:t>
            </w:r>
          </w:p>
        </w:tc>
        <w:tc>
          <w:tcPr>
            <w:tcW w:w="715" w:type="pct"/>
          </w:tcPr>
          <w:p w14:paraId="328F3792">
            <w:pPr>
              <w:rPr>
                <w:bCs/>
                <w:iCs/>
              </w:rPr>
            </w:pPr>
            <w:r>
              <w:rPr>
                <w:bCs/>
                <w:iCs/>
              </w:rPr>
              <w:t>Anexo à proposta</w:t>
            </w:r>
          </w:p>
        </w:tc>
      </w:tr>
      <w:tr w14:paraId="5E62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33C36799">
            <w:pPr>
              <w:rPr>
                <w:iCs/>
              </w:rPr>
            </w:pPr>
            <w:r>
              <w:rPr>
                <w:iCs/>
              </w:rPr>
              <w:t>4.4</w:t>
            </w:r>
          </w:p>
        </w:tc>
        <w:tc>
          <w:tcPr>
            <w:tcW w:w="698" w:type="pct"/>
            <w:gridSpan w:val="2"/>
          </w:tcPr>
          <w:p w14:paraId="6DB19FC4">
            <w:pPr>
              <w:rPr>
                <w:bCs/>
                <w:iCs/>
                <w:color w:val="auto"/>
              </w:rPr>
            </w:pPr>
            <w:r>
              <w:rPr>
                <w:bCs/>
                <w:iCs/>
                <w:color w:val="auto"/>
              </w:rPr>
              <w:t>Seguridade Social e FGTS</w:t>
            </w:r>
          </w:p>
        </w:tc>
        <w:tc>
          <w:tcPr>
            <w:tcW w:w="1869" w:type="pct"/>
          </w:tcPr>
          <w:p w14:paraId="38BA6C2C">
            <w:pPr>
              <w:jc w:val="both"/>
              <w:rPr>
                <w:bCs/>
                <w:iCs/>
                <w:color w:val="auto"/>
              </w:rPr>
            </w:pPr>
            <w:r>
              <w:rPr>
                <w:bCs/>
                <w:iCs/>
                <w:color w:val="auto"/>
              </w:rPr>
              <w:t>Regularidade relativa à Seguridade Social e ao FGTS, que demonstre cumprimento dos encargos sociais instituídos por lei</w:t>
            </w:r>
          </w:p>
        </w:tc>
        <w:tc>
          <w:tcPr>
            <w:tcW w:w="812" w:type="pct"/>
          </w:tcPr>
          <w:p w14:paraId="4D34C70E">
            <w:pPr>
              <w:rPr>
                <w:bCs/>
                <w:iCs/>
              </w:rPr>
            </w:pPr>
            <w:r>
              <w:rPr>
                <w:bCs/>
                <w:iCs/>
              </w:rPr>
              <w:t>Deve atender ao requisito</w:t>
            </w:r>
          </w:p>
        </w:tc>
        <w:tc>
          <w:tcPr>
            <w:tcW w:w="360" w:type="pct"/>
          </w:tcPr>
          <w:p w14:paraId="7765E7CB">
            <w:pPr>
              <w:rPr>
                <w:bCs/>
                <w:iCs/>
              </w:rPr>
            </w:pPr>
            <w:r>
              <w:rPr>
                <w:bCs/>
                <w:iCs/>
              </w:rPr>
              <w:t>N.A</w:t>
            </w:r>
          </w:p>
        </w:tc>
        <w:tc>
          <w:tcPr>
            <w:tcW w:w="316" w:type="pct"/>
            <w:gridSpan w:val="2"/>
          </w:tcPr>
          <w:p w14:paraId="0AF179A9">
            <w:pPr>
              <w:rPr>
                <w:bCs/>
                <w:iCs/>
              </w:rPr>
            </w:pPr>
            <w:r>
              <w:rPr>
                <w:bCs/>
                <w:iCs/>
              </w:rPr>
              <w:t>N.A</w:t>
            </w:r>
          </w:p>
        </w:tc>
        <w:tc>
          <w:tcPr>
            <w:tcW w:w="715" w:type="pct"/>
          </w:tcPr>
          <w:p w14:paraId="3E75BE7A">
            <w:pPr>
              <w:rPr>
                <w:bCs/>
                <w:iCs/>
              </w:rPr>
            </w:pPr>
            <w:r>
              <w:rPr>
                <w:bCs/>
                <w:iCs/>
              </w:rPr>
              <w:t>Anexo à proposta</w:t>
            </w:r>
          </w:p>
        </w:tc>
      </w:tr>
      <w:tr w14:paraId="675D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4437953C">
            <w:pPr>
              <w:rPr>
                <w:iCs/>
              </w:rPr>
            </w:pPr>
            <w:r>
              <w:rPr>
                <w:iCs/>
              </w:rPr>
              <w:t>4.5</w:t>
            </w:r>
          </w:p>
        </w:tc>
        <w:tc>
          <w:tcPr>
            <w:tcW w:w="698" w:type="pct"/>
            <w:gridSpan w:val="2"/>
          </w:tcPr>
          <w:p w14:paraId="67A69A88">
            <w:pPr>
              <w:rPr>
                <w:bCs/>
                <w:iCs/>
                <w:color w:val="auto"/>
              </w:rPr>
            </w:pPr>
            <w:r>
              <w:rPr>
                <w:bCs/>
                <w:iCs/>
                <w:color w:val="auto"/>
              </w:rPr>
              <w:t>Justiça do Trabalho</w:t>
            </w:r>
          </w:p>
        </w:tc>
        <w:tc>
          <w:tcPr>
            <w:tcW w:w="1869" w:type="pct"/>
          </w:tcPr>
          <w:p w14:paraId="71F6131F">
            <w:pPr>
              <w:jc w:val="both"/>
              <w:rPr>
                <w:bCs/>
                <w:iCs/>
                <w:color w:val="auto"/>
              </w:rPr>
            </w:pPr>
            <w:r>
              <w:rPr>
                <w:bCs/>
                <w:iCs/>
                <w:color w:val="auto"/>
              </w:rPr>
              <w:t>Regularidade perante a Justiça do Trabalho</w:t>
            </w:r>
          </w:p>
        </w:tc>
        <w:tc>
          <w:tcPr>
            <w:tcW w:w="812" w:type="pct"/>
          </w:tcPr>
          <w:p w14:paraId="5F5F4907">
            <w:pPr>
              <w:rPr>
                <w:bCs/>
                <w:iCs/>
              </w:rPr>
            </w:pPr>
            <w:r>
              <w:rPr>
                <w:bCs/>
                <w:iCs/>
              </w:rPr>
              <w:t>Deve atender ao requisito</w:t>
            </w:r>
          </w:p>
        </w:tc>
        <w:tc>
          <w:tcPr>
            <w:tcW w:w="360" w:type="pct"/>
          </w:tcPr>
          <w:p w14:paraId="2090D483">
            <w:pPr>
              <w:rPr>
                <w:bCs/>
                <w:iCs/>
              </w:rPr>
            </w:pPr>
            <w:r>
              <w:rPr>
                <w:bCs/>
                <w:iCs/>
              </w:rPr>
              <w:t>N.A</w:t>
            </w:r>
          </w:p>
        </w:tc>
        <w:tc>
          <w:tcPr>
            <w:tcW w:w="316" w:type="pct"/>
            <w:gridSpan w:val="2"/>
          </w:tcPr>
          <w:p w14:paraId="7D5E6D2C">
            <w:pPr>
              <w:rPr>
                <w:bCs/>
                <w:iCs/>
              </w:rPr>
            </w:pPr>
            <w:r>
              <w:rPr>
                <w:bCs/>
                <w:iCs/>
              </w:rPr>
              <w:t>N.A</w:t>
            </w:r>
          </w:p>
        </w:tc>
        <w:tc>
          <w:tcPr>
            <w:tcW w:w="715" w:type="pct"/>
          </w:tcPr>
          <w:p w14:paraId="5C050050">
            <w:pPr>
              <w:rPr>
                <w:bCs/>
                <w:iCs/>
              </w:rPr>
            </w:pPr>
            <w:r>
              <w:rPr>
                <w:bCs/>
                <w:iCs/>
              </w:rPr>
              <w:t>Anexo à proposta</w:t>
            </w:r>
          </w:p>
        </w:tc>
      </w:tr>
      <w:tr w14:paraId="41B6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443A31D7">
            <w:r>
              <w:t>4.6</w:t>
            </w:r>
          </w:p>
        </w:tc>
        <w:tc>
          <w:tcPr>
            <w:tcW w:w="698" w:type="pct"/>
            <w:gridSpan w:val="2"/>
          </w:tcPr>
          <w:p w14:paraId="44688E8F">
            <w:pPr>
              <w:rPr>
                <w:color w:val="auto"/>
              </w:rPr>
            </w:pPr>
            <w:r>
              <w:rPr>
                <w:color w:val="auto"/>
              </w:rPr>
              <w:t>Declaração do concorrente sobre trabalho de menor</w:t>
            </w:r>
          </w:p>
        </w:tc>
        <w:tc>
          <w:tcPr>
            <w:tcW w:w="1869" w:type="pct"/>
          </w:tcPr>
          <w:p w14:paraId="725FCC8A">
            <w:pPr>
              <w:jc w:val="both"/>
              <w:rPr>
                <w:color w:val="auto"/>
              </w:rPr>
            </w:pPr>
            <w:r>
              <w:rPr>
                <w:color w:val="auto"/>
              </w:rPr>
              <w:t>O cumprimento do disposto no inciso XXXIII do art. 7º da Constituição Federal: “... proibição de trabalho noturno, perigoso ou insalubre, aos menores de dezoito anos e de qualquer trabalho a menores de dezesseis anos, salvo na condição de aprendiz, a partir de quatorze anos.”</w:t>
            </w:r>
          </w:p>
        </w:tc>
        <w:tc>
          <w:tcPr>
            <w:tcW w:w="812" w:type="pct"/>
          </w:tcPr>
          <w:p w14:paraId="250101FE">
            <w:r>
              <w:t>Deve atender ao requisito</w:t>
            </w:r>
          </w:p>
        </w:tc>
        <w:tc>
          <w:tcPr>
            <w:tcW w:w="360" w:type="pct"/>
          </w:tcPr>
          <w:p w14:paraId="671E371E">
            <w:pPr>
              <w:rPr>
                <w:bCs/>
                <w:iCs/>
              </w:rPr>
            </w:pPr>
            <w:r>
              <w:rPr>
                <w:bCs/>
                <w:iCs/>
              </w:rPr>
              <w:t>N.A</w:t>
            </w:r>
          </w:p>
        </w:tc>
        <w:tc>
          <w:tcPr>
            <w:tcW w:w="316" w:type="pct"/>
            <w:gridSpan w:val="2"/>
          </w:tcPr>
          <w:p w14:paraId="19B1DFB4">
            <w:pPr>
              <w:rPr>
                <w:bCs/>
                <w:iCs/>
              </w:rPr>
            </w:pPr>
            <w:r>
              <w:rPr>
                <w:bCs/>
                <w:iCs/>
              </w:rPr>
              <w:t>N.A</w:t>
            </w:r>
          </w:p>
        </w:tc>
        <w:tc>
          <w:tcPr>
            <w:tcW w:w="715" w:type="pct"/>
          </w:tcPr>
          <w:p w14:paraId="720D0F9F">
            <w:r>
              <w:t>Modelo 12 da Seção 4</w:t>
            </w:r>
          </w:p>
        </w:tc>
      </w:tr>
      <w:tr w14:paraId="3F03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3AE40517">
            <w:r>
              <w:t>4.7</w:t>
            </w:r>
          </w:p>
        </w:tc>
        <w:tc>
          <w:tcPr>
            <w:tcW w:w="698" w:type="pct"/>
            <w:gridSpan w:val="2"/>
          </w:tcPr>
          <w:p w14:paraId="320B63DF">
            <w:pPr>
              <w:rPr>
                <w:color w:val="auto"/>
              </w:rPr>
            </w:pPr>
            <w:r>
              <w:rPr>
                <w:color w:val="auto"/>
              </w:rPr>
              <w:t>Certidão Negativa de Débitos Trabalhistas</w:t>
            </w:r>
          </w:p>
        </w:tc>
        <w:tc>
          <w:tcPr>
            <w:tcW w:w="1869" w:type="pct"/>
          </w:tcPr>
          <w:p w14:paraId="1EC62DF2">
            <w:pPr>
              <w:jc w:val="both"/>
              <w:rPr>
                <w:color w:val="auto"/>
              </w:rPr>
            </w:pPr>
            <w:r>
              <w:rPr>
                <w:rFonts w:hint="default"/>
                <w:color w:val="auto"/>
              </w:rPr>
              <w:t>Prova de inexistência de débitos inadimplidos perante a Justiça do Trabalho, mediante a apresentação de certidão negativa ou positiva com efeito de negativa, nos termos do Título VII-A da Consolidação das Leis do Trabalho, aprovada pelo Decreto-Lei n.° 5.452, de 1º de maio de 1943</w:t>
            </w:r>
            <w:r>
              <w:rPr>
                <w:color w:val="auto"/>
              </w:rPr>
              <w:t>.</w:t>
            </w:r>
          </w:p>
        </w:tc>
        <w:tc>
          <w:tcPr>
            <w:tcW w:w="812" w:type="pct"/>
          </w:tcPr>
          <w:p w14:paraId="6A93F0B7">
            <w:r>
              <w:t>Deve atender ao requisito</w:t>
            </w:r>
          </w:p>
        </w:tc>
        <w:tc>
          <w:tcPr>
            <w:tcW w:w="360" w:type="pct"/>
          </w:tcPr>
          <w:p w14:paraId="79B1DCBD">
            <w:pPr>
              <w:rPr>
                <w:bCs/>
                <w:iCs/>
              </w:rPr>
            </w:pPr>
            <w:r>
              <w:rPr>
                <w:bCs/>
                <w:iCs/>
              </w:rPr>
              <w:t>N.A</w:t>
            </w:r>
          </w:p>
        </w:tc>
        <w:tc>
          <w:tcPr>
            <w:tcW w:w="316" w:type="pct"/>
            <w:gridSpan w:val="2"/>
          </w:tcPr>
          <w:p w14:paraId="713F8274">
            <w:pPr>
              <w:rPr>
                <w:bCs/>
                <w:iCs/>
              </w:rPr>
            </w:pPr>
            <w:r>
              <w:rPr>
                <w:bCs/>
                <w:iCs/>
              </w:rPr>
              <w:t>N.A</w:t>
            </w:r>
          </w:p>
        </w:tc>
        <w:tc>
          <w:tcPr>
            <w:tcW w:w="715" w:type="pct"/>
          </w:tcPr>
          <w:p w14:paraId="348BCDDC">
            <w:r>
              <w:t>Anexo à proposta</w:t>
            </w:r>
          </w:p>
        </w:tc>
      </w:tr>
      <w:tr w14:paraId="4B171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000" w:type="pct"/>
            <w:gridSpan w:val="9"/>
            <w:shd w:val="clear" w:color="auto" w:fill="F1F1F1" w:themeFill="background1" w:themeFillShade="F2"/>
          </w:tcPr>
          <w:p w14:paraId="2C637D79">
            <w:pPr>
              <w:pStyle w:val="75"/>
              <w:rPr>
                <w:b w:val="0"/>
                <w:bCs w:val="0"/>
                <w:color w:val="auto"/>
              </w:rPr>
            </w:pPr>
            <w:bookmarkStart w:id="135" w:name="_Toc157691591"/>
            <w:bookmarkStart w:id="136" w:name="_Toc168412202"/>
            <w:bookmarkStart w:id="137" w:name="_Toc174521783"/>
            <w:bookmarkStart w:id="138" w:name="_Toc151809248"/>
            <w:bookmarkStart w:id="139" w:name="_Hlk137893193"/>
            <w:r>
              <w:rPr>
                <w:color w:val="auto"/>
              </w:rPr>
              <w:t>5 Qualificação Técnico-Profissional e Técnico-Operacional</w:t>
            </w:r>
            <w:bookmarkEnd w:id="135"/>
            <w:bookmarkEnd w:id="136"/>
            <w:bookmarkEnd w:id="137"/>
            <w:bookmarkEnd w:id="138"/>
            <w:bookmarkEnd w:id="139"/>
            <w:r>
              <w:rPr>
                <w:color w:val="auto"/>
              </w:rPr>
              <w:t xml:space="preserve"> </w:t>
            </w:r>
          </w:p>
        </w:tc>
      </w:tr>
      <w:tr w14:paraId="1DF5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000" w:type="pct"/>
            <w:gridSpan w:val="9"/>
            <w:shd w:val="clear" w:color="auto" w:fill="auto"/>
          </w:tcPr>
          <w:p w14:paraId="649D2648">
            <w:pPr>
              <w:rPr>
                <w:b/>
                <w:bCs/>
                <w:color w:val="auto"/>
              </w:rPr>
            </w:pPr>
            <w:bookmarkStart w:id="140" w:name="_Toc151809249"/>
            <w:bookmarkStart w:id="141" w:name="_Toc157691592"/>
            <w:bookmarkStart w:id="142" w:name="_Toc168412203"/>
            <w:r>
              <w:rPr>
                <w:b/>
                <w:bCs/>
                <w:color w:val="auto"/>
              </w:rPr>
              <w:t>5.1 Equipe Chave</w:t>
            </w:r>
            <w:bookmarkEnd w:id="140"/>
            <w:bookmarkEnd w:id="141"/>
            <w:bookmarkEnd w:id="142"/>
          </w:p>
        </w:tc>
      </w:tr>
      <w:tr w14:paraId="74BA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3F4D628C">
            <w:pPr>
              <w:rPr>
                <w:iCs/>
              </w:rPr>
            </w:pPr>
            <w:r>
              <w:rPr>
                <w:iCs/>
              </w:rPr>
              <w:t>5.1.1</w:t>
            </w:r>
          </w:p>
        </w:tc>
        <w:tc>
          <w:tcPr>
            <w:tcW w:w="585" w:type="pct"/>
          </w:tcPr>
          <w:p w14:paraId="77D37E0F">
            <w:pPr>
              <w:jc w:val="left"/>
              <w:rPr>
                <w:rFonts w:hint="default"/>
                <w:bCs/>
                <w:iCs/>
                <w:color w:val="auto"/>
                <w:lang w:val="pt-BR"/>
              </w:rPr>
            </w:pPr>
            <w:r>
              <w:rPr>
                <w:rFonts w:hint="default"/>
                <w:bCs/>
                <w:iCs/>
                <w:color w:val="auto"/>
                <w:lang w:val="pt-BR"/>
              </w:rPr>
              <w:t>Habilidade capacidade Técnico-Profissional</w:t>
            </w:r>
          </w:p>
        </w:tc>
        <w:tc>
          <w:tcPr>
            <w:tcW w:w="1982" w:type="pct"/>
            <w:gridSpan w:val="2"/>
          </w:tcPr>
          <w:p w14:paraId="6C1A1522">
            <w:pPr>
              <w:keepNext w:val="0"/>
              <w:keepLines w:val="0"/>
              <w:pageBreakBefore w:val="0"/>
              <w:widowControl/>
              <w:numPr>
                <w:ilvl w:val="0"/>
                <w:numId w:val="18"/>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color w:val="auto"/>
                <w:lang w:val="pt-BR"/>
              </w:rPr>
            </w:pPr>
            <w:r>
              <w:rPr>
                <w:rFonts w:hint="default"/>
                <w:color w:val="auto"/>
              </w:rPr>
              <w:t>A Equipe Chave da licitante deverá ser composta por, no mínimo, 1 (um) Responsável Técnico com formação superior, em engenharia civil ou arquitetura ou outra reconhecida pela entidade profissional competente</w:t>
            </w:r>
            <w:r>
              <w:rPr>
                <w:rFonts w:hint="default"/>
                <w:color w:val="auto"/>
                <w:lang w:val="pt-BR"/>
              </w:rPr>
              <w:t>.</w:t>
            </w:r>
          </w:p>
          <w:p w14:paraId="27638F44">
            <w:pPr>
              <w:keepNext w:val="0"/>
              <w:keepLines w:val="0"/>
              <w:pageBreakBefore w:val="0"/>
              <w:widowControl/>
              <w:numPr>
                <w:ilvl w:val="0"/>
                <w:numId w:val="18"/>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color w:val="auto"/>
                <w:lang w:val="pt-BR"/>
              </w:rPr>
            </w:pPr>
            <w:r>
              <w:rPr>
                <w:rFonts w:hint="default"/>
                <w:color w:val="auto"/>
                <w:lang w:val="pt-BR"/>
              </w:rPr>
              <w:t>Comprovação da licitante de possuir em seu quadro técnico, através do vínculo entre o profissional e a pessoa jurídica, na data prevista para o certame licitatório, profissional de nível superior ou outro reconhecido pela entidade competente, devidamente registrado junto ao Conselho Regional de Engenharia e Agronomia (CREA) ou Conselho de Arquitetura e Urbanismo (CAU), o qual responderá pela responsabilidade técnica das obras e/ou serviços, individualmente ou em conjunto com outros profissionais indicados pela licitante.</w:t>
            </w:r>
          </w:p>
          <w:p w14:paraId="14F399D1">
            <w:pPr>
              <w:keepNext w:val="0"/>
              <w:keepLines w:val="0"/>
              <w:pageBreakBefore w:val="0"/>
              <w:widowControl/>
              <w:numPr>
                <w:ilvl w:val="0"/>
                <w:numId w:val="19"/>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lang w:val="pt-BR"/>
              </w:rPr>
            </w:pPr>
            <w:r>
              <w:rPr>
                <w:rFonts w:hint="default"/>
                <w:color w:val="auto"/>
                <w:lang w:val="pt-BR"/>
              </w:rPr>
              <w:t>A comprovação de pertencer ao quadro técnico da licitante se dará mediante apresentação de qualquer dos documentos descritos no parágrafo único, do artigo 45, da Resolução CONFEA n° 1.025/2009: “Parágrafo único. Para efeito desta resolução, o vínculo entre o profissional e a pessoa jurídica pode ser comprovado por meio de contrato de trabalho anotado na Carteira de Trabalho e Previdência Social - CTPS, contrato de prestação de serviço, livro ou ficha de registro de empregado, contrato social, ata de assembleia ou ato administrativo de nomeação ou designação do qual constem a indicação do cargo ou função técnica, o início e a descrição das atividades a serem desenvolvidas pelo profissional”</w:t>
            </w:r>
          </w:p>
          <w:p w14:paraId="7E9DE605">
            <w:pPr>
              <w:keepNext w:val="0"/>
              <w:keepLines w:val="0"/>
              <w:pageBreakBefore w:val="0"/>
              <w:widowControl/>
              <w:numPr>
                <w:ilvl w:val="0"/>
                <w:numId w:val="20"/>
              </w:numPr>
              <w:tabs>
                <w:tab w:val="clear" w:pos="420"/>
              </w:tabs>
              <w:kinsoku/>
              <w:wordWrap/>
              <w:overflowPunct/>
              <w:topLinePunct w:val="0"/>
              <w:autoSpaceDE/>
              <w:autoSpaceDN/>
              <w:bidi w:val="0"/>
              <w:adjustRightInd/>
              <w:snapToGrid/>
              <w:spacing w:before="0" w:beforeLines="0" w:after="181" w:afterLines="50" w:line="240" w:lineRule="auto"/>
              <w:ind w:left="1320" w:leftChars="0" w:right="0" w:rightChars="0" w:hanging="400" w:firstLineChars="0"/>
              <w:jc w:val="both"/>
              <w:textAlignment w:val="auto"/>
              <w:rPr>
                <w:rFonts w:hint="default"/>
                <w:color w:val="auto"/>
                <w:lang w:val="pt-BR"/>
              </w:rPr>
            </w:pPr>
            <w:r>
              <w:rPr>
                <w:rFonts w:hint="default"/>
                <w:color w:val="auto"/>
                <w:lang w:val="pt-BR"/>
              </w:rPr>
              <w:t>A comprovação de pertencer ao quadro técnico da licitante também será considerada se o profissional constar no Certificado/certidão de registro ou inscrição da empresa junto ao Conselho Regional de Engenharia e Agronomia – CREA ou Conselho de Arquitetura e Urbanismo - CAU.</w:t>
            </w:r>
          </w:p>
          <w:p w14:paraId="7738C01D">
            <w:pPr>
              <w:keepNext w:val="0"/>
              <w:keepLines w:val="0"/>
              <w:pageBreakBefore w:val="0"/>
              <w:widowControl/>
              <w:numPr>
                <w:ilvl w:val="0"/>
                <w:numId w:val="19"/>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lang w:val="pt-BR"/>
              </w:rPr>
            </w:pPr>
            <w:r>
              <w:rPr>
                <w:rFonts w:hint="default"/>
                <w:color w:val="auto"/>
                <w:lang w:val="pt-BR"/>
              </w:rPr>
              <w:t>Também será admitido, para comprovação do vínculo entre o profissional indicado e a licitante, declaração de compromisso de vinculação contratual futura com a anuência do profissional indicado, caso a proponente seja efetivamente contratada.</w:t>
            </w:r>
          </w:p>
          <w:p w14:paraId="0691368B">
            <w:pPr>
              <w:keepNext w:val="0"/>
              <w:keepLines w:val="0"/>
              <w:pageBreakBefore w:val="0"/>
              <w:widowControl/>
              <w:numPr>
                <w:ilvl w:val="0"/>
                <w:numId w:val="18"/>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color w:val="auto"/>
                <w:lang w:val="pt-BR"/>
              </w:rPr>
            </w:pPr>
            <w:r>
              <w:rPr>
                <w:rFonts w:hint="default"/>
                <w:color w:val="auto"/>
                <w:lang w:val="pt-BR"/>
              </w:rPr>
              <w:t>No caso de apresentação de declaração de compromisso de vinculação contratual futura, deverão ser apresentados, juntamente com a declaração, os seguintes documentos:</w:t>
            </w:r>
          </w:p>
          <w:p w14:paraId="4F9015C4">
            <w:pPr>
              <w:keepNext w:val="0"/>
              <w:keepLines w:val="0"/>
              <w:pageBreakBefore w:val="0"/>
              <w:widowControl/>
              <w:numPr>
                <w:ilvl w:val="0"/>
                <w:numId w:val="21"/>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lang w:val="pt-BR"/>
              </w:rPr>
            </w:pPr>
            <w:r>
              <w:rPr>
                <w:rFonts w:hint="default"/>
                <w:color w:val="auto"/>
                <w:lang w:val="pt-BR"/>
              </w:rPr>
              <w:t>Certificado/certidão de registro ou inscrição do profissional junto ao Conselho Regional de Engenharia e Agronomia – CREA ou Conselho de Arquitetura e Urbanismo - CAU, com validade na data limite de entrega da documentação e das propostas.</w:t>
            </w:r>
          </w:p>
          <w:p w14:paraId="7F0308B5">
            <w:pPr>
              <w:keepNext w:val="0"/>
              <w:keepLines w:val="0"/>
              <w:pageBreakBefore w:val="0"/>
              <w:widowControl/>
              <w:numPr>
                <w:ilvl w:val="0"/>
                <w:numId w:val="22"/>
              </w:numPr>
              <w:tabs>
                <w:tab w:val="clear" w:pos="420"/>
              </w:tabs>
              <w:kinsoku/>
              <w:wordWrap/>
              <w:overflowPunct/>
              <w:topLinePunct w:val="0"/>
              <w:autoSpaceDE/>
              <w:autoSpaceDN/>
              <w:bidi w:val="0"/>
              <w:adjustRightInd/>
              <w:snapToGrid/>
              <w:spacing w:before="0" w:beforeLines="0" w:after="181" w:afterLines="50" w:line="240" w:lineRule="auto"/>
              <w:ind w:left="1320" w:leftChars="0" w:right="0" w:rightChars="0" w:hanging="400" w:firstLineChars="0"/>
              <w:jc w:val="both"/>
              <w:textAlignment w:val="auto"/>
              <w:rPr>
                <w:rFonts w:hint="default"/>
                <w:color w:val="auto"/>
                <w:lang w:val="pt-BR"/>
              </w:rPr>
            </w:pPr>
            <w:r>
              <w:rPr>
                <w:rFonts w:hint="default"/>
                <w:color w:val="auto"/>
                <w:lang w:val="pt-BR"/>
              </w:rPr>
              <w:t>Em se tratando de profissional não registrado no Conselho Regional do Estado de Mato Grosso do Sul, deverá apresentar o registro do Conselho Regional da Categoria Profissional correspondente, do Estado de origem, ficando obrigado a apresentar o visto do Conselho Regional do Estado de Mato Grosso do Sul para execução das obras e/ou serviços.</w:t>
            </w:r>
          </w:p>
          <w:p w14:paraId="3675BF7C">
            <w:pPr>
              <w:keepNext w:val="0"/>
              <w:keepLines w:val="0"/>
              <w:pageBreakBefore w:val="0"/>
              <w:widowControl/>
              <w:numPr>
                <w:ilvl w:val="0"/>
                <w:numId w:val="22"/>
              </w:numPr>
              <w:tabs>
                <w:tab w:val="clear" w:pos="420"/>
              </w:tabs>
              <w:kinsoku/>
              <w:wordWrap/>
              <w:overflowPunct/>
              <w:topLinePunct w:val="0"/>
              <w:autoSpaceDE/>
              <w:autoSpaceDN/>
              <w:bidi w:val="0"/>
              <w:adjustRightInd/>
              <w:snapToGrid/>
              <w:spacing w:before="0" w:beforeLines="0" w:after="181" w:afterLines="50" w:line="240" w:lineRule="auto"/>
              <w:ind w:left="1320" w:leftChars="0" w:right="0" w:rightChars="0" w:hanging="400" w:firstLineChars="0"/>
              <w:jc w:val="both"/>
              <w:textAlignment w:val="auto"/>
              <w:rPr>
                <w:rFonts w:hint="default"/>
                <w:color w:val="auto"/>
                <w:lang w:val="pt-BR"/>
              </w:rPr>
            </w:pPr>
            <w:r>
              <w:rPr>
                <w:rFonts w:hint="default"/>
                <w:color w:val="auto"/>
                <w:lang w:val="pt-BR"/>
              </w:rPr>
              <w:t>Será concedido o prazo de 20 (vinte) dias, prorrogável por até 10 (dez) dias, a pedido do interessado, para apresentação do Visto. Esse prazo será contado da data da homologação da licitação até a data assinatura do contrato.</w:t>
            </w:r>
          </w:p>
          <w:p w14:paraId="72BF1003">
            <w:pPr>
              <w:keepNext w:val="0"/>
              <w:keepLines w:val="0"/>
              <w:pageBreakBefore w:val="0"/>
              <w:widowControl/>
              <w:numPr>
                <w:ilvl w:val="0"/>
                <w:numId w:val="18"/>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color w:val="auto"/>
                <w:lang w:val="pt-BR"/>
              </w:rPr>
            </w:pPr>
            <w:r>
              <w:rPr>
                <w:rFonts w:hint="default"/>
                <w:color w:val="auto"/>
                <w:lang w:val="pt-BR"/>
              </w:rPr>
              <w:t>Declaração de Anuência do Profissional indicado conforme “Declaração de Compromisso de Vinculação Contratual Futura”.</w:t>
            </w:r>
          </w:p>
          <w:p w14:paraId="30EAD085">
            <w:pPr>
              <w:keepNext w:val="0"/>
              <w:keepLines w:val="0"/>
              <w:pageBreakBefore w:val="0"/>
              <w:widowControl/>
              <w:numPr>
                <w:ilvl w:val="0"/>
                <w:numId w:val="18"/>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color w:val="auto"/>
                <w:lang w:val="pt-BR"/>
              </w:rPr>
            </w:pPr>
            <w:r>
              <w:rPr>
                <w:rFonts w:hint="default"/>
                <w:color w:val="auto"/>
                <w:lang w:val="pt-BR"/>
              </w:rPr>
              <w:t>Comprovação de capacidade técnica do profissional de nível superior, através de atestado(s) de responsabilidade técnica emitido(s) por pessoa jurídica de direito público ou privado devidamente registrado(s) e/ou certificado(s) junto ao Conselho Regional de Engenharia e Agronomia (CREA) ou Conselho de Arquitetura e Urbanismo (CAU), acompanhado(s) da(s) respectiva(s) Certidão(ões) de Acervo Técnico – CAT’s, em nome do profissional responsável técnico apresentado pela licitante, comprovando que o mesmo tenha executado obras e/ou serviços de características semelhantes ao objeto do certame licitatório, com pelo menos 1(um) atestado, sendo:</w:t>
            </w:r>
          </w:p>
          <w:tbl>
            <w:tblPr>
              <w:tblStyle w:val="12"/>
              <w:tblW w:w="5487" w:type="dxa"/>
              <w:tblInd w:w="494" w:type="dxa"/>
              <w:tblLayout w:type="fixed"/>
              <w:tblCellMar>
                <w:top w:w="0" w:type="dxa"/>
                <w:left w:w="0" w:type="dxa"/>
                <w:bottom w:w="0" w:type="dxa"/>
                <w:right w:w="0" w:type="dxa"/>
              </w:tblCellMar>
            </w:tblPr>
            <w:tblGrid>
              <w:gridCol w:w="837"/>
              <w:gridCol w:w="3620"/>
              <w:gridCol w:w="1030"/>
            </w:tblGrid>
            <w:tr w14:paraId="189A6F81">
              <w:tblPrEx>
                <w:tblCellMar>
                  <w:top w:w="0" w:type="dxa"/>
                  <w:left w:w="0" w:type="dxa"/>
                  <w:bottom w:w="0" w:type="dxa"/>
                  <w:right w:w="0" w:type="dxa"/>
                </w:tblCellMar>
              </w:tblPrEx>
              <w:trPr>
                <w:trHeight w:val="284" w:hRule="atLeast"/>
              </w:trPr>
              <w:tc>
                <w:tcPr>
                  <w:tcW w:w="83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23D5042">
                  <w:pPr>
                    <w:jc w:val="center"/>
                    <w:rPr>
                      <w:rFonts w:hint="default"/>
                      <w:b/>
                      <w:color w:val="auto"/>
                      <w:lang w:val="pt-BR"/>
                    </w:rPr>
                  </w:pPr>
                  <w:r>
                    <w:rPr>
                      <w:rFonts w:hint="default"/>
                      <w:b/>
                      <w:color w:val="auto"/>
                      <w:lang w:val="pt-BR"/>
                    </w:rPr>
                    <w:t>Item</w:t>
                  </w:r>
                </w:p>
              </w:tc>
              <w:tc>
                <w:tcPr>
                  <w:tcW w:w="362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291C52D6">
                  <w:pPr>
                    <w:jc w:val="center"/>
                    <w:rPr>
                      <w:b/>
                      <w:color w:val="auto"/>
                    </w:rPr>
                  </w:pPr>
                  <w:r>
                    <w:rPr>
                      <w:rFonts w:hint="default"/>
                      <w:b/>
                      <w:color w:val="auto"/>
                      <w:lang w:val="pt-BR"/>
                    </w:rPr>
                    <w:t>Especificação</w:t>
                  </w:r>
                  <w:r>
                    <w:rPr>
                      <w:rFonts w:hint="default"/>
                      <w:b/>
                      <w:color w:val="auto"/>
                    </w:rPr>
                    <w:t xml:space="preserve"> </w:t>
                  </w:r>
                </w:p>
              </w:tc>
              <w:tc>
                <w:tcPr>
                  <w:tcW w:w="10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2B140DE">
                  <w:pPr>
                    <w:tabs>
                      <w:tab w:val="left" w:pos="660"/>
                    </w:tabs>
                    <w:ind w:left="220" w:leftChars="100" w:firstLine="0" w:firstLineChars="0"/>
                    <w:jc w:val="center"/>
                    <w:rPr>
                      <w:rFonts w:hint="default"/>
                      <w:b/>
                      <w:color w:val="auto"/>
                      <w:lang w:val="pt-BR"/>
                    </w:rPr>
                  </w:pPr>
                  <w:r>
                    <w:rPr>
                      <w:rFonts w:hint="default"/>
                      <w:b/>
                      <w:color w:val="auto"/>
                    </w:rPr>
                    <w:t>U</w:t>
                  </w:r>
                  <w:r>
                    <w:rPr>
                      <w:rFonts w:hint="default"/>
                      <w:b/>
                      <w:color w:val="auto"/>
                      <w:lang w:val="pt-BR"/>
                    </w:rPr>
                    <w:t>nd.</w:t>
                  </w:r>
                </w:p>
              </w:tc>
            </w:tr>
            <w:tr w14:paraId="5028C610">
              <w:tblPrEx>
                <w:tblCellMar>
                  <w:top w:w="0" w:type="dxa"/>
                  <w:left w:w="0" w:type="dxa"/>
                  <w:bottom w:w="0" w:type="dxa"/>
                  <w:right w:w="0" w:type="dxa"/>
                </w:tblCellMar>
              </w:tblPrEx>
              <w:trPr>
                <w:trHeight w:val="431" w:hRule="atLeast"/>
              </w:trPr>
              <w:tc>
                <w:tcPr>
                  <w:tcW w:w="83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C577E31">
                  <w:pPr>
                    <w:tabs>
                      <w:tab w:val="left" w:pos="660"/>
                    </w:tabs>
                    <w:jc w:val="center"/>
                    <w:rPr>
                      <w:rFonts w:hint="default"/>
                      <w:color w:val="auto"/>
                      <w:lang w:val="pt-BR"/>
                    </w:rPr>
                  </w:pPr>
                  <w:r>
                    <w:rPr>
                      <w:rFonts w:hint="default"/>
                      <w:color w:val="auto"/>
                      <w:lang w:val="pt-BR"/>
                    </w:rPr>
                    <w:t>01</w:t>
                  </w:r>
                </w:p>
              </w:tc>
              <w:tc>
                <w:tcPr>
                  <w:tcW w:w="362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77C04B90">
                  <w:pPr>
                    <w:jc w:val="both"/>
                    <w:rPr>
                      <w:color w:val="auto"/>
                    </w:rPr>
                  </w:pPr>
                  <w:r>
                    <w:rPr>
                      <w:rFonts w:hint="default"/>
                      <w:color w:val="auto"/>
                    </w:rPr>
                    <w:t>Fornecimento, montagem e instalação de estrutura metálica com ligações/soldas, incluso perfis metálicos, chapas metalicas, mão de obra e transporte</w:t>
                  </w:r>
                </w:p>
              </w:tc>
              <w:tc>
                <w:tcPr>
                  <w:tcW w:w="103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5252BD81">
                  <w:pPr>
                    <w:tabs>
                      <w:tab w:val="left" w:pos="660"/>
                    </w:tabs>
                    <w:ind w:left="220" w:leftChars="100" w:firstLine="0" w:firstLineChars="0"/>
                    <w:rPr>
                      <w:color w:val="auto"/>
                    </w:rPr>
                  </w:pPr>
                  <w:r>
                    <w:rPr>
                      <w:rFonts w:hint="default"/>
                      <w:color w:val="auto"/>
                    </w:rPr>
                    <w:t>kg</w:t>
                  </w:r>
                </w:p>
              </w:tc>
            </w:tr>
            <w:tr w14:paraId="4DE185DF">
              <w:tblPrEx>
                <w:tblCellMar>
                  <w:top w:w="0" w:type="dxa"/>
                  <w:left w:w="0" w:type="dxa"/>
                  <w:bottom w:w="0" w:type="dxa"/>
                  <w:right w:w="0" w:type="dxa"/>
                </w:tblCellMar>
              </w:tblPrEx>
              <w:trPr>
                <w:trHeight w:val="498" w:hRule="atLeast"/>
              </w:trPr>
              <w:tc>
                <w:tcPr>
                  <w:tcW w:w="83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6F0A015">
                  <w:pPr>
                    <w:jc w:val="center"/>
                    <w:rPr>
                      <w:rFonts w:hint="default"/>
                      <w:color w:val="auto"/>
                      <w:lang w:val="pt-BR"/>
                    </w:rPr>
                  </w:pPr>
                  <w:r>
                    <w:rPr>
                      <w:rFonts w:hint="default"/>
                      <w:color w:val="auto"/>
                      <w:lang w:val="pt-BR"/>
                    </w:rPr>
                    <w:t>02</w:t>
                  </w:r>
                </w:p>
              </w:tc>
              <w:tc>
                <w:tcPr>
                  <w:tcW w:w="362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0883E8FA">
                  <w:pPr>
                    <w:jc w:val="both"/>
                    <w:rPr>
                      <w:color w:val="auto"/>
                    </w:rPr>
                  </w:pPr>
                  <w:r>
                    <w:rPr>
                      <w:rFonts w:hint="default"/>
                      <w:color w:val="auto"/>
                    </w:rPr>
                    <w:t xml:space="preserve">Telhamento com telha metálica trapezoidal sem e/ou com preenchimento </w:t>
                  </w:r>
                </w:p>
              </w:tc>
              <w:tc>
                <w:tcPr>
                  <w:tcW w:w="103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29E97BE8">
                  <w:pPr>
                    <w:tabs>
                      <w:tab w:val="left" w:pos="660"/>
                    </w:tabs>
                    <w:ind w:left="220" w:leftChars="100" w:firstLine="0" w:firstLineChars="0"/>
                    <w:rPr>
                      <w:color w:val="auto"/>
                    </w:rPr>
                  </w:pPr>
                  <w:r>
                    <w:rPr>
                      <w:rFonts w:hint="default"/>
                      <w:color w:val="auto"/>
                    </w:rPr>
                    <w:t>m²</w:t>
                  </w:r>
                </w:p>
              </w:tc>
            </w:tr>
            <w:tr w14:paraId="500F71C1">
              <w:tblPrEx>
                <w:tblCellMar>
                  <w:top w:w="0" w:type="dxa"/>
                  <w:left w:w="0" w:type="dxa"/>
                  <w:bottom w:w="0" w:type="dxa"/>
                  <w:right w:w="0" w:type="dxa"/>
                </w:tblCellMar>
              </w:tblPrEx>
              <w:trPr>
                <w:trHeight w:val="55" w:hRule="atLeast"/>
              </w:trPr>
              <w:tc>
                <w:tcPr>
                  <w:tcW w:w="83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CEB6BCD">
                  <w:pPr>
                    <w:jc w:val="center"/>
                    <w:rPr>
                      <w:rFonts w:hint="default"/>
                      <w:color w:val="auto"/>
                      <w:lang w:val="pt-BR"/>
                    </w:rPr>
                  </w:pPr>
                  <w:r>
                    <w:rPr>
                      <w:rFonts w:hint="default"/>
                      <w:color w:val="auto"/>
                      <w:lang w:val="pt-BR"/>
                    </w:rPr>
                    <w:t>03</w:t>
                  </w:r>
                </w:p>
              </w:tc>
              <w:tc>
                <w:tcPr>
                  <w:tcW w:w="362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3416E8AB">
                  <w:pPr>
                    <w:jc w:val="both"/>
                    <w:rPr>
                      <w:color w:val="auto"/>
                    </w:rPr>
                  </w:pPr>
                  <w:r>
                    <w:rPr>
                      <w:rFonts w:hint="default"/>
                      <w:color w:val="auto"/>
                    </w:rPr>
                    <w:t>Revestimento cerâmico para paredes internas/externas, assentamento com argamassa colante, inclusive rejuntamento</w:t>
                  </w:r>
                </w:p>
              </w:tc>
              <w:tc>
                <w:tcPr>
                  <w:tcW w:w="103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59CD9B47">
                  <w:pPr>
                    <w:tabs>
                      <w:tab w:val="left" w:pos="660"/>
                    </w:tabs>
                    <w:ind w:left="220" w:leftChars="100" w:firstLine="0" w:firstLineChars="0"/>
                    <w:rPr>
                      <w:color w:val="auto"/>
                    </w:rPr>
                  </w:pPr>
                  <w:r>
                    <w:rPr>
                      <w:rFonts w:hint="default"/>
                      <w:color w:val="auto"/>
                    </w:rPr>
                    <w:t>m²</w:t>
                  </w:r>
                </w:p>
              </w:tc>
            </w:tr>
            <w:tr w14:paraId="4E70FAC4">
              <w:tblPrEx>
                <w:tblCellMar>
                  <w:top w:w="0" w:type="dxa"/>
                  <w:left w:w="0" w:type="dxa"/>
                  <w:bottom w:w="0" w:type="dxa"/>
                  <w:right w:w="0" w:type="dxa"/>
                </w:tblCellMar>
              </w:tblPrEx>
              <w:trPr>
                <w:trHeight w:val="144" w:hRule="atLeast"/>
              </w:trPr>
              <w:tc>
                <w:tcPr>
                  <w:tcW w:w="83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C26EF6C">
                  <w:pPr>
                    <w:jc w:val="center"/>
                    <w:rPr>
                      <w:rFonts w:hint="default"/>
                      <w:color w:val="auto"/>
                      <w:lang w:val="pt-BR"/>
                    </w:rPr>
                  </w:pPr>
                  <w:r>
                    <w:rPr>
                      <w:rFonts w:hint="default"/>
                      <w:color w:val="auto"/>
                      <w:lang w:val="pt-BR"/>
                    </w:rPr>
                    <w:t>04</w:t>
                  </w:r>
                </w:p>
              </w:tc>
              <w:tc>
                <w:tcPr>
                  <w:tcW w:w="362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354B35F0">
                  <w:pPr>
                    <w:jc w:val="both"/>
                    <w:rPr>
                      <w:color w:val="auto"/>
                    </w:rPr>
                  </w:pPr>
                  <w:r>
                    <w:rPr>
                      <w:rFonts w:hint="default"/>
                      <w:color w:val="auto"/>
                    </w:rPr>
                    <w:t xml:space="preserve">Piso em granilite, espessura 8 a 10mm </w:t>
                  </w:r>
                </w:p>
              </w:tc>
              <w:tc>
                <w:tcPr>
                  <w:tcW w:w="103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6D2E6578">
                  <w:pPr>
                    <w:tabs>
                      <w:tab w:val="left" w:pos="660"/>
                    </w:tabs>
                    <w:ind w:left="220" w:leftChars="100" w:firstLine="0" w:firstLineChars="0"/>
                    <w:rPr>
                      <w:color w:val="auto"/>
                    </w:rPr>
                  </w:pPr>
                  <w:r>
                    <w:rPr>
                      <w:rFonts w:hint="default"/>
                      <w:color w:val="auto"/>
                    </w:rPr>
                    <w:t>m²</w:t>
                  </w:r>
                </w:p>
              </w:tc>
            </w:tr>
          </w:tbl>
          <w:p w14:paraId="66276F9B">
            <w:pPr>
              <w:keepNext w:val="0"/>
              <w:keepLines w:val="0"/>
              <w:pageBreakBefore w:val="0"/>
              <w:widowControl/>
              <w:numPr>
                <w:ilvl w:val="0"/>
                <w:numId w:val="2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rPr>
            </w:pPr>
            <w:r>
              <w:rPr>
                <w:rFonts w:hint="default"/>
                <w:color w:val="auto"/>
              </w:rPr>
              <w:t>Será aceito, também, como responsável técnico, o profissional que tenha participado em obras e/ou serviços semelhantes ao que trata o objeto deste instrumento como corresponsável, desde que comprovada sua experiência;</w:t>
            </w:r>
          </w:p>
          <w:p w14:paraId="1107D66A">
            <w:pPr>
              <w:keepNext w:val="0"/>
              <w:keepLines w:val="0"/>
              <w:pageBreakBefore w:val="0"/>
              <w:widowControl/>
              <w:numPr>
                <w:ilvl w:val="0"/>
                <w:numId w:val="2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rPr>
            </w:pPr>
            <w:r>
              <w:rPr>
                <w:rFonts w:hint="default"/>
                <w:color w:val="auto"/>
              </w:rPr>
              <w:t>Atestado e/ou Certidão que tenha responsável ou corresponsável técnico por coordenação, fiscalização, supervisão ou preposto não serão considerados para fins de comprovação de qualificação técnica profissional;</w:t>
            </w:r>
          </w:p>
          <w:p w14:paraId="4F117D9A">
            <w:pPr>
              <w:keepNext w:val="0"/>
              <w:keepLines w:val="0"/>
              <w:pageBreakBefore w:val="0"/>
              <w:widowControl/>
              <w:numPr>
                <w:ilvl w:val="0"/>
                <w:numId w:val="2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rPr>
            </w:pPr>
            <w:r>
              <w:rPr>
                <w:rFonts w:hint="default"/>
                <w:color w:val="auto"/>
              </w:rPr>
              <w:t>Fica proibida a indicação, por duas ou mais licitantes, do mesmo responsável técnico, hipótese na qual todas serão inabilitadas;</w:t>
            </w:r>
          </w:p>
          <w:p w14:paraId="68D7B464">
            <w:pPr>
              <w:keepNext w:val="0"/>
              <w:keepLines w:val="0"/>
              <w:pageBreakBefore w:val="0"/>
              <w:widowControl/>
              <w:numPr>
                <w:ilvl w:val="0"/>
                <w:numId w:val="2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rPr>
            </w:pPr>
            <w:r>
              <w:rPr>
                <w:rFonts w:hint="default"/>
                <w:color w:val="auto"/>
              </w:rPr>
              <w:t>O Profissional apresentado será, obrigatoriamente, o responsável técnico que acompanhará a execução das obras/serviços;</w:t>
            </w:r>
          </w:p>
          <w:p w14:paraId="487C4F45">
            <w:pPr>
              <w:keepNext w:val="0"/>
              <w:keepLines w:val="0"/>
              <w:pageBreakBefore w:val="0"/>
              <w:widowControl/>
              <w:numPr>
                <w:ilvl w:val="0"/>
                <w:numId w:val="2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color w:val="auto"/>
              </w:rPr>
            </w:pPr>
            <w:r>
              <w:rPr>
                <w:rFonts w:hint="default"/>
                <w:color w:val="auto"/>
              </w:rPr>
              <w:t>Caso a Contratada venha substituir o responsável técnico posteriormente, no decorrer da execução da obra/serviços, deverá comprovar que o novo profissional possui a experiência e acervo equivalente ou superior ao exigido na presente licitação e desde que a substituição seja aprovada pela Secretaria Municipal de Obras Públicas, sob pena de inabilitação ou rescisão contratual.</w:t>
            </w:r>
          </w:p>
          <w:p w14:paraId="558BDED5">
            <w:pPr>
              <w:keepNext w:val="0"/>
              <w:keepLines w:val="0"/>
              <w:pageBreakBefore w:val="0"/>
              <w:widowControl/>
              <w:numPr>
                <w:ilvl w:val="0"/>
                <w:numId w:val="2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color w:val="auto"/>
              </w:rPr>
            </w:pPr>
            <w:r>
              <w:rPr>
                <w:rFonts w:hint="default"/>
                <w:color w:val="auto"/>
              </w:rPr>
              <w:t>Serão levadas em consideração as disposições contidas nas letras “a”  a  “e”  acima (do inciso V do subitem 5.</w:t>
            </w:r>
            <w:r>
              <w:rPr>
                <w:rFonts w:hint="default"/>
                <w:color w:val="auto"/>
                <w:lang w:val="pt-BR"/>
              </w:rPr>
              <w:t>1.1</w:t>
            </w:r>
            <w:r>
              <w:rPr>
                <w:rFonts w:hint="default"/>
                <w:color w:val="auto"/>
              </w:rPr>
              <w:t>)</w:t>
            </w:r>
            <w:r>
              <w:rPr>
                <w:rFonts w:hint="default"/>
                <w:color w:val="auto"/>
                <w:lang w:val="pt-BR"/>
              </w:rPr>
              <w:t>.</w:t>
            </w:r>
          </w:p>
        </w:tc>
        <w:tc>
          <w:tcPr>
            <w:tcW w:w="812" w:type="pct"/>
          </w:tcPr>
          <w:p w14:paraId="6E4759FF">
            <w:pPr>
              <w:rPr>
                <w:bCs/>
                <w:iCs/>
              </w:rPr>
            </w:pPr>
            <w:r>
              <w:rPr>
                <w:bCs/>
                <w:iCs/>
              </w:rPr>
              <w:t>Deve atender ao requisito</w:t>
            </w:r>
          </w:p>
        </w:tc>
        <w:tc>
          <w:tcPr>
            <w:tcW w:w="360" w:type="pct"/>
          </w:tcPr>
          <w:p w14:paraId="2373DBF7">
            <w:pPr>
              <w:rPr>
                <w:bCs/>
                <w:iCs/>
              </w:rPr>
            </w:pPr>
            <w:r>
              <w:rPr>
                <w:bCs/>
                <w:iCs/>
              </w:rPr>
              <w:t>N.A</w:t>
            </w:r>
          </w:p>
        </w:tc>
        <w:tc>
          <w:tcPr>
            <w:tcW w:w="314" w:type="pct"/>
          </w:tcPr>
          <w:p w14:paraId="706D6322">
            <w:pPr>
              <w:rPr>
                <w:bCs/>
                <w:iCs/>
              </w:rPr>
            </w:pPr>
            <w:r>
              <w:rPr>
                <w:bCs/>
                <w:iCs/>
              </w:rPr>
              <w:t>N.A</w:t>
            </w:r>
          </w:p>
        </w:tc>
        <w:tc>
          <w:tcPr>
            <w:tcW w:w="717" w:type="pct"/>
            <w:gridSpan w:val="2"/>
          </w:tcPr>
          <w:p w14:paraId="7A4DAA16">
            <w:pPr>
              <w:rPr>
                <w:bCs/>
                <w:iCs/>
              </w:rPr>
            </w:pPr>
            <w:r>
              <w:rPr>
                <w:bCs/>
                <w:iCs/>
              </w:rPr>
              <w:t xml:space="preserve">Modelos 6 e 7 da Seção 4 </w:t>
            </w:r>
          </w:p>
        </w:tc>
      </w:tr>
      <w:tr w14:paraId="0178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01DB4645">
            <w:pPr>
              <w:rPr>
                <w:iCs/>
              </w:rPr>
            </w:pPr>
            <w:r>
              <w:rPr>
                <w:iCs/>
              </w:rPr>
              <w:t>5.1.2</w:t>
            </w:r>
          </w:p>
        </w:tc>
        <w:tc>
          <w:tcPr>
            <w:tcW w:w="585" w:type="pct"/>
          </w:tcPr>
          <w:p w14:paraId="68761F14">
            <w:pPr>
              <w:rPr>
                <w:bCs/>
                <w:iCs/>
              </w:rPr>
            </w:pPr>
            <w:r>
              <w:rPr>
                <w:rFonts w:hint="default"/>
                <w:bCs/>
                <w:iCs/>
              </w:rPr>
              <w:t>Especialista em Atividades Ambientais e Sociais (AAS)</w:t>
            </w:r>
          </w:p>
        </w:tc>
        <w:tc>
          <w:tcPr>
            <w:tcW w:w="1982" w:type="pct"/>
            <w:gridSpan w:val="2"/>
          </w:tcPr>
          <w:p w14:paraId="6ED6151B">
            <w:pPr>
              <w:jc w:val="both"/>
              <w:rPr>
                <w:rFonts w:hint="default"/>
                <w:bCs/>
                <w:iCs/>
              </w:rPr>
            </w:pPr>
            <w:r>
              <w:rPr>
                <w:rFonts w:hint="default"/>
                <w:bCs/>
                <w:iCs/>
              </w:rPr>
              <w:t>A experiência e qualificação do Especialista em atividades Ambientais e Sociais (AAS) devem ser compatíveis com as características das Obras. O Especialista em atividades Ambientais e Sociais (AAS) deve comprovar, por intermédio de documento (certidão, declaração ou atestado) fornecido por pessoa(s) jurídica(s) de direito público ou privado, e acompanhado pela respectiva Certidão de Acervo Técnico (CAT) do CAU/CREA, experiência na execução de obra compatível em características com objeto licitado.</w:t>
            </w:r>
          </w:p>
          <w:p w14:paraId="5ADDD7F1">
            <w:pPr>
              <w:jc w:val="both"/>
              <w:rPr>
                <w:rFonts w:hint="default"/>
                <w:bCs/>
                <w:iCs/>
              </w:rPr>
            </w:pPr>
            <w:r>
              <w:rPr>
                <w:rFonts w:hint="default"/>
                <w:bCs/>
                <w:iCs/>
              </w:rPr>
              <w:t>experiência na execução de obra compatível em características com objeto licitado.</w:t>
            </w:r>
          </w:p>
          <w:p w14:paraId="4E671DF5">
            <w:pPr>
              <w:jc w:val="both"/>
              <w:rPr>
                <w:rFonts w:hint="default"/>
                <w:bCs/>
                <w:iCs/>
              </w:rPr>
            </w:pPr>
            <w:r>
              <w:rPr>
                <w:rFonts w:hint="default"/>
                <w:bCs/>
                <w:iCs/>
              </w:rPr>
              <w:t>A comprovação de vínculo profissional do Especialista em atividades Ambientais e Sociais (AAS) será feita mediante a apresentação de:</w:t>
            </w:r>
          </w:p>
          <w:p w14:paraId="453282ED">
            <w:pPr>
              <w:jc w:val="both"/>
              <w:rPr>
                <w:rFonts w:hint="default"/>
                <w:bCs/>
                <w:iCs/>
              </w:rPr>
            </w:pPr>
            <w:r>
              <w:rPr>
                <w:rFonts w:hint="default"/>
                <w:bCs/>
                <w:iCs/>
              </w:rPr>
              <w:t>(a) cópia da Carteira de Trabalho (CTPS) em que conste o concorrente como empregador; ou</w:t>
            </w:r>
          </w:p>
          <w:p w14:paraId="346ACD61">
            <w:pPr>
              <w:jc w:val="both"/>
              <w:rPr>
                <w:rFonts w:hint="default"/>
                <w:bCs/>
                <w:iCs/>
              </w:rPr>
            </w:pPr>
            <w:r>
              <w:rPr>
                <w:rFonts w:hint="default"/>
                <w:bCs/>
                <w:iCs/>
              </w:rPr>
              <w:t>(b) certidão do CREA, CAU ou órgão similar, constando o vínculo profissional; ou</w:t>
            </w:r>
          </w:p>
          <w:p w14:paraId="702C4F3D">
            <w:pPr>
              <w:jc w:val="both"/>
              <w:rPr>
                <w:rFonts w:hint="default"/>
                <w:bCs/>
                <w:iCs/>
              </w:rPr>
            </w:pPr>
            <w:r>
              <w:rPr>
                <w:rFonts w:hint="default"/>
                <w:bCs/>
                <w:iCs/>
              </w:rPr>
              <w:t>(c) cópia do contrato social do concorrente em que conste o profissional como sócio; ou</w:t>
            </w:r>
          </w:p>
          <w:p w14:paraId="78DA2277">
            <w:pPr>
              <w:jc w:val="both"/>
              <w:rPr>
                <w:rFonts w:hint="default"/>
                <w:bCs/>
                <w:iCs/>
              </w:rPr>
            </w:pPr>
            <w:r>
              <w:rPr>
                <w:rFonts w:hint="default"/>
                <w:bCs/>
                <w:iCs/>
              </w:rPr>
              <w:t>(d) cópia do contrato de prestação de serviços.</w:t>
            </w:r>
          </w:p>
          <w:p w14:paraId="23F864C6">
            <w:pPr>
              <w:jc w:val="both"/>
              <w:rPr>
                <w:rFonts w:hint="default"/>
                <w:bCs/>
                <w:iCs/>
              </w:rPr>
            </w:pPr>
            <w:r>
              <w:rPr>
                <w:rFonts w:hint="default"/>
                <w:bCs/>
                <w:iCs/>
              </w:rPr>
              <w:t>A comprovação de vínculo profissional do Especialista em atividades Ambientais e Sociais (AAS) poderá ser suprida mediante assinatura destes por meio de declaração de contratação futura, desde que devidamente identificada a anuência do profissional.</w:t>
            </w:r>
          </w:p>
        </w:tc>
        <w:tc>
          <w:tcPr>
            <w:tcW w:w="812" w:type="pct"/>
          </w:tcPr>
          <w:p w14:paraId="7345CDA7">
            <w:pPr>
              <w:rPr>
                <w:bCs/>
                <w:iCs/>
              </w:rPr>
            </w:pPr>
            <w:r>
              <w:rPr>
                <w:rFonts w:hint="default"/>
                <w:bCs/>
                <w:iCs/>
              </w:rPr>
              <w:t>Deve atender ao requisito</w:t>
            </w:r>
          </w:p>
        </w:tc>
        <w:tc>
          <w:tcPr>
            <w:tcW w:w="360" w:type="pct"/>
          </w:tcPr>
          <w:p w14:paraId="7F4FD8FE">
            <w:pPr>
              <w:rPr>
                <w:bCs/>
                <w:iCs/>
              </w:rPr>
            </w:pPr>
            <w:r>
              <w:rPr>
                <w:rFonts w:hint="default"/>
                <w:bCs/>
                <w:iCs/>
              </w:rPr>
              <w:t>N.A</w:t>
            </w:r>
          </w:p>
        </w:tc>
        <w:tc>
          <w:tcPr>
            <w:tcW w:w="314" w:type="pct"/>
          </w:tcPr>
          <w:p w14:paraId="55782401">
            <w:pPr>
              <w:rPr>
                <w:bCs/>
                <w:iCs/>
              </w:rPr>
            </w:pPr>
            <w:r>
              <w:rPr>
                <w:rFonts w:hint="default"/>
                <w:bCs/>
                <w:iCs/>
              </w:rPr>
              <w:t>N.A</w:t>
            </w:r>
          </w:p>
        </w:tc>
        <w:tc>
          <w:tcPr>
            <w:tcW w:w="717" w:type="pct"/>
            <w:gridSpan w:val="2"/>
          </w:tcPr>
          <w:p w14:paraId="42A37BCA">
            <w:pPr>
              <w:rPr>
                <w:bCs/>
                <w:iCs/>
              </w:rPr>
            </w:pPr>
            <w:r>
              <w:rPr>
                <w:rFonts w:hint="default"/>
                <w:bCs/>
                <w:iCs/>
              </w:rPr>
              <w:t>Modelos 6 e 7 da Seção 4</w:t>
            </w:r>
          </w:p>
        </w:tc>
      </w:tr>
      <w:tr w14:paraId="50E4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5000" w:type="pct"/>
            <w:gridSpan w:val="9"/>
            <w:shd w:val="clear" w:color="auto" w:fill="auto"/>
          </w:tcPr>
          <w:p w14:paraId="203C61C4">
            <w:pPr>
              <w:rPr>
                <w:b/>
                <w:bCs/>
              </w:rPr>
            </w:pPr>
            <w:bookmarkStart w:id="143" w:name="_Toc157691593"/>
            <w:bookmarkStart w:id="144" w:name="_Toc168412204"/>
            <w:bookmarkStart w:id="145" w:name="_Toc151809250"/>
            <w:r>
              <w:rPr>
                <w:b/>
                <w:bCs/>
              </w:rPr>
              <w:t>5.2 Experiência Específica</w:t>
            </w:r>
            <w:bookmarkEnd w:id="143"/>
            <w:bookmarkEnd w:id="144"/>
            <w:bookmarkEnd w:id="145"/>
          </w:p>
        </w:tc>
      </w:tr>
      <w:tr w14:paraId="7A14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25" w:type="pct"/>
            <w:shd w:val="clear" w:color="auto" w:fill="auto"/>
          </w:tcPr>
          <w:p w14:paraId="1C1C0302">
            <w:pPr>
              <w:rPr>
                <w:rFonts w:hint="default"/>
                <w:bCs/>
                <w:iCs/>
                <w:lang w:val="pt-BR"/>
              </w:rPr>
            </w:pPr>
            <w:r>
              <w:rPr>
                <w:bCs/>
                <w:iCs/>
              </w:rPr>
              <w:t>5.2.</w:t>
            </w:r>
            <w:r>
              <w:rPr>
                <w:rFonts w:hint="default"/>
                <w:bCs/>
                <w:iCs/>
                <w:lang w:val="pt-BR"/>
              </w:rPr>
              <w:t>1</w:t>
            </w:r>
          </w:p>
          <w:p w14:paraId="4F5A2D49"/>
        </w:tc>
        <w:tc>
          <w:tcPr>
            <w:tcW w:w="585" w:type="pct"/>
            <w:shd w:val="clear" w:color="auto" w:fill="auto"/>
          </w:tcPr>
          <w:p w14:paraId="7CF91642">
            <w:pPr>
              <w:rPr>
                <w:rFonts w:hint="default"/>
                <w:bCs/>
                <w:iCs/>
                <w:color w:val="auto"/>
                <w:lang w:val="pt-BR"/>
              </w:rPr>
            </w:pPr>
            <w:r>
              <w:rPr>
                <w:rFonts w:hint="default"/>
                <w:bCs/>
                <w:iCs/>
                <w:color w:val="auto"/>
                <w:lang w:val="pt-BR"/>
              </w:rPr>
              <w:t>Habilidade capacidade Técnico-Operacional</w:t>
            </w:r>
          </w:p>
        </w:tc>
        <w:tc>
          <w:tcPr>
            <w:tcW w:w="1982" w:type="pct"/>
            <w:gridSpan w:val="2"/>
            <w:shd w:val="clear" w:color="auto" w:fill="auto"/>
          </w:tcPr>
          <w:p w14:paraId="3CCB91FC">
            <w:pPr>
              <w:keepNext w:val="0"/>
              <w:keepLines w:val="0"/>
              <w:pageBreakBefore w:val="0"/>
              <w:widowControl/>
              <w:numPr>
                <w:ilvl w:val="0"/>
                <w:numId w:val="24"/>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bCs/>
                <w:i/>
                <w:color w:val="auto"/>
              </w:rPr>
            </w:pPr>
            <w:r>
              <w:rPr>
                <w:rFonts w:hint="default" w:ascii="Times New Roman" w:hAnsi="Times New Roman"/>
                <w:color w:val="auto"/>
              </w:rPr>
              <w:t>I.Certificado/certidão de registro ou inscrição da empresa e dos seus responsáveis técnicos junto ao Conselho Regional de Engenharia e Agronomia – CREA ou Conselho de Arquitetura e Urbanismo (CAU), com jurisdição no Estado em que estão sediados a empresa e o responsável técnico, com validade na data limite de entrega da documentação e das propostas.</w:t>
            </w:r>
          </w:p>
          <w:p w14:paraId="64D1AC2B">
            <w:pPr>
              <w:keepNext w:val="0"/>
              <w:keepLines w:val="0"/>
              <w:pageBreakBefore w:val="0"/>
              <w:widowControl/>
              <w:numPr>
                <w:ilvl w:val="0"/>
                <w:numId w:val="25"/>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bCs/>
                <w:i/>
                <w:color w:val="auto"/>
              </w:rPr>
            </w:pPr>
            <w:r>
              <w:rPr>
                <w:rFonts w:hint="default"/>
                <w:bCs/>
                <w:i w:val="0"/>
                <w:iCs/>
                <w:color w:val="auto"/>
              </w:rPr>
              <w:t>Em se tratando de empresa não registrada no Conselho Regional do Estado de Mato Grosso do Sul, deverá apresentar o registro do Conselho Regional da Categoria Profissional correspondente, do Estado de origem, ficando a licitante vencedora obrigada a apresentar o visto do Conselho Regional do Estado de Mato Grosso do Sul para execução das obras e/ou serviços. A mesma regra se aplica ao profissional responsável técnico.</w:t>
            </w:r>
          </w:p>
          <w:p w14:paraId="2BEE63B4">
            <w:pPr>
              <w:keepNext w:val="0"/>
              <w:keepLines w:val="0"/>
              <w:pageBreakBefore w:val="0"/>
              <w:widowControl/>
              <w:numPr>
                <w:ilvl w:val="0"/>
                <w:numId w:val="26"/>
              </w:numPr>
              <w:tabs>
                <w:tab w:val="clear" w:pos="425"/>
              </w:tabs>
              <w:kinsoku/>
              <w:wordWrap/>
              <w:overflowPunct/>
              <w:topLinePunct w:val="0"/>
              <w:autoSpaceDE/>
              <w:autoSpaceDN/>
              <w:bidi w:val="0"/>
              <w:adjustRightInd/>
              <w:snapToGrid/>
              <w:spacing w:before="0" w:beforeLines="0" w:after="181" w:afterLines="50" w:line="240" w:lineRule="auto"/>
              <w:ind w:left="1320" w:leftChars="0" w:right="0" w:rightChars="0" w:hanging="454" w:firstLineChars="0"/>
              <w:jc w:val="both"/>
              <w:textAlignment w:val="auto"/>
              <w:outlineLvl w:val="9"/>
              <w:rPr>
                <w:bCs/>
                <w:i/>
                <w:color w:val="auto"/>
              </w:rPr>
            </w:pPr>
            <w:r>
              <w:rPr>
                <w:rFonts w:hint="default"/>
                <w:bCs/>
                <w:i w:val="0"/>
                <w:iCs/>
                <w:color w:val="auto"/>
              </w:rPr>
              <w:t>Caso a convocada para assinar o contrato não possua registro no CREA/MS ou CAU/MS, à mesma será concedido o prazo de 20 (vinte) dias, prorrogável por até 10 (dez) dias a pedido da convocada, para apresentação do Visto. Esse prazo será contado da data da homologação da licitação até a data assinatura do contrato. A mesma regra se aplica ao profissional responsável técnico.</w:t>
            </w:r>
          </w:p>
          <w:p w14:paraId="7951027B">
            <w:pPr>
              <w:keepNext w:val="0"/>
              <w:keepLines w:val="0"/>
              <w:pageBreakBefore w:val="0"/>
              <w:widowControl/>
              <w:numPr>
                <w:ilvl w:val="0"/>
                <w:numId w:val="24"/>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bCs/>
                <w:i w:val="0"/>
                <w:iCs/>
                <w:color w:val="auto"/>
              </w:rPr>
            </w:pPr>
            <w:r>
              <w:rPr>
                <w:rFonts w:hint="default"/>
                <w:bCs/>
                <w:i w:val="0"/>
                <w:iCs/>
                <w:color w:val="auto"/>
              </w:rPr>
              <w:t>Comprovação pela empresa licitante de ter executado obras e/ou serviços de características e complexidades semelhantes, pertinente e compatível ao objeto dessa licitação, através de atestados técnicos em nome da própria licitante, fornecido(s) por pessoa(s) jurídica(s) de direito público ou privado, nas quantidades mínimas relacionadas no quadro abaixo, tidos como de maior relevância, não ultrapassando os 50% do que se pretende contratar</w:t>
            </w:r>
            <w:r>
              <w:rPr>
                <w:rFonts w:hint="default"/>
                <w:bCs/>
                <w:i w:val="0"/>
                <w:iCs/>
                <w:color w:val="auto"/>
                <w:lang w:val="pt-BR"/>
              </w:rPr>
              <w:t>:</w:t>
            </w:r>
          </w:p>
          <w:tbl>
            <w:tblPr>
              <w:tblStyle w:val="12"/>
              <w:tblW w:w="6031" w:type="dxa"/>
              <w:tblInd w:w="0" w:type="dxa"/>
              <w:tblLayout w:type="fixed"/>
              <w:tblCellMar>
                <w:top w:w="0" w:type="dxa"/>
                <w:left w:w="0" w:type="dxa"/>
                <w:bottom w:w="0" w:type="dxa"/>
                <w:right w:w="0" w:type="dxa"/>
              </w:tblCellMar>
            </w:tblPr>
            <w:tblGrid>
              <w:gridCol w:w="644"/>
              <w:gridCol w:w="3762"/>
              <w:gridCol w:w="650"/>
              <w:gridCol w:w="975"/>
            </w:tblGrid>
            <w:tr w14:paraId="0EAEE378">
              <w:tblPrEx>
                <w:tblCellMar>
                  <w:top w:w="0" w:type="dxa"/>
                  <w:left w:w="0" w:type="dxa"/>
                  <w:bottom w:w="0" w:type="dxa"/>
                  <w:right w:w="0" w:type="dxa"/>
                </w:tblCellMar>
              </w:tblPrEx>
              <w:trPr>
                <w:trHeight w:val="284" w:hRule="atLeast"/>
              </w:trPr>
              <w:tc>
                <w:tcPr>
                  <w:tcW w:w="644" w:type="dxa"/>
                  <w:tcBorders>
                    <w:top w:val="single" w:color="000000" w:sz="6" w:space="0"/>
                    <w:left w:val="single" w:color="000000" w:sz="6" w:space="0"/>
                    <w:bottom w:val="single" w:color="000000" w:sz="6" w:space="0"/>
                    <w:right w:val="single" w:color="auto" w:sz="4" w:space="0"/>
                  </w:tcBorders>
                  <w:shd w:val="clear" w:color="auto" w:fill="auto"/>
                  <w:vAlign w:val="center"/>
                </w:tcPr>
                <w:p w14:paraId="4DA542D9">
                  <w:pPr>
                    <w:jc w:val="center"/>
                    <w:rPr>
                      <w:rFonts w:hint="default"/>
                      <w:b/>
                      <w:color w:val="auto"/>
                      <w:lang w:val="pt-BR"/>
                    </w:rPr>
                  </w:pPr>
                  <w:r>
                    <w:rPr>
                      <w:rFonts w:hint="default"/>
                      <w:b/>
                      <w:color w:val="auto"/>
                      <w:lang w:val="pt-BR"/>
                    </w:rPr>
                    <w:t>Item</w:t>
                  </w:r>
                </w:p>
              </w:tc>
              <w:tc>
                <w:tcPr>
                  <w:tcW w:w="3762" w:type="dxa"/>
                  <w:tcBorders>
                    <w:top w:val="single" w:color="000000" w:sz="6" w:space="0"/>
                    <w:left w:val="single" w:color="auto" w:sz="4" w:space="0"/>
                    <w:bottom w:val="single" w:color="000000" w:sz="6" w:space="0"/>
                    <w:right w:val="single" w:color="000000" w:sz="6" w:space="0"/>
                  </w:tcBorders>
                  <w:shd w:val="clear" w:color="auto" w:fill="auto"/>
                  <w:vAlign w:val="center"/>
                </w:tcPr>
                <w:p w14:paraId="13528307">
                  <w:pPr>
                    <w:jc w:val="center"/>
                    <w:rPr>
                      <w:rFonts w:hint="default"/>
                      <w:b/>
                      <w:color w:val="auto"/>
                      <w:lang w:val="pt-BR"/>
                    </w:rPr>
                  </w:pPr>
                  <w:r>
                    <w:rPr>
                      <w:rFonts w:hint="default"/>
                      <w:b/>
                      <w:color w:val="auto"/>
                      <w:lang w:val="pt-BR"/>
                    </w:rPr>
                    <w:t>Especificação</w:t>
                  </w:r>
                </w:p>
              </w:tc>
              <w:tc>
                <w:tcPr>
                  <w:tcW w:w="65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1E3CC296">
                  <w:pPr>
                    <w:jc w:val="center"/>
                    <w:rPr>
                      <w:b/>
                      <w:color w:val="auto"/>
                    </w:rPr>
                  </w:pPr>
                  <w:r>
                    <w:rPr>
                      <w:b/>
                      <w:color w:val="auto"/>
                    </w:rPr>
                    <w:t>Unid.</w:t>
                  </w:r>
                </w:p>
              </w:tc>
              <w:tc>
                <w:tcPr>
                  <w:tcW w:w="9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948DB5D">
                  <w:pPr>
                    <w:jc w:val="center"/>
                    <w:rPr>
                      <w:b/>
                      <w:color w:val="auto"/>
                    </w:rPr>
                  </w:pPr>
                  <w:r>
                    <w:rPr>
                      <w:b/>
                      <w:color w:val="auto"/>
                    </w:rPr>
                    <w:t>Quant. Mínima</w:t>
                  </w:r>
                </w:p>
              </w:tc>
            </w:tr>
            <w:tr w14:paraId="231A9B66">
              <w:tblPrEx>
                <w:tblCellMar>
                  <w:top w:w="0" w:type="dxa"/>
                  <w:left w:w="0" w:type="dxa"/>
                  <w:bottom w:w="0" w:type="dxa"/>
                  <w:right w:w="0" w:type="dxa"/>
                </w:tblCellMar>
              </w:tblPrEx>
              <w:trPr>
                <w:trHeight w:val="554" w:hRule="atLeast"/>
              </w:trPr>
              <w:tc>
                <w:tcPr>
                  <w:tcW w:w="644" w:type="dxa"/>
                  <w:tcBorders>
                    <w:top w:val="single" w:color="000000" w:sz="6" w:space="0"/>
                    <w:left w:val="single" w:color="000000" w:sz="6" w:space="0"/>
                    <w:bottom w:val="single" w:color="000000" w:sz="6" w:space="0"/>
                    <w:right w:val="single" w:color="auto" w:sz="4" w:space="0"/>
                  </w:tcBorders>
                  <w:shd w:val="clear" w:color="auto" w:fill="auto"/>
                  <w:vAlign w:val="center"/>
                </w:tcPr>
                <w:p w14:paraId="5BD9E5D4">
                  <w:pPr>
                    <w:jc w:val="center"/>
                    <w:rPr>
                      <w:rFonts w:hint="default"/>
                      <w:color w:val="auto"/>
                      <w:lang w:val="pt-BR"/>
                    </w:rPr>
                  </w:pPr>
                  <w:r>
                    <w:rPr>
                      <w:rFonts w:hint="default"/>
                      <w:color w:val="auto"/>
                      <w:lang w:val="pt-BR"/>
                    </w:rPr>
                    <w:t>01</w:t>
                  </w:r>
                </w:p>
              </w:tc>
              <w:tc>
                <w:tcPr>
                  <w:tcW w:w="3762" w:type="dxa"/>
                  <w:tcBorders>
                    <w:top w:val="single" w:color="000000" w:sz="6" w:space="0"/>
                    <w:left w:val="single" w:color="auto" w:sz="4" w:space="0"/>
                    <w:bottom w:val="single" w:color="000000" w:sz="6" w:space="0"/>
                    <w:right w:val="single" w:color="000000" w:sz="6" w:space="0"/>
                  </w:tcBorders>
                  <w:shd w:val="clear" w:color="auto" w:fill="auto"/>
                  <w:vAlign w:val="center"/>
                </w:tcPr>
                <w:p w14:paraId="5AD98F0B">
                  <w:pPr>
                    <w:jc w:val="both"/>
                    <w:rPr>
                      <w:rFonts w:hint="default"/>
                      <w:color w:val="auto"/>
                      <w:lang w:val="pt-BR"/>
                    </w:rPr>
                  </w:pPr>
                  <w:r>
                    <w:rPr>
                      <w:rFonts w:hint="default"/>
                      <w:color w:val="auto"/>
                    </w:rPr>
                    <w:t>Fornecimento, montagem e instalação de estrutura metálica com ligações/soldas, incluso perfis metálicos, chapas metálicas, mão de obra e transporte</w:t>
                  </w:r>
                  <w:r>
                    <w:rPr>
                      <w:rFonts w:hint="default"/>
                      <w:color w:val="auto"/>
                      <w:lang w:val="pt-BR"/>
                    </w:rPr>
                    <w:t>.</w:t>
                  </w:r>
                </w:p>
              </w:tc>
              <w:tc>
                <w:tcPr>
                  <w:tcW w:w="65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52EF78B1">
                  <w:pPr>
                    <w:jc w:val="center"/>
                    <w:rPr>
                      <w:color w:val="auto"/>
                    </w:rPr>
                  </w:pPr>
                  <w:r>
                    <w:rPr>
                      <w:color w:val="auto"/>
                    </w:rPr>
                    <w:t>kg</w:t>
                  </w:r>
                </w:p>
              </w:tc>
              <w:tc>
                <w:tcPr>
                  <w:tcW w:w="975"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46156453">
                  <w:pPr>
                    <w:rPr>
                      <w:color w:val="auto"/>
                    </w:rPr>
                  </w:pPr>
                  <w:r>
                    <w:rPr>
                      <w:color w:val="auto"/>
                    </w:rPr>
                    <w:t xml:space="preserve">  </w:t>
                  </w:r>
                  <w:r>
                    <w:rPr>
                      <w:rFonts w:hint="default"/>
                      <w:color w:val="auto"/>
                      <w:lang w:val="pt-BR"/>
                    </w:rPr>
                    <w:t>4.300</w:t>
                  </w:r>
                  <w:r>
                    <w:rPr>
                      <w:color w:val="auto"/>
                    </w:rPr>
                    <w:t xml:space="preserve">,00 </w:t>
                  </w:r>
                </w:p>
              </w:tc>
            </w:tr>
            <w:tr w14:paraId="185D4232">
              <w:tblPrEx>
                <w:tblCellMar>
                  <w:top w:w="0" w:type="dxa"/>
                  <w:left w:w="0" w:type="dxa"/>
                  <w:bottom w:w="0" w:type="dxa"/>
                  <w:right w:w="0" w:type="dxa"/>
                </w:tblCellMar>
              </w:tblPrEx>
              <w:trPr>
                <w:trHeight w:val="498" w:hRule="atLeast"/>
              </w:trPr>
              <w:tc>
                <w:tcPr>
                  <w:tcW w:w="644" w:type="dxa"/>
                  <w:tcBorders>
                    <w:top w:val="single" w:color="000000" w:sz="6" w:space="0"/>
                    <w:left w:val="single" w:color="000000" w:sz="6" w:space="0"/>
                    <w:bottom w:val="single" w:color="000000" w:sz="6" w:space="0"/>
                    <w:right w:val="single" w:color="auto" w:sz="4" w:space="0"/>
                  </w:tcBorders>
                  <w:shd w:val="clear" w:color="auto" w:fill="auto"/>
                  <w:vAlign w:val="center"/>
                </w:tcPr>
                <w:p w14:paraId="551564B8">
                  <w:pPr>
                    <w:jc w:val="center"/>
                    <w:rPr>
                      <w:rFonts w:hint="default"/>
                      <w:color w:val="auto"/>
                      <w:lang w:val="pt-BR"/>
                    </w:rPr>
                  </w:pPr>
                  <w:r>
                    <w:rPr>
                      <w:rFonts w:hint="default"/>
                      <w:color w:val="auto"/>
                      <w:lang w:val="pt-BR"/>
                    </w:rPr>
                    <w:t>02</w:t>
                  </w:r>
                </w:p>
              </w:tc>
              <w:tc>
                <w:tcPr>
                  <w:tcW w:w="3762" w:type="dxa"/>
                  <w:tcBorders>
                    <w:top w:val="single" w:color="000000" w:sz="6" w:space="0"/>
                    <w:left w:val="single" w:color="auto" w:sz="4" w:space="0"/>
                    <w:bottom w:val="single" w:color="000000" w:sz="6" w:space="0"/>
                    <w:right w:val="single" w:color="000000" w:sz="6" w:space="0"/>
                  </w:tcBorders>
                  <w:shd w:val="clear" w:color="auto" w:fill="auto"/>
                  <w:vAlign w:val="center"/>
                </w:tcPr>
                <w:p w14:paraId="69A5F7EE">
                  <w:pPr>
                    <w:jc w:val="both"/>
                    <w:rPr>
                      <w:color w:val="auto"/>
                    </w:rPr>
                  </w:pPr>
                  <w:r>
                    <w:rPr>
                      <w:rFonts w:hint="default"/>
                      <w:color w:val="auto"/>
                    </w:rPr>
                    <w:t>Telhamento com telha metálica trapezoidal sem e/ou com preenchimento</w:t>
                  </w:r>
                </w:p>
              </w:tc>
              <w:tc>
                <w:tcPr>
                  <w:tcW w:w="65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5D9B9095">
                  <w:pPr>
                    <w:jc w:val="center"/>
                    <w:rPr>
                      <w:color w:val="auto"/>
                    </w:rPr>
                  </w:pPr>
                  <w:r>
                    <w:rPr>
                      <w:color w:val="auto"/>
                    </w:rPr>
                    <w:t>m²</w:t>
                  </w:r>
                </w:p>
              </w:tc>
              <w:tc>
                <w:tcPr>
                  <w:tcW w:w="975"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7F2BC4FB">
                  <w:pPr>
                    <w:rPr>
                      <w:color w:val="auto"/>
                    </w:rPr>
                  </w:pPr>
                  <w:r>
                    <w:rPr>
                      <w:color w:val="auto"/>
                    </w:rPr>
                    <w:t xml:space="preserve">  </w:t>
                  </w:r>
                  <w:r>
                    <w:rPr>
                      <w:rFonts w:hint="default"/>
                      <w:color w:val="auto"/>
                      <w:lang w:val="pt-BR"/>
                    </w:rPr>
                    <w:t>3</w:t>
                  </w:r>
                  <w:r>
                    <w:rPr>
                      <w:color w:val="auto"/>
                    </w:rPr>
                    <w:t xml:space="preserve">50,00 </w:t>
                  </w:r>
                </w:p>
              </w:tc>
            </w:tr>
            <w:tr w14:paraId="16098F5E">
              <w:tblPrEx>
                <w:tblCellMar>
                  <w:top w:w="0" w:type="dxa"/>
                  <w:left w:w="0" w:type="dxa"/>
                  <w:bottom w:w="0" w:type="dxa"/>
                  <w:right w:w="0" w:type="dxa"/>
                </w:tblCellMar>
              </w:tblPrEx>
              <w:trPr>
                <w:trHeight w:val="220" w:hRule="atLeast"/>
              </w:trPr>
              <w:tc>
                <w:tcPr>
                  <w:tcW w:w="644" w:type="dxa"/>
                  <w:tcBorders>
                    <w:top w:val="single" w:color="000000" w:sz="6" w:space="0"/>
                    <w:left w:val="single" w:color="000000" w:sz="6" w:space="0"/>
                    <w:bottom w:val="single" w:color="000000" w:sz="6" w:space="0"/>
                    <w:right w:val="single" w:color="auto" w:sz="4" w:space="0"/>
                  </w:tcBorders>
                  <w:shd w:val="clear" w:color="auto" w:fill="auto"/>
                  <w:vAlign w:val="center"/>
                </w:tcPr>
                <w:p w14:paraId="60552BF8">
                  <w:pPr>
                    <w:jc w:val="center"/>
                    <w:rPr>
                      <w:rFonts w:hint="default"/>
                      <w:color w:val="auto"/>
                      <w:lang w:val="pt-BR"/>
                    </w:rPr>
                  </w:pPr>
                  <w:r>
                    <w:rPr>
                      <w:rFonts w:hint="default"/>
                      <w:color w:val="auto"/>
                      <w:lang w:val="pt-BR"/>
                    </w:rPr>
                    <w:t>03</w:t>
                  </w:r>
                </w:p>
              </w:tc>
              <w:tc>
                <w:tcPr>
                  <w:tcW w:w="3762" w:type="dxa"/>
                  <w:tcBorders>
                    <w:top w:val="single" w:color="000000" w:sz="6" w:space="0"/>
                    <w:left w:val="single" w:color="auto" w:sz="4" w:space="0"/>
                    <w:bottom w:val="single" w:color="000000" w:sz="6" w:space="0"/>
                    <w:right w:val="single" w:color="000000" w:sz="6" w:space="0"/>
                  </w:tcBorders>
                  <w:shd w:val="clear" w:color="auto" w:fill="auto"/>
                  <w:vAlign w:val="center"/>
                </w:tcPr>
                <w:p w14:paraId="16F8180C">
                  <w:pPr>
                    <w:jc w:val="both"/>
                    <w:rPr>
                      <w:color w:val="auto"/>
                    </w:rPr>
                  </w:pPr>
                  <w:r>
                    <w:rPr>
                      <w:rFonts w:hint="default"/>
                      <w:color w:val="auto"/>
                    </w:rPr>
                    <w:t>Revestimento cerâmico para paredes internas/externas, assentamento com argamassa colante, inclusive rejuntamento</w:t>
                  </w:r>
                </w:p>
              </w:tc>
              <w:tc>
                <w:tcPr>
                  <w:tcW w:w="65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1450EA40">
                  <w:pPr>
                    <w:jc w:val="center"/>
                    <w:rPr>
                      <w:color w:val="auto"/>
                    </w:rPr>
                  </w:pPr>
                  <w:r>
                    <w:rPr>
                      <w:color w:val="auto"/>
                    </w:rPr>
                    <w:t>m²</w:t>
                  </w:r>
                </w:p>
              </w:tc>
              <w:tc>
                <w:tcPr>
                  <w:tcW w:w="975"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60CB50B8">
                  <w:pPr>
                    <w:rPr>
                      <w:color w:val="auto"/>
                    </w:rPr>
                  </w:pPr>
                  <w:r>
                    <w:rPr>
                      <w:color w:val="auto"/>
                    </w:rPr>
                    <w:t xml:space="preserve">  </w:t>
                  </w:r>
                  <w:r>
                    <w:rPr>
                      <w:rFonts w:hint="default"/>
                      <w:color w:val="auto"/>
                      <w:lang w:val="pt-BR"/>
                    </w:rPr>
                    <w:t>24</w:t>
                  </w:r>
                  <w:r>
                    <w:rPr>
                      <w:color w:val="auto"/>
                    </w:rPr>
                    <w:t xml:space="preserve">0,00 </w:t>
                  </w:r>
                </w:p>
              </w:tc>
            </w:tr>
            <w:tr w14:paraId="1B420606">
              <w:tblPrEx>
                <w:tblCellMar>
                  <w:top w:w="0" w:type="dxa"/>
                  <w:left w:w="0" w:type="dxa"/>
                  <w:bottom w:w="0" w:type="dxa"/>
                  <w:right w:w="0" w:type="dxa"/>
                </w:tblCellMar>
              </w:tblPrEx>
              <w:trPr>
                <w:trHeight w:val="144" w:hRule="atLeast"/>
              </w:trPr>
              <w:tc>
                <w:tcPr>
                  <w:tcW w:w="644" w:type="dxa"/>
                  <w:tcBorders>
                    <w:top w:val="single" w:color="000000" w:sz="6" w:space="0"/>
                    <w:left w:val="single" w:color="000000" w:sz="6" w:space="0"/>
                    <w:bottom w:val="single" w:color="000000" w:sz="6" w:space="0"/>
                    <w:right w:val="single" w:color="auto" w:sz="4" w:space="0"/>
                  </w:tcBorders>
                  <w:shd w:val="clear" w:color="auto" w:fill="auto"/>
                  <w:vAlign w:val="center"/>
                </w:tcPr>
                <w:p w14:paraId="5E8B32C8">
                  <w:pPr>
                    <w:jc w:val="center"/>
                    <w:rPr>
                      <w:rFonts w:hint="default"/>
                      <w:color w:val="auto"/>
                      <w:lang w:val="pt-BR"/>
                    </w:rPr>
                  </w:pPr>
                  <w:r>
                    <w:rPr>
                      <w:rFonts w:hint="default"/>
                      <w:color w:val="auto"/>
                      <w:lang w:val="pt-BR"/>
                    </w:rPr>
                    <w:t>04</w:t>
                  </w:r>
                </w:p>
              </w:tc>
              <w:tc>
                <w:tcPr>
                  <w:tcW w:w="3762" w:type="dxa"/>
                  <w:tcBorders>
                    <w:top w:val="single" w:color="000000" w:sz="6" w:space="0"/>
                    <w:left w:val="single" w:color="auto" w:sz="4" w:space="0"/>
                    <w:bottom w:val="single" w:color="000000" w:sz="6" w:space="0"/>
                    <w:right w:val="single" w:color="000000" w:sz="6" w:space="0"/>
                  </w:tcBorders>
                  <w:shd w:val="clear" w:color="auto" w:fill="auto"/>
                  <w:vAlign w:val="center"/>
                </w:tcPr>
                <w:p w14:paraId="64BA4BEC">
                  <w:pPr>
                    <w:jc w:val="both"/>
                    <w:rPr>
                      <w:color w:val="auto"/>
                    </w:rPr>
                  </w:pPr>
                  <w:r>
                    <w:rPr>
                      <w:rFonts w:hint="default"/>
                      <w:color w:val="auto"/>
                    </w:rPr>
                    <w:t>Piso em ganilite, espessura 8 a 10mm</w:t>
                  </w:r>
                </w:p>
              </w:tc>
              <w:tc>
                <w:tcPr>
                  <w:tcW w:w="650"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487042CF">
                  <w:pPr>
                    <w:jc w:val="center"/>
                    <w:rPr>
                      <w:color w:val="auto"/>
                    </w:rPr>
                  </w:pPr>
                  <w:r>
                    <w:rPr>
                      <w:color w:val="auto"/>
                    </w:rPr>
                    <w:t>m²</w:t>
                  </w:r>
                </w:p>
              </w:tc>
              <w:tc>
                <w:tcPr>
                  <w:tcW w:w="975" w:type="dxa"/>
                  <w:tcBorders>
                    <w:top w:val="single" w:color="000000" w:sz="6" w:space="0"/>
                    <w:left w:val="single" w:color="000000" w:sz="6" w:space="0"/>
                    <w:bottom w:val="single" w:color="000000" w:sz="6" w:space="0"/>
                    <w:right w:val="single" w:color="000000" w:sz="6" w:space="0"/>
                  </w:tcBorders>
                  <w:shd w:val="clear" w:color="auto" w:fill="auto"/>
                  <w:noWrap/>
                  <w:vAlign w:val="center"/>
                </w:tcPr>
                <w:p w14:paraId="627237B2">
                  <w:pPr>
                    <w:rPr>
                      <w:color w:val="auto"/>
                    </w:rPr>
                  </w:pPr>
                  <w:r>
                    <w:rPr>
                      <w:color w:val="auto"/>
                    </w:rPr>
                    <w:t xml:space="preserve">  1</w:t>
                  </w:r>
                  <w:r>
                    <w:rPr>
                      <w:rFonts w:hint="default"/>
                      <w:color w:val="auto"/>
                      <w:lang w:val="pt-BR"/>
                    </w:rPr>
                    <w:t>8</w:t>
                  </w:r>
                  <w:r>
                    <w:rPr>
                      <w:color w:val="auto"/>
                    </w:rPr>
                    <w:t xml:space="preserve">0,00 </w:t>
                  </w:r>
                </w:p>
              </w:tc>
            </w:tr>
          </w:tbl>
          <w:p w14:paraId="5F13FD0E">
            <w:pPr>
              <w:keepNext w:val="0"/>
              <w:keepLines w:val="0"/>
              <w:pageBreakBefore w:val="0"/>
              <w:widowControl/>
              <w:numPr>
                <w:ilvl w:val="0"/>
                <w:numId w:val="27"/>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bCs/>
                <w:i/>
                <w:iCs/>
                <w:color w:val="auto"/>
              </w:rPr>
            </w:pPr>
            <w:r>
              <w:rPr>
                <w:rFonts w:hint="default"/>
                <w:bCs/>
                <w:i w:val="0"/>
                <w:iCs w:val="0"/>
                <w:color w:val="auto"/>
                <w:lang w:val="pt-BR"/>
              </w:rPr>
              <w:t>Visando conferir a autenticidade das informações contidas no(s) atestado(s) de capacidade técnico-operacional, as licitantes deverão, obrigatoriamente, apresentar a Certidão de Acervo Técnico – CAT, com Registro de Atestado, expedida pela entidade profissional competente (CREA), do responsável técnico da licitante à época da execução das obras e/ou serviços, conforme jurisprudência do Tribunal de Contas da União – TCU (Acórdão 3.094/2020 – Plenário). Na CAT deve figurar a licitante como contratada;</w:t>
            </w:r>
          </w:p>
          <w:p w14:paraId="115C13EF">
            <w:pPr>
              <w:keepNext w:val="0"/>
              <w:keepLines w:val="0"/>
              <w:pageBreakBefore w:val="0"/>
              <w:widowControl/>
              <w:numPr>
                <w:ilvl w:val="0"/>
                <w:numId w:val="28"/>
              </w:numPr>
              <w:tabs>
                <w:tab w:val="clear" w:pos="425"/>
              </w:tabs>
              <w:kinsoku/>
              <w:wordWrap/>
              <w:overflowPunct/>
              <w:topLinePunct w:val="0"/>
              <w:autoSpaceDE/>
              <w:autoSpaceDN/>
              <w:bidi w:val="0"/>
              <w:adjustRightInd/>
              <w:snapToGrid/>
              <w:spacing w:before="0" w:beforeLines="0" w:after="181" w:afterLines="50" w:line="240" w:lineRule="auto"/>
              <w:ind w:left="1320" w:leftChars="0" w:right="0" w:rightChars="0" w:hanging="454" w:firstLineChars="0"/>
              <w:jc w:val="both"/>
              <w:textAlignment w:val="auto"/>
              <w:outlineLvl w:val="9"/>
              <w:rPr>
                <w:rFonts w:hint="default"/>
                <w:bCs/>
                <w:i w:val="0"/>
                <w:iCs w:val="0"/>
                <w:color w:val="auto"/>
              </w:rPr>
            </w:pPr>
            <w:r>
              <w:rPr>
                <w:rFonts w:hint="default"/>
                <w:bCs/>
                <w:i w:val="0"/>
                <w:iCs w:val="0"/>
                <w:color w:val="auto"/>
              </w:rPr>
              <w:t>Para atender o disposto acima, é necessário que o atestado permita a identificação da pessoa jurídica que o emitiu, portanto, deverá ser em papel timbrado do emitente e conter razão social, CNPJ, endereço, com identificação do signatário e assinatura do responsável legal;</w:t>
            </w:r>
          </w:p>
          <w:p w14:paraId="257E6D08">
            <w:pPr>
              <w:keepNext w:val="0"/>
              <w:keepLines w:val="0"/>
              <w:pageBreakBefore w:val="0"/>
              <w:widowControl/>
              <w:numPr>
                <w:ilvl w:val="0"/>
                <w:numId w:val="28"/>
              </w:numPr>
              <w:tabs>
                <w:tab w:val="clear" w:pos="425"/>
              </w:tabs>
              <w:kinsoku/>
              <w:wordWrap/>
              <w:overflowPunct/>
              <w:topLinePunct w:val="0"/>
              <w:autoSpaceDE/>
              <w:autoSpaceDN/>
              <w:bidi w:val="0"/>
              <w:adjustRightInd/>
              <w:snapToGrid/>
              <w:spacing w:before="0" w:beforeLines="0" w:after="181" w:afterLines="50" w:line="240" w:lineRule="auto"/>
              <w:ind w:left="1320" w:leftChars="0" w:right="0" w:rightChars="0" w:hanging="454" w:firstLineChars="0"/>
              <w:jc w:val="both"/>
              <w:textAlignment w:val="auto"/>
              <w:outlineLvl w:val="9"/>
              <w:rPr>
                <w:rFonts w:hint="default"/>
                <w:bCs/>
                <w:i w:val="0"/>
                <w:iCs w:val="0"/>
                <w:color w:val="auto"/>
              </w:rPr>
            </w:pPr>
            <w:r>
              <w:rPr>
                <w:rFonts w:hint="default"/>
                <w:bCs/>
                <w:i w:val="0"/>
                <w:iCs w:val="0"/>
                <w:color w:val="auto"/>
              </w:rPr>
              <w:t>Será permitida a apresentação de tantos atestados quantos forem necessários para a demonstração da execução ora exigidos, nas quantidades mínimas estabelecidas no quadro do inciso II do item 50 supra;</w:t>
            </w:r>
          </w:p>
          <w:p w14:paraId="1319D207">
            <w:pPr>
              <w:keepNext w:val="0"/>
              <w:keepLines w:val="0"/>
              <w:pageBreakBefore w:val="0"/>
              <w:widowControl/>
              <w:numPr>
                <w:ilvl w:val="0"/>
                <w:numId w:val="28"/>
              </w:numPr>
              <w:tabs>
                <w:tab w:val="clear" w:pos="425"/>
              </w:tabs>
              <w:kinsoku/>
              <w:wordWrap/>
              <w:overflowPunct/>
              <w:topLinePunct w:val="0"/>
              <w:autoSpaceDE/>
              <w:autoSpaceDN/>
              <w:bidi w:val="0"/>
              <w:adjustRightInd/>
              <w:snapToGrid/>
              <w:spacing w:before="0" w:beforeLines="0" w:after="181" w:afterLines="50" w:line="240" w:lineRule="auto"/>
              <w:ind w:left="1320" w:leftChars="0" w:right="0" w:rightChars="0" w:hanging="454" w:firstLineChars="0"/>
              <w:jc w:val="both"/>
              <w:textAlignment w:val="auto"/>
              <w:outlineLvl w:val="9"/>
              <w:rPr>
                <w:rFonts w:hint="default"/>
                <w:bCs/>
                <w:i w:val="0"/>
                <w:iCs w:val="0"/>
                <w:color w:val="auto"/>
              </w:rPr>
            </w:pPr>
            <w:r>
              <w:rPr>
                <w:rFonts w:hint="default"/>
                <w:bCs/>
                <w:i w:val="0"/>
                <w:iCs w:val="0"/>
                <w:color w:val="auto"/>
              </w:rPr>
              <w:t>Não serão aceitos atestado(s) de capacidade técnica emitidos(s) pela própria licitante ou por organizações de um mesmo grupo empresarial da licitante;</w:t>
            </w:r>
          </w:p>
          <w:p w14:paraId="2657A183">
            <w:pPr>
              <w:keepNext w:val="0"/>
              <w:keepLines w:val="0"/>
              <w:pageBreakBefore w:val="0"/>
              <w:widowControl/>
              <w:numPr>
                <w:ilvl w:val="0"/>
                <w:numId w:val="28"/>
              </w:numPr>
              <w:tabs>
                <w:tab w:val="clear" w:pos="425"/>
              </w:tabs>
              <w:kinsoku/>
              <w:wordWrap/>
              <w:overflowPunct/>
              <w:topLinePunct w:val="0"/>
              <w:autoSpaceDE/>
              <w:autoSpaceDN/>
              <w:bidi w:val="0"/>
              <w:adjustRightInd/>
              <w:snapToGrid/>
              <w:spacing w:before="0" w:beforeLines="0" w:after="181" w:afterLines="50" w:line="240" w:lineRule="auto"/>
              <w:ind w:left="1320" w:leftChars="0" w:right="0" w:rightChars="0" w:hanging="454" w:firstLineChars="0"/>
              <w:jc w:val="both"/>
              <w:textAlignment w:val="auto"/>
              <w:outlineLvl w:val="9"/>
              <w:rPr>
                <w:bCs/>
                <w:i/>
                <w:iCs/>
                <w:color w:val="auto"/>
              </w:rPr>
            </w:pPr>
            <w:r>
              <w:rPr>
                <w:rFonts w:hint="default"/>
                <w:bCs/>
                <w:i w:val="0"/>
                <w:iCs w:val="0"/>
                <w:color w:val="auto"/>
              </w:rPr>
              <w:t>Serão consideradas como pertencentes ao mesmo grupo empresarial da empresa proponente, empresas controladas ou controladoras da empresa proponente ou que tenham pelo menos uma mesma pessoa física ou jurídica que seja sócio da empresa proponente.</w:t>
            </w:r>
          </w:p>
          <w:p w14:paraId="26A64541">
            <w:pPr>
              <w:keepNext w:val="0"/>
              <w:keepLines w:val="0"/>
              <w:pageBreakBefore w:val="0"/>
              <w:widowControl/>
              <w:numPr>
                <w:ilvl w:val="0"/>
                <w:numId w:val="27"/>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 w:val="0"/>
                <w:iCs w:val="0"/>
                <w:color w:val="auto"/>
                <w:lang w:val="pt-BR"/>
              </w:rPr>
            </w:pPr>
            <w:r>
              <w:rPr>
                <w:rFonts w:hint="default"/>
                <w:bCs/>
                <w:i w:val="0"/>
                <w:iCs w:val="0"/>
                <w:color w:val="auto"/>
                <w:lang w:val="pt-BR"/>
              </w:rPr>
              <w:t>Não serão aceitos atestados que não explicitem a licitante/proponente como executora das obras (e/ou serviços) atestadas. Também não serão aceitos atestados emitidos em nome de terceiros mas que a licitante tente vincular-se à execução pelo fato de seu profissional ter participado da obra (e/ou serviços) como responsável técnico, nem sob qualquer forma de execução de obra e/ou serviço por seu responsável técnico em nome de outra pessoa jurídica. Portanto, para demonstração da capacidade técnico-operacional, as licitantes deverão, obrigatoriamente, apresentar a Certidão de Acervo Técnico – CAT, com Registro de Atestado, expedida pela entidade profissional competente (CREA ou CAU), do responsável técnico da licitante à época da execução das obras e/ou serviços e em que cuja CAT figure a licitante como Contratada.</w:t>
            </w:r>
          </w:p>
          <w:p w14:paraId="58C7FB9F">
            <w:pPr>
              <w:keepNext w:val="0"/>
              <w:keepLines w:val="0"/>
              <w:pageBreakBefore w:val="0"/>
              <w:widowControl/>
              <w:numPr>
                <w:ilvl w:val="0"/>
                <w:numId w:val="27"/>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bCs/>
                <w:i/>
                <w:iCs/>
                <w:color w:val="auto"/>
              </w:rPr>
            </w:pPr>
            <w:r>
              <w:rPr>
                <w:rFonts w:hint="default"/>
                <w:bCs/>
                <w:i w:val="0"/>
                <w:iCs w:val="0"/>
                <w:color w:val="auto"/>
                <w:lang w:val="pt-BR"/>
              </w:rPr>
              <w:t>Nos termos do Acórdão 2208/2016-TCU-Plenário, é inadmissível a transferência do acervo técnico da pessoa física para a pessoa jurídica:</w:t>
            </w:r>
          </w:p>
          <w:p w14:paraId="1DDFF7AA">
            <w:pPr>
              <w:keepNext w:val="0"/>
              <w:keepLines w:val="0"/>
              <w:pageBreakBefore w:val="0"/>
              <w:widowControl/>
              <w:numPr>
                <w:ilvl w:val="0"/>
                <w:numId w:val="29"/>
              </w:numPr>
              <w:tabs>
                <w:tab w:val="clear" w:pos="425"/>
              </w:tabs>
              <w:kinsoku/>
              <w:wordWrap/>
              <w:overflowPunct/>
              <w:topLinePunct w:val="0"/>
              <w:autoSpaceDE/>
              <w:autoSpaceDN/>
              <w:bidi w:val="0"/>
              <w:adjustRightInd/>
              <w:snapToGrid/>
              <w:spacing w:before="0" w:beforeLines="0" w:after="181" w:afterLines="50" w:line="240" w:lineRule="auto"/>
              <w:ind w:left="1320" w:leftChars="0" w:right="0" w:rightChars="0" w:hanging="454" w:firstLineChars="0"/>
              <w:jc w:val="both"/>
              <w:textAlignment w:val="auto"/>
              <w:outlineLvl w:val="9"/>
              <w:rPr>
                <w:bCs/>
                <w:i/>
                <w:iCs/>
                <w:color w:val="auto"/>
              </w:rPr>
            </w:pPr>
            <w:r>
              <w:rPr>
                <w:rFonts w:hint="default"/>
                <w:bCs/>
                <w:i/>
                <w:iCs/>
                <w:color w:val="auto"/>
              </w:rPr>
              <w:t>(…) a transferência de acervo técnico de pessoa física à pessoa jurídica pode ensejar o possível ‘comércio’ de acervo, permitindo assim que empresas aventureiras participem de licitação sem que possuam a real capacidade de executar o objeto, apenas pela simples formalização de contrato com responsável técnico detentor da qualificação requerida</w:t>
            </w:r>
            <w:r>
              <w:rPr>
                <w:rFonts w:hint="default"/>
                <w:bCs/>
                <w:i/>
                <w:iCs/>
                <w:color w:val="auto"/>
                <w:lang w:val="pt-BR"/>
              </w:rPr>
              <w:t>.fb</w:t>
            </w:r>
          </w:p>
        </w:tc>
        <w:tc>
          <w:tcPr>
            <w:tcW w:w="812" w:type="pct"/>
            <w:shd w:val="clear" w:color="auto" w:fill="auto"/>
          </w:tcPr>
          <w:p w14:paraId="5526C3FE">
            <w:pPr>
              <w:rPr>
                <w:bCs/>
                <w:iCs/>
              </w:rPr>
            </w:pPr>
            <w:r>
              <w:rPr>
                <w:bCs/>
                <w:iCs/>
              </w:rPr>
              <w:t>Deve atender ao requisito</w:t>
            </w:r>
          </w:p>
        </w:tc>
        <w:tc>
          <w:tcPr>
            <w:tcW w:w="360" w:type="pct"/>
            <w:shd w:val="clear" w:color="auto" w:fill="auto"/>
          </w:tcPr>
          <w:p w14:paraId="25F7B5AA">
            <w:pPr>
              <w:rPr>
                <w:bCs/>
                <w:iCs/>
              </w:rPr>
            </w:pPr>
            <w:r>
              <w:rPr>
                <w:bCs/>
                <w:iCs/>
              </w:rPr>
              <w:t>N.A</w:t>
            </w:r>
          </w:p>
        </w:tc>
        <w:tc>
          <w:tcPr>
            <w:tcW w:w="314" w:type="pct"/>
            <w:shd w:val="clear" w:color="auto" w:fill="auto"/>
          </w:tcPr>
          <w:p w14:paraId="0A00F49F">
            <w:pPr>
              <w:rPr>
                <w:bCs/>
                <w:iCs/>
              </w:rPr>
            </w:pPr>
            <w:r>
              <w:rPr>
                <w:bCs/>
                <w:iCs/>
              </w:rPr>
              <w:t>N.A</w:t>
            </w:r>
          </w:p>
        </w:tc>
        <w:tc>
          <w:tcPr>
            <w:tcW w:w="717" w:type="pct"/>
            <w:gridSpan w:val="2"/>
            <w:shd w:val="clear" w:color="auto" w:fill="auto"/>
          </w:tcPr>
          <w:p w14:paraId="579B0686">
            <w:pPr>
              <w:rPr>
                <w:bCs/>
                <w:iCs/>
              </w:rPr>
            </w:pPr>
            <w:r>
              <w:rPr>
                <w:bCs/>
                <w:iCs/>
              </w:rPr>
              <w:t>Modelo 5 da Seção 4</w:t>
            </w:r>
          </w:p>
        </w:tc>
      </w:tr>
      <w:tr w14:paraId="7BDD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shd w:val="clear" w:color="auto" w:fill="F1F1F1" w:themeFill="background1" w:themeFillShade="F2"/>
          </w:tcPr>
          <w:p w14:paraId="712C48A1">
            <w:pPr>
              <w:pStyle w:val="75"/>
              <w:rPr>
                <w:b w:val="0"/>
                <w:bCs w:val="0"/>
              </w:rPr>
            </w:pPr>
            <w:bookmarkStart w:id="146" w:name="_Toc174521784"/>
            <w:bookmarkStart w:id="147" w:name="_Toc157691596"/>
            <w:bookmarkStart w:id="148" w:name="_Toc168412207"/>
            <w:bookmarkStart w:id="149" w:name="_Toc151809253"/>
            <w:r>
              <w:t>6 Apresentação de Declarações</w:t>
            </w:r>
            <w:bookmarkEnd w:id="146"/>
            <w:bookmarkEnd w:id="147"/>
            <w:bookmarkEnd w:id="148"/>
            <w:bookmarkEnd w:id="149"/>
          </w:p>
        </w:tc>
      </w:tr>
      <w:tr w14:paraId="79C5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017F7553">
            <w:pPr>
              <w:rPr>
                <w:iCs/>
              </w:rPr>
            </w:pPr>
            <w:r>
              <w:rPr>
                <w:iCs/>
              </w:rPr>
              <w:t>6.1</w:t>
            </w:r>
          </w:p>
        </w:tc>
        <w:tc>
          <w:tcPr>
            <w:tcW w:w="2568" w:type="pct"/>
            <w:gridSpan w:val="3"/>
          </w:tcPr>
          <w:p w14:paraId="5E2E5A4E">
            <w:pPr>
              <w:jc w:val="both"/>
              <w:rPr>
                <w:bCs/>
                <w:iCs/>
              </w:rPr>
            </w:pPr>
            <w:r>
              <w:rPr>
                <w:bCs/>
                <w:iCs/>
              </w:rPr>
              <w:t>Declaração Entrega do Plano de Trabalho, do Plano de Garantia do Controle de Qualidade e do Atendimento às Exigências das Especificações Técnicas</w:t>
            </w:r>
          </w:p>
        </w:tc>
        <w:tc>
          <w:tcPr>
            <w:tcW w:w="812" w:type="pct"/>
          </w:tcPr>
          <w:p w14:paraId="231E2135">
            <w:pPr>
              <w:rPr>
                <w:bCs/>
                <w:iCs/>
              </w:rPr>
            </w:pPr>
            <w:r>
              <w:rPr>
                <w:bCs/>
                <w:iCs/>
              </w:rPr>
              <w:t>Deve atender ao requisito</w:t>
            </w:r>
          </w:p>
        </w:tc>
        <w:tc>
          <w:tcPr>
            <w:tcW w:w="360" w:type="pct"/>
          </w:tcPr>
          <w:p w14:paraId="4CEFA703">
            <w:pPr>
              <w:rPr>
                <w:bCs/>
                <w:iCs/>
              </w:rPr>
            </w:pPr>
            <w:r>
              <w:rPr>
                <w:bCs/>
                <w:iCs/>
              </w:rPr>
              <w:t>N.A</w:t>
            </w:r>
          </w:p>
        </w:tc>
        <w:tc>
          <w:tcPr>
            <w:tcW w:w="314" w:type="pct"/>
          </w:tcPr>
          <w:p w14:paraId="1A98ADE8">
            <w:pPr>
              <w:rPr>
                <w:bCs/>
                <w:iCs/>
              </w:rPr>
            </w:pPr>
            <w:r>
              <w:rPr>
                <w:bCs/>
                <w:iCs/>
              </w:rPr>
              <w:t>N.A</w:t>
            </w:r>
          </w:p>
        </w:tc>
        <w:tc>
          <w:tcPr>
            <w:tcW w:w="717" w:type="pct"/>
            <w:gridSpan w:val="2"/>
          </w:tcPr>
          <w:p w14:paraId="42812A3B">
            <w:pPr>
              <w:rPr>
                <w:bCs/>
                <w:iCs/>
              </w:rPr>
            </w:pPr>
            <w:r>
              <w:rPr>
                <w:bCs/>
                <w:iCs/>
              </w:rPr>
              <w:t>Modelo 9 da Seção 4</w:t>
            </w:r>
          </w:p>
        </w:tc>
      </w:tr>
      <w:tr w14:paraId="0C353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226715FF">
            <w:pPr>
              <w:rPr>
                <w:iCs/>
              </w:rPr>
            </w:pPr>
            <w:r>
              <w:rPr>
                <w:iCs/>
              </w:rPr>
              <w:t>6.2</w:t>
            </w:r>
          </w:p>
        </w:tc>
        <w:tc>
          <w:tcPr>
            <w:tcW w:w="2568" w:type="pct"/>
            <w:gridSpan w:val="3"/>
          </w:tcPr>
          <w:p w14:paraId="08D66FE2">
            <w:pPr>
              <w:rPr>
                <w:bCs/>
                <w:iCs/>
              </w:rPr>
            </w:pPr>
            <w:r>
              <w:rPr>
                <w:bCs/>
                <w:iCs/>
              </w:rPr>
              <w:t>Declaração Ambiental e Social</w:t>
            </w:r>
          </w:p>
        </w:tc>
        <w:tc>
          <w:tcPr>
            <w:tcW w:w="812" w:type="pct"/>
          </w:tcPr>
          <w:p w14:paraId="0259F9E3">
            <w:pPr>
              <w:rPr>
                <w:bCs/>
                <w:iCs/>
              </w:rPr>
            </w:pPr>
            <w:r>
              <w:rPr>
                <w:bCs/>
                <w:iCs/>
              </w:rPr>
              <w:t>Deve atender ao requisito</w:t>
            </w:r>
          </w:p>
        </w:tc>
        <w:tc>
          <w:tcPr>
            <w:tcW w:w="360" w:type="pct"/>
          </w:tcPr>
          <w:p w14:paraId="21CF534C">
            <w:pPr>
              <w:rPr>
                <w:bCs/>
                <w:iCs/>
              </w:rPr>
            </w:pPr>
            <w:r>
              <w:rPr>
                <w:bCs/>
                <w:iCs/>
              </w:rPr>
              <w:t>N.A</w:t>
            </w:r>
          </w:p>
        </w:tc>
        <w:tc>
          <w:tcPr>
            <w:tcW w:w="314" w:type="pct"/>
          </w:tcPr>
          <w:p w14:paraId="6775500D">
            <w:pPr>
              <w:rPr>
                <w:bCs/>
                <w:iCs/>
              </w:rPr>
            </w:pPr>
            <w:r>
              <w:rPr>
                <w:bCs/>
                <w:iCs/>
              </w:rPr>
              <w:t>N.A</w:t>
            </w:r>
          </w:p>
        </w:tc>
        <w:tc>
          <w:tcPr>
            <w:tcW w:w="717" w:type="pct"/>
            <w:gridSpan w:val="2"/>
          </w:tcPr>
          <w:p w14:paraId="66A46795">
            <w:pPr>
              <w:rPr>
                <w:bCs/>
                <w:iCs/>
              </w:rPr>
            </w:pPr>
            <w:r>
              <w:rPr>
                <w:bCs/>
                <w:iCs/>
              </w:rPr>
              <w:t>Modelo 10 da Seção 4</w:t>
            </w:r>
          </w:p>
        </w:tc>
      </w:tr>
      <w:tr w14:paraId="7663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5F1AA922">
            <w:pPr>
              <w:rPr>
                <w:iCs/>
              </w:rPr>
            </w:pPr>
            <w:r>
              <w:rPr>
                <w:iCs/>
              </w:rPr>
              <w:t>6.3</w:t>
            </w:r>
          </w:p>
        </w:tc>
        <w:tc>
          <w:tcPr>
            <w:tcW w:w="2568" w:type="pct"/>
            <w:gridSpan w:val="3"/>
          </w:tcPr>
          <w:p w14:paraId="7F801157">
            <w:pPr>
              <w:rPr>
                <w:bCs/>
                <w:iCs/>
              </w:rPr>
            </w:pPr>
            <w:r>
              <w:rPr>
                <w:bCs/>
                <w:iCs/>
              </w:rPr>
              <w:t>Declaração de Integridade</w:t>
            </w:r>
          </w:p>
        </w:tc>
        <w:tc>
          <w:tcPr>
            <w:tcW w:w="812" w:type="pct"/>
          </w:tcPr>
          <w:p w14:paraId="7EC191FF">
            <w:pPr>
              <w:rPr>
                <w:bCs/>
                <w:iCs/>
              </w:rPr>
            </w:pPr>
            <w:r>
              <w:rPr>
                <w:bCs/>
                <w:iCs/>
              </w:rPr>
              <w:t>Deve atender ao requisito</w:t>
            </w:r>
          </w:p>
        </w:tc>
        <w:tc>
          <w:tcPr>
            <w:tcW w:w="360" w:type="pct"/>
          </w:tcPr>
          <w:p w14:paraId="5DF8F71A">
            <w:pPr>
              <w:rPr>
                <w:bCs/>
                <w:iCs/>
              </w:rPr>
            </w:pPr>
            <w:r>
              <w:rPr>
                <w:bCs/>
                <w:iCs/>
              </w:rPr>
              <w:t>N.A</w:t>
            </w:r>
          </w:p>
        </w:tc>
        <w:tc>
          <w:tcPr>
            <w:tcW w:w="314" w:type="pct"/>
          </w:tcPr>
          <w:p w14:paraId="529E2F99">
            <w:pPr>
              <w:rPr>
                <w:bCs/>
                <w:iCs/>
              </w:rPr>
            </w:pPr>
            <w:r>
              <w:rPr>
                <w:bCs/>
                <w:iCs/>
              </w:rPr>
              <w:t>N.A</w:t>
            </w:r>
          </w:p>
        </w:tc>
        <w:tc>
          <w:tcPr>
            <w:tcW w:w="717" w:type="pct"/>
            <w:gridSpan w:val="2"/>
          </w:tcPr>
          <w:p w14:paraId="7712B1DD">
            <w:pPr>
              <w:rPr>
                <w:bCs/>
                <w:iCs/>
              </w:rPr>
            </w:pPr>
            <w:r>
              <w:rPr>
                <w:bCs/>
                <w:iCs/>
              </w:rPr>
              <w:t>Modelo 11 da Seção 4</w:t>
            </w:r>
          </w:p>
        </w:tc>
      </w:tr>
      <w:tr w14:paraId="697B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7E29FC62">
            <w:pPr>
              <w:rPr>
                <w:iCs/>
              </w:rPr>
            </w:pPr>
            <w:r>
              <w:rPr>
                <w:iCs/>
              </w:rPr>
              <w:t>6.4</w:t>
            </w:r>
          </w:p>
        </w:tc>
        <w:tc>
          <w:tcPr>
            <w:tcW w:w="2568" w:type="pct"/>
            <w:gridSpan w:val="3"/>
          </w:tcPr>
          <w:p w14:paraId="5E54A618">
            <w:pPr>
              <w:rPr>
                <w:bCs/>
                <w:iCs/>
              </w:rPr>
            </w:pPr>
            <w:r>
              <w:rPr>
                <w:bCs/>
                <w:iCs/>
              </w:rPr>
              <w:t>Declaração de Beneficiário Efetivo ou Final</w:t>
            </w:r>
          </w:p>
        </w:tc>
        <w:tc>
          <w:tcPr>
            <w:tcW w:w="812" w:type="pct"/>
          </w:tcPr>
          <w:p w14:paraId="530498D6">
            <w:pPr>
              <w:rPr>
                <w:bCs/>
                <w:iCs/>
              </w:rPr>
            </w:pPr>
            <w:r>
              <w:rPr>
                <w:bCs/>
                <w:iCs/>
              </w:rPr>
              <w:t>Deve atender ao requisito</w:t>
            </w:r>
          </w:p>
        </w:tc>
        <w:tc>
          <w:tcPr>
            <w:tcW w:w="360" w:type="pct"/>
          </w:tcPr>
          <w:p w14:paraId="20E98077">
            <w:pPr>
              <w:rPr>
                <w:bCs/>
                <w:iCs/>
              </w:rPr>
            </w:pPr>
            <w:r>
              <w:rPr>
                <w:bCs/>
                <w:iCs/>
              </w:rPr>
              <w:t>N.A</w:t>
            </w:r>
          </w:p>
        </w:tc>
        <w:tc>
          <w:tcPr>
            <w:tcW w:w="314" w:type="pct"/>
          </w:tcPr>
          <w:p w14:paraId="525CD767">
            <w:pPr>
              <w:rPr>
                <w:bCs/>
                <w:iCs/>
              </w:rPr>
            </w:pPr>
            <w:r>
              <w:rPr>
                <w:bCs/>
                <w:iCs/>
              </w:rPr>
              <w:t>N.A</w:t>
            </w:r>
          </w:p>
        </w:tc>
        <w:tc>
          <w:tcPr>
            <w:tcW w:w="717" w:type="pct"/>
            <w:gridSpan w:val="2"/>
          </w:tcPr>
          <w:p w14:paraId="279A6140">
            <w:pPr>
              <w:rPr>
                <w:bCs/>
                <w:iCs/>
              </w:rPr>
            </w:pPr>
            <w:r>
              <w:rPr>
                <w:bCs/>
                <w:iCs/>
              </w:rPr>
              <w:t>Modelo 13 da Seção 4</w:t>
            </w:r>
          </w:p>
        </w:tc>
      </w:tr>
      <w:tr w14:paraId="3F3A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shd w:val="clear" w:color="auto" w:fill="F1F1F1" w:themeFill="background1" w:themeFillShade="F2"/>
          </w:tcPr>
          <w:p w14:paraId="55E4E38C">
            <w:pPr>
              <w:pStyle w:val="75"/>
            </w:pPr>
            <w:bookmarkStart w:id="150" w:name="_Toc174521785"/>
            <w:bookmarkStart w:id="151" w:name="_Toc168412208"/>
            <w:bookmarkStart w:id="152" w:name="_Toc157691597"/>
            <w:bookmarkStart w:id="153" w:name="_Toc151809254"/>
            <w:r>
              <w:t>7 Apresentação das Planilhas de Quantidades, Cronograma, Composição de Preços Unitários e BDI</w:t>
            </w:r>
            <w:bookmarkEnd w:id="150"/>
            <w:bookmarkEnd w:id="151"/>
            <w:bookmarkEnd w:id="152"/>
            <w:bookmarkEnd w:id="153"/>
          </w:p>
        </w:tc>
      </w:tr>
      <w:tr w14:paraId="60A9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6971EFF3">
            <w:pPr>
              <w:rPr>
                <w:iCs/>
              </w:rPr>
            </w:pPr>
            <w:r>
              <w:rPr>
                <w:iCs/>
              </w:rPr>
              <w:t>7.1</w:t>
            </w:r>
          </w:p>
        </w:tc>
        <w:tc>
          <w:tcPr>
            <w:tcW w:w="2568" w:type="pct"/>
            <w:gridSpan w:val="3"/>
          </w:tcPr>
          <w:p w14:paraId="270E8053">
            <w:pPr>
              <w:rPr>
                <w:bCs/>
                <w:iCs/>
              </w:rPr>
            </w:pPr>
            <w:r>
              <w:rPr>
                <w:bCs/>
                <w:iCs/>
              </w:rPr>
              <w:t>Quadro Resumo de Preços</w:t>
            </w:r>
          </w:p>
        </w:tc>
        <w:tc>
          <w:tcPr>
            <w:tcW w:w="812" w:type="pct"/>
          </w:tcPr>
          <w:p w14:paraId="5708A412">
            <w:pPr>
              <w:rPr>
                <w:bCs/>
                <w:iCs/>
              </w:rPr>
            </w:pPr>
            <w:r>
              <w:rPr>
                <w:bCs/>
                <w:iCs/>
              </w:rPr>
              <w:t>Deve atender ao requisito</w:t>
            </w:r>
          </w:p>
        </w:tc>
        <w:tc>
          <w:tcPr>
            <w:tcW w:w="360" w:type="pct"/>
          </w:tcPr>
          <w:p w14:paraId="27419E56">
            <w:pPr>
              <w:rPr>
                <w:bCs/>
                <w:iCs/>
              </w:rPr>
            </w:pPr>
            <w:r>
              <w:rPr>
                <w:bCs/>
                <w:iCs/>
              </w:rPr>
              <w:t>N.A</w:t>
            </w:r>
          </w:p>
        </w:tc>
        <w:tc>
          <w:tcPr>
            <w:tcW w:w="314" w:type="pct"/>
          </w:tcPr>
          <w:p w14:paraId="6116F4DC">
            <w:pPr>
              <w:rPr>
                <w:bCs/>
                <w:iCs/>
              </w:rPr>
            </w:pPr>
            <w:r>
              <w:rPr>
                <w:bCs/>
                <w:iCs/>
              </w:rPr>
              <w:t>N.A</w:t>
            </w:r>
          </w:p>
        </w:tc>
        <w:tc>
          <w:tcPr>
            <w:tcW w:w="717" w:type="pct"/>
            <w:gridSpan w:val="2"/>
          </w:tcPr>
          <w:p w14:paraId="6262EDC5">
            <w:pPr>
              <w:rPr>
                <w:bCs/>
                <w:iCs/>
              </w:rPr>
            </w:pPr>
            <w:r>
              <w:rPr>
                <w:bCs/>
                <w:iCs/>
              </w:rPr>
              <w:t>Modelo 15 da Seção 4</w:t>
            </w:r>
          </w:p>
        </w:tc>
      </w:tr>
      <w:tr w14:paraId="782A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76DB5EC5">
            <w:pPr>
              <w:rPr>
                <w:iCs/>
              </w:rPr>
            </w:pPr>
            <w:r>
              <w:rPr>
                <w:iCs/>
              </w:rPr>
              <w:t>7.2</w:t>
            </w:r>
          </w:p>
        </w:tc>
        <w:tc>
          <w:tcPr>
            <w:tcW w:w="2568" w:type="pct"/>
            <w:gridSpan w:val="3"/>
          </w:tcPr>
          <w:p w14:paraId="15339B06">
            <w:pPr>
              <w:rPr>
                <w:bCs/>
                <w:iCs/>
              </w:rPr>
            </w:pPr>
            <w:r>
              <w:rPr>
                <w:bCs/>
                <w:iCs/>
              </w:rPr>
              <w:t>Planilha de Quantidades</w:t>
            </w:r>
          </w:p>
        </w:tc>
        <w:tc>
          <w:tcPr>
            <w:tcW w:w="812" w:type="pct"/>
          </w:tcPr>
          <w:p w14:paraId="326AD044">
            <w:pPr>
              <w:rPr>
                <w:bCs/>
                <w:iCs/>
              </w:rPr>
            </w:pPr>
            <w:r>
              <w:rPr>
                <w:bCs/>
                <w:iCs/>
              </w:rPr>
              <w:t>Deve atender ao requisito</w:t>
            </w:r>
          </w:p>
        </w:tc>
        <w:tc>
          <w:tcPr>
            <w:tcW w:w="360" w:type="pct"/>
          </w:tcPr>
          <w:p w14:paraId="580A07AC">
            <w:pPr>
              <w:rPr>
                <w:bCs/>
                <w:iCs/>
              </w:rPr>
            </w:pPr>
            <w:r>
              <w:rPr>
                <w:bCs/>
                <w:iCs/>
              </w:rPr>
              <w:t>N.A</w:t>
            </w:r>
          </w:p>
        </w:tc>
        <w:tc>
          <w:tcPr>
            <w:tcW w:w="314" w:type="pct"/>
          </w:tcPr>
          <w:p w14:paraId="062352A8">
            <w:pPr>
              <w:rPr>
                <w:bCs/>
                <w:iCs/>
              </w:rPr>
            </w:pPr>
            <w:r>
              <w:rPr>
                <w:bCs/>
                <w:iCs/>
              </w:rPr>
              <w:t>N.A</w:t>
            </w:r>
          </w:p>
        </w:tc>
        <w:tc>
          <w:tcPr>
            <w:tcW w:w="717" w:type="pct"/>
            <w:gridSpan w:val="2"/>
          </w:tcPr>
          <w:p w14:paraId="6F6CB260">
            <w:pPr>
              <w:rPr>
                <w:bCs/>
                <w:iCs/>
              </w:rPr>
            </w:pPr>
            <w:r>
              <w:rPr>
                <w:bCs/>
                <w:iCs/>
              </w:rPr>
              <w:t>Modelo 16 da Seção 4</w:t>
            </w:r>
          </w:p>
        </w:tc>
      </w:tr>
      <w:tr w14:paraId="7804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225" w:type="pct"/>
          </w:tcPr>
          <w:p w14:paraId="2F2560DA">
            <w:pPr>
              <w:rPr>
                <w:iCs/>
              </w:rPr>
            </w:pPr>
            <w:r>
              <w:rPr>
                <w:iCs/>
              </w:rPr>
              <w:t>7.3</w:t>
            </w:r>
          </w:p>
        </w:tc>
        <w:tc>
          <w:tcPr>
            <w:tcW w:w="2568" w:type="pct"/>
            <w:gridSpan w:val="3"/>
          </w:tcPr>
          <w:p w14:paraId="1B588A78">
            <w:pPr>
              <w:rPr>
                <w:bCs/>
                <w:iCs/>
              </w:rPr>
            </w:pPr>
            <w:r>
              <w:rPr>
                <w:bCs/>
                <w:iCs/>
              </w:rPr>
              <w:t>Cronograma de Atividades (Físico-Financeiro)</w:t>
            </w:r>
          </w:p>
        </w:tc>
        <w:tc>
          <w:tcPr>
            <w:tcW w:w="812" w:type="pct"/>
          </w:tcPr>
          <w:p w14:paraId="644ED19E">
            <w:pPr>
              <w:rPr>
                <w:bCs/>
                <w:iCs/>
              </w:rPr>
            </w:pPr>
            <w:r>
              <w:rPr>
                <w:bCs/>
                <w:iCs/>
              </w:rPr>
              <w:t>Deve atender ao requisito</w:t>
            </w:r>
          </w:p>
        </w:tc>
        <w:tc>
          <w:tcPr>
            <w:tcW w:w="360" w:type="pct"/>
          </w:tcPr>
          <w:p w14:paraId="4C5BBA62">
            <w:pPr>
              <w:rPr>
                <w:bCs/>
                <w:iCs/>
              </w:rPr>
            </w:pPr>
            <w:r>
              <w:rPr>
                <w:bCs/>
                <w:iCs/>
              </w:rPr>
              <w:t>N.A</w:t>
            </w:r>
          </w:p>
        </w:tc>
        <w:tc>
          <w:tcPr>
            <w:tcW w:w="314" w:type="pct"/>
          </w:tcPr>
          <w:p w14:paraId="5277B105">
            <w:pPr>
              <w:rPr>
                <w:bCs/>
                <w:iCs/>
              </w:rPr>
            </w:pPr>
            <w:r>
              <w:rPr>
                <w:bCs/>
                <w:iCs/>
              </w:rPr>
              <w:t>N.A</w:t>
            </w:r>
          </w:p>
        </w:tc>
        <w:tc>
          <w:tcPr>
            <w:tcW w:w="717" w:type="pct"/>
            <w:gridSpan w:val="2"/>
          </w:tcPr>
          <w:p w14:paraId="69A68FD9">
            <w:pPr>
              <w:rPr>
                <w:bCs/>
                <w:iCs/>
              </w:rPr>
            </w:pPr>
            <w:r>
              <w:rPr>
                <w:bCs/>
                <w:iCs/>
              </w:rPr>
              <w:t>Modelo 17 da Seção 4</w:t>
            </w:r>
          </w:p>
        </w:tc>
      </w:tr>
      <w:tr w14:paraId="3ACB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6D5E540B">
            <w:pPr>
              <w:rPr>
                <w:iCs/>
              </w:rPr>
            </w:pPr>
            <w:r>
              <w:rPr>
                <w:iCs/>
              </w:rPr>
              <w:t>7.4</w:t>
            </w:r>
          </w:p>
        </w:tc>
        <w:tc>
          <w:tcPr>
            <w:tcW w:w="2568" w:type="pct"/>
            <w:gridSpan w:val="3"/>
          </w:tcPr>
          <w:p w14:paraId="1D59AA33">
            <w:pPr>
              <w:rPr>
                <w:bCs/>
                <w:iCs/>
              </w:rPr>
            </w:pPr>
            <w:r>
              <w:rPr>
                <w:bCs/>
                <w:iCs/>
              </w:rPr>
              <w:t>Quadro Demonstrativo de Composição do BDI</w:t>
            </w:r>
          </w:p>
        </w:tc>
        <w:tc>
          <w:tcPr>
            <w:tcW w:w="812" w:type="pct"/>
          </w:tcPr>
          <w:p w14:paraId="172023CF">
            <w:pPr>
              <w:rPr>
                <w:bCs/>
                <w:iCs/>
              </w:rPr>
            </w:pPr>
            <w:r>
              <w:rPr>
                <w:bCs/>
                <w:iCs/>
              </w:rPr>
              <w:t>Deve atender ao requisito</w:t>
            </w:r>
          </w:p>
        </w:tc>
        <w:tc>
          <w:tcPr>
            <w:tcW w:w="360" w:type="pct"/>
          </w:tcPr>
          <w:p w14:paraId="328471B9">
            <w:pPr>
              <w:rPr>
                <w:bCs/>
                <w:iCs/>
              </w:rPr>
            </w:pPr>
            <w:r>
              <w:rPr>
                <w:bCs/>
                <w:iCs/>
              </w:rPr>
              <w:t>N.A</w:t>
            </w:r>
          </w:p>
        </w:tc>
        <w:tc>
          <w:tcPr>
            <w:tcW w:w="314" w:type="pct"/>
          </w:tcPr>
          <w:p w14:paraId="6DBC2C4F">
            <w:pPr>
              <w:rPr>
                <w:bCs/>
                <w:iCs/>
              </w:rPr>
            </w:pPr>
            <w:r>
              <w:rPr>
                <w:bCs/>
                <w:iCs/>
              </w:rPr>
              <w:t>N.A</w:t>
            </w:r>
          </w:p>
        </w:tc>
        <w:tc>
          <w:tcPr>
            <w:tcW w:w="717" w:type="pct"/>
            <w:gridSpan w:val="2"/>
          </w:tcPr>
          <w:p w14:paraId="15941DC2">
            <w:pPr>
              <w:rPr>
                <w:bCs/>
                <w:iCs/>
              </w:rPr>
            </w:pPr>
            <w:r>
              <w:rPr>
                <w:bCs/>
                <w:iCs/>
              </w:rPr>
              <w:t>Modelo 19 da Seção 4</w:t>
            </w:r>
          </w:p>
        </w:tc>
      </w:tr>
      <w:tr w14:paraId="69DA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9"/>
            <w:shd w:val="clear" w:color="auto" w:fill="F1F1F1" w:themeFill="background1" w:themeFillShade="F2"/>
          </w:tcPr>
          <w:p w14:paraId="4417CA7E">
            <w:pPr>
              <w:spacing w:before="60" w:after="60"/>
              <w:rPr>
                <w:rFonts w:hint="default"/>
                <w:b/>
                <w:bCs/>
                <w:color w:val="auto"/>
                <w:lang w:val="pt-BR"/>
              </w:rPr>
            </w:pPr>
            <w:bookmarkStart w:id="154" w:name="_Toc157691598"/>
            <w:bookmarkStart w:id="155" w:name="_Toc168412209"/>
            <w:bookmarkStart w:id="156" w:name="_Toc151809255"/>
            <w:r>
              <w:rPr>
                <w:b/>
                <w:bCs/>
                <w:color w:val="auto"/>
              </w:rPr>
              <w:t>8 Apresentação de Garantias</w:t>
            </w:r>
            <w:bookmarkEnd w:id="154"/>
            <w:bookmarkEnd w:id="155"/>
            <w:bookmarkEnd w:id="156"/>
            <w:r>
              <w:rPr>
                <w:rFonts w:hint="default"/>
                <w:b/>
                <w:bCs/>
                <w:color w:val="auto"/>
                <w:lang w:val="pt-BR"/>
              </w:rPr>
              <w:t xml:space="preserve"> (Execução e Adicional)</w:t>
            </w:r>
          </w:p>
        </w:tc>
      </w:tr>
      <w:tr w14:paraId="0063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0AA3E1A1">
            <w:pPr>
              <w:rPr>
                <w:iCs/>
                <w:color w:val="auto"/>
              </w:rPr>
            </w:pPr>
            <w:r>
              <w:rPr>
                <w:iCs/>
                <w:color w:val="auto"/>
              </w:rPr>
              <w:t>8.1</w:t>
            </w:r>
          </w:p>
        </w:tc>
        <w:tc>
          <w:tcPr>
            <w:tcW w:w="2568" w:type="pct"/>
            <w:gridSpan w:val="3"/>
          </w:tcPr>
          <w:p w14:paraId="2F2DEB46">
            <w:pPr>
              <w:rPr>
                <w:rFonts w:hint="default"/>
                <w:bCs/>
                <w:iCs/>
                <w:color w:val="auto"/>
              </w:rPr>
            </w:pPr>
            <w:r>
              <w:rPr>
                <w:rFonts w:hint="default"/>
                <w:bCs/>
                <w:iCs/>
                <w:color w:val="auto"/>
              </w:rPr>
              <w:t>Garantia de Execução</w:t>
            </w:r>
          </w:p>
          <w:p w14:paraId="14962BEB">
            <w:pPr>
              <w:keepNext w:val="0"/>
              <w:keepLines w:val="0"/>
              <w:pageBreakBefore w:val="0"/>
              <w:widowControl/>
              <w:numPr>
                <w:ilvl w:val="0"/>
                <w:numId w:val="30"/>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Trata-se de obra a ser contratada, com valor estimado em R$ 1.536.157,26 (um milhão, quinhentos e trinta e seis mil, cento e cinquenta e sete reais e vinte e seis centavos), diante disso, com fulcro no artigo 96 e seguintes da Lei Federal n.° 14.133/2021 fixa-se o valor da garantia de execução no montante de 5% (cinco por cento) do valor inicial do contrato, que será prestada em uma das modalidades previstas a seguir.</w:t>
            </w:r>
          </w:p>
          <w:p w14:paraId="620F4B24">
            <w:pPr>
              <w:keepNext w:val="0"/>
              <w:keepLines w:val="0"/>
              <w:pageBreakBefore w:val="0"/>
              <w:widowControl/>
              <w:numPr>
                <w:ilvl w:val="0"/>
                <w:numId w:val="30"/>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A exigência de garantia de execução é medida justificada e relevante que visa proteger a administração pública e os interesses da comunidade contra o risco de atrasos, inadimplência ou má qualidade na execução do contrato. Ela visa assegurar que a empresa contratada cumpra todas as obrigações contratuais, incluindo prazos e padrões de qualidade, bem como visa mitigar os riscos causados por eventual inexecução contratual, dentre outros.</w:t>
            </w:r>
          </w:p>
          <w:p w14:paraId="10FBFB84">
            <w:pPr>
              <w:keepNext w:val="0"/>
              <w:keepLines w:val="0"/>
              <w:pageBreakBefore w:val="0"/>
              <w:widowControl/>
              <w:numPr>
                <w:ilvl w:val="0"/>
                <w:numId w:val="30"/>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A Contratante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3B3D2542">
            <w:pPr>
              <w:keepNext w:val="0"/>
              <w:keepLines w:val="0"/>
              <w:pageBreakBefore w:val="0"/>
              <w:widowControl/>
              <w:numPr>
                <w:ilvl w:val="0"/>
                <w:numId w:val="30"/>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Em caso de extinção do contrato decorrente de falta imputável Contratada, a garantia reverterá integralmente ao Contratante, que promoverá a cobrança de eventual diferença que venha a ser apurada entre o importe da garantia prestada e o débito verificado.</w:t>
            </w:r>
          </w:p>
        </w:tc>
        <w:tc>
          <w:tcPr>
            <w:tcW w:w="812" w:type="pct"/>
          </w:tcPr>
          <w:p w14:paraId="6B6F30E5">
            <w:pPr>
              <w:rPr>
                <w:bCs/>
                <w:iCs/>
                <w:color w:val="auto"/>
              </w:rPr>
            </w:pPr>
            <w:r>
              <w:rPr>
                <w:bCs/>
                <w:iCs/>
                <w:color w:val="auto"/>
              </w:rPr>
              <w:t>Deve atender ao requisito</w:t>
            </w:r>
          </w:p>
        </w:tc>
        <w:tc>
          <w:tcPr>
            <w:tcW w:w="360" w:type="pct"/>
          </w:tcPr>
          <w:p w14:paraId="4D08C906">
            <w:pPr>
              <w:rPr>
                <w:bCs/>
                <w:iCs/>
                <w:color w:val="auto"/>
              </w:rPr>
            </w:pPr>
            <w:r>
              <w:rPr>
                <w:bCs/>
                <w:iCs/>
                <w:color w:val="auto"/>
              </w:rPr>
              <w:t>N.A</w:t>
            </w:r>
          </w:p>
        </w:tc>
        <w:tc>
          <w:tcPr>
            <w:tcW w:w="314" w:type="pct"/>
          </w:tcPr>
          <w:p w14:paraId="3AE3F60E">
            <w:pPr>
              <w:rPr>
                <w:bCs/>
                <w:iCs/>
                <w:color w:val="auto"/>
              </w:rPr>
            </w:pPr>
            <w:r>
              <w:rPr>
                <w:bCs/>
                <w:iCs/>
                <w:color w:val="auto"/>
              </w:rPr>
              <w:t>N.A</w:t>
            </w:r>
          </w:p>
        </w:tc>
        <w:tc>
          <w:tcPr>
            <w:tcW w:w="717" w:type="pct"/>
            <w:gridSpan w:val="2"/>
          </w:tcPr>
          <w:p w14:paraId="561C0D87">
            <w:pPr>
              <w:rPr>
                <w:bCs/>
                <w:iCs/>
                <w:color w:val="auto"/>
              </w:rPr>
            </w:pPr>
          </w:p>
        </w:tc>
      </w:tr>
      <w:tr w14:paraId="1050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05F66DC4">
            <w:pPr>
              <w:rPr>
                <w:rFonts w:hint="default"/>
                <w:iCs/>
                <w:color w:val="auto"/>
                <w:lang w:val="pt-BR"/>
              </w:rPr>
            </w:pPr>
            <w:bookmarkStart w:id="157" w:name="_Toc157691599"/>
            <w:bookmarkStart w:id="158" w:name="_Toc151809256"/>
            <w:bookmarkStart w:id="159" w:name="_Toc168412210"/>
            <w:r>
              <w:rPr>
                <w:rFonts w:hint="default"/>
                <w:iCs/>
                <w:color w:val="auto"/>
                <w:lang w:val="pt-BR"/>
              </w:rPr>
              <w:t>8.2</w:t>
            </w:r>
          </w:p>
        </w:tc>
        <w:tc>
          <w:tcPr>
            <w:tcW w:w="2568" w:type="pct"/>
            <w:gridSpan w:val="3"/>
          </w:tcPr>
          <w:p w14:paraId="396CB977">
            <w:pPr>
              <w:keepNext w:val="0"/>
              <w:keepLines w:val="0"/>
              <w:pageBreakBefore w:val="0"/>
              <w:widowControl/>
              <w:numPr>
                <w:ilvl w:val="0"/>
                <w:numId w:val="0"/>
              </w:numPr>
              <w:kinsoku/>
              <w:wordWrap/>
              <w:overflowPunct/>
              <w:topLinePunct w:val="0"/>
              <w:autoSpaceDE/>
              <w:autoSpaceDN/>
              <w:bidi w:val="0"/>
              <w:adjustRightInd/>
              <w:snapToGrid/>
              <w:spacing w:before="0" w:beforeLines="0" w:after="181" w:afterLines="50" w:line="240" w:lineRule="auto"/>
              <w:ind w:right="0" w:rightChars="0"/>
              <w:jc w:val="both"/>
              <w:textAlignment w:val="auto"/>
              <w:outlineLvl w:val="9"/>
              <w:rPr>
                <w:rFonts w:hint="default"/>
                <w:bCs/>
                <w:iCs/>
                <w:color w:val="auto"/>
              </w:rPr>
            </w:pPr>
            <w:r>
              <w:rPr>
                <w:rFonts w:hint="default"/>
                <w:bCs/>
                <w:iCs/>
                <w:color w:val="auto"/>
              </w:rPr>
              <w:t>Garantia Adicional.</w:t>
            </w:r>
          </w:p>
          <w:p w14:paraId="4F5A72C6">
            <w:pPr>
              <w:keepNext w:val="0"/>
              <w:keepLines w:val="0"/>
              <w:pageBreakBefore w:val="0"/>
              <w:widowControl/>
              <w:numPr>
                <w:ilvl w:val="0"/>
                <w:numId w:val="31"/>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A Contratada prestará, no prazo máximo de 10 (dez) dias úteis após assinatura do contrato, garantia adicional da execução plena do objeto e fiel cumprimento dos termos do Contrato, no valor referente à diferença entre o valor constante no valor de referência estipulado pela Administração e o valor de sua Proposta de Preços, observadas as condições estabelecidas no edital;</w:t>
            </w:r>
          </w:p>
          <w:p w14:paraId="6B71C0E5">
            <w:pPr>
              <w:keepNext w:val="0"/>
              <w:keepLines w:val="0"/>
              <w:pageBreakBefore w:val="0"/>
              <w:widowControl/>
              <w:numPr>
                <w:ilvl w:val="0"/>
                <w:numId w:val="31"/>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A Contratada poderá prestar a Garantia Adicional nas mesmas modalidades e regras constantes previstas a seguir</w:t>
            </w:r>
          </w:p>
        </w:tc>
        <w:tc>
          <w:tcPr>
            <w:tcW w:w="812" w:type="pct"/>
          </w:tcPr>
          <w:p w14:paraId="79777132">
            <w:pPr>
              <w:rPr>
                <w:bCs/>
                <w:iCs/>
                <w:color w:val="auto"/>
              </w:rPr>
            </w:pPr>
          </w:p>
        </w:tc>
        <w:tc>
          <w:tcPr>
            <w:tcW w:w="360" w:type="pct"/>
          </w:tcPr>
          <w:p w14:paraId="457FA92F">
            <w:pPr>
              <w:rPr>
                <w:bCs/>
                <w:iCs/>
                <w:color w:val="auto"/>
              </w:rPr>
            </w:pPr>
          </w:p>
        </w:tc>
        <w:tc>
          <w:tcPr>
            <w:tcW w:w="314" w:type="pct"/>
          </w:tcPr>
          <w:p w14:paraId="151B972C">
            <w:pPr>
              <w:rPr>
                <w:bCs/>
                <w:iCs/>
                <w:color w:val="auto"/>
              </w:rPr>
            </w:pPr>
          </w:p>
        </w:tc>
        <w:tc>
          <w:tcPr>
            <w:tcW w:w="717" w:type="pct"/>
            <w:gridSpan w:val="2"/>
          </w:tcPr>
          <w:p w14:paraId="267C8BFA">
            <w:pPr>
              <w:rPr>
                <w:bCs/>
                <w:iCs/>
                <w:color w:val="auto"/>
              </w:rPr>
            </w:pPr>
          </w:p>
        </w:tc>
      </w:tr>
      <w:tr w14:paraId="08C62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2FEB1F49">
            <w:pPr>
              <w:rPr>
                <w:rFonts w:hint="default"/>
                <w:iCs/>
                <w:color w:val="auto"/>
                <w:lang w:val="pt-BR"/>
              </w:rPr>
            </w:pPr>
            <w:r>
              <w:rPr>
                <w:rFonts w:hint="default"/>
                <w:iCs/>
                <w:color w:val="auto"/>
                <w:lang w:val="pt-BR"/>
              </w:rPr>
              <w:t>8.3</w:t>
            </w:r>
          </w:p>
        </w:tc>
        <w:tc>
          <w:tcPr>
            <w:tcW w:w="2568" w:type="pct"/>
            <w:gridSpan w:val="3"/>
          </w:tcPr>
          <w:p w14:paraId="205633A1">
            <w:pPr>
              <w:rPr>
                <w:rFonts w:hint="default"/>
                <w:bCs/>
                <w:iCs/>
                <w:color w:val="auto"/>
              </w:rPr>
            </w:pPr>
            <w:r>
              <w:rPr>
                <w:rFonts w:hint="default" w:ascii="Times New Roman" w:hAnsi="Times New Roman"/>
                <w:bCs/>
                <w:iCs/>
                <w:color w:val="auto"/>
              </w:rPr>
              <w:t xml:space="preserve">Modalidades </w:t>
            </w:r>
            <w:r>
              <w:rPr>
                <w:rFonts w:hint="default"/>
                <w:bCs/>
                <w:iCs/>
                <w:color w:val="auto"/>
              </w:rPr>
              <w:t>de Garantia.</w:t>
            </w:r>
          </w:p>
          <w:p w14:paraId="0DEA696F">
            <w:pPr>
              <w:keepNext w:val="0"/>
              <w:keepLines w:val="0"/>
              <w:pageBreakBefore w:val="0"/>
              <w:widowControl/>
              <w:numPr>
                <w:ilvl w:val="0"/>
                <w:numId w:val="32"/>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Caso seja utilizada garantia modalidade de Caução em Dinheiro (art. 96, § 1º, I, 1ª parte, da Lei Federal n.° 14.133/2021):</w:t>
            </w:r>
          </w:p>
          <w:p w14:paraId="478EA71D">
            <w:pPr>
              <w:keepNext w:val="0"/>
              <w:keepLines w:val="0"/>
              <w:pageBreakBefore w:val="0"/>
              <w:widowControl/>
              <w:numPr>
                <w:ilvl w:val="0"/>
                <w:numId w:val="3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 [órgão ou entidade], o que ocorrer por último, sob pena de rescisão administrativa do Contrato;</w:t>
            </w:r>
          </w:p>
          <w:p w14:paraId="79BD7C0A">
            <w:pPr>
              <w:keepNext w:val="0"/>
              <w:keepLines w:val="0"/>
              <w:pageBreakBefore w:val="0"/>
              <w:widowControl/>
              <w:numPr>
                <w:ilvl w:val="0"/>
                <w:numId w:val="33"/>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p>
          <w:p w14:paraId="1F19E391">
            <w:pPr>
              <w:keepNext w:val="0"/>
              <w:keepLines w:val="0"/>
              <w:pageBreakBefore w:val="0"/>
              <w:widowControl/>
              <w:numPr>
                <w:ilvl w:val="0"/>
                <w:numId w:val="32"/>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Caso seja utilizada garantia na modalidade de Seguro–Garantia (art. 96, § 1º, II, da Lei Federal n.° 14.133/2021):</w:t>
            </w:r>
          </w:p>
          <w:p w14:paraId="6AF43ED4">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apólice deverá ter vigência idêntica ao prazo do contrato, acrescido de 90 (noventa)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14:paraId="2B7459A1">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apólice deverá conter disposição expressa de obrigatoriedade de a seguradora informar ao Contratante e à Contratada, em até 30 (trinta) dias antes do prazo final da validade, se a apólice será ou não renovada;</w:t>
            </w:r>
          </w:p>
          <w:p w14:paraId="3F6C89EC">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0C180DCA">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As apólices emitidas não poderão conter obrigações, restrições ou disposições que contrariem as disposições do presente Contrato e deverão conter declaração expressa da companhia seguradora, da qual conste que conhece integralmente este contrato;</w:t>
            </w:r>
          </w:p>
          <w:p w14:paraId="42527C43">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Contratada encaminhará ao Contratante cópia autenticada das apólices de seguro, antes da assinatura do contrato;</w:t>
            </w:r>
          </w:p>
          <w:p w14:paraId="7FFB44B8">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apólice deverá ser emitida por seguradora autorizada a funcionar no Brasil pela SUSEP – Superintendência de Seguros Privados, – fato que deverá ser atestado mediante apresentação, junto com a apólice, da Certidão de Regularidade expedida pela SUSEP;</w:t>
            </w:r>
          </w:p>
          <w:p w14:paraId="3C7FAA45">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p>
          <w:p w14:paraId="27E4BB78">
            <w:pPr>
              <w:keepNext w:val="0"/>
              <w:keepLines w:val="0"/>
              <w:pageBreakBefore w:val="0"/>
              <w:widowControl/>
              <w:numPr>
                <w:ilvl w:val="0"/>
                <w:numId w:val="34"/>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Caso a convocada para assinar o contrato opte por realizar a caução da garantia de execução, a mesma será concedido o prazo de 35 (trinta e cinco) dias para prestação da referida garantia. Esse prazo será contado da data da homologação da licitação até a data assinatura do contrato</w:t>
            </w:r>
          </w:p>
          <w:p w14:paraId="35A6A148">
            <w:pPr>
              <w:keepNext w:val="0"/>
              <w:keepLines w:val="0"/>
              <w:pageBreakBefore w:val="0"/>
              <w:widowControl/>
              <w:numPr>
                <w:ilvl w:val="0"/>
                <w:numId w:val="32"/>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Caso seja utilizada a garantia na modalidade Fiança–Bancária (art. 96, § 1º, III, da Lei Federal n.° 14.133/2021):</w:t>
            </w:r>
          </w:p>
          <w:p w14:paraId="04DBB2F6">
            <w:pPr>
              <w:keepNext w:val="0"/>
              <w:keepLines w:val="0"/>
              <w:pageBreakBefore w:val="0"/>
              <w:widowControl/>
              <w:numPr>
                <w:ilvl w:val="0"/>
                <w:numId w:val="35"/>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fiança bancária formalizar–se–á através de carta de fiança fornecida por instituição financeira devidamente autorizada a operar no país pelo Banco Central do Brasil;</w:t>
            </w:r>
          </w:p>
          <w:p w14:paraId="4D5B5865">
            <w:pPr>
              <w:keepNext w:val="0"/>
              <w:keepLines w:val="0"/>
              <w:pageBreakBefore w:val="0"/>
              <w:widowControl/>
              <w:numPr>
                <w:ilvl w:val="0"/>
                <w:numId w:val="35"/>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fiança bancária será apresentada com firma devidamente reconhecida em cartório, exceto no caso de documento emitido por via digital, cuja autenticidade pode ser aferida junto aos certificadores digitais devida e legalmente autorizados;</w:t>
            </w:r>
          </w:p>
          <w:p w14:paraId="74F3A210">
            <w:pPr>
              <w:keepNext w:val="0"/>
              <w:keepLines w:val="0"/>
              <w:pageBreakBefore w:val="0"/>
              <w:widowControl/>
              <w:numPr>
                <w:ilvl w:val="0"/>
                <w:numId w:val="35"/>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fiança bancária deverá ter prazo de validade correspondente ao período de vigência deste contrato, acrescido de 90 (noventa) dias para apuração de eventual inadimplemento da Contratada — ocorrido durante a vigência contratual — e para a comunicação do inadimplemento à instituição financeira;</w:t>
            </w:r>
          </w:p>
          <w:p w14:paraId="6FACD835">
            <w:pPr>
              <w:keepNext w:val="0"/>
              <w:keepLines w:val="0"/>
              <w:pageBreakBefore w:val="0"/>
              <w:widowControl/>
              <w:numPr>
                <w:ilvl w:val="0"/>
                <w:numId w:val="35"/>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No instrumento de fiança bancária constará renúncia expressa do fiador ao beneficio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438C1F46">
            <w:pPr>
              <w:keepNext w:val="0"/>
              <w:keepLines w:val="0"/>
              <w:pageBreakBefore w:val="0"/>
              <w:widowControl/>
              <w:numPr>
                <w:ilvl w:val="0"/>
                <w:numId w:val="35"/>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r>
              <w:rPr>
                <w:rFonts w:hint="default"/>
                <w:bCs/>
                <w:iCs/>
                <w:color w:val="auto"/>
                <w:lang w:val="pt-BR"/>
              </w:rPr>
              <w:t>.</w:t>
            </w:r>
          </w:p>
          <w:p w14:paraId="3E0658B6">
            <w:pPr>
              <w:keepNext w:val="0"/>
              <w:keepLines w:val="0"/>
              <w:pageBreakBefore w:val="0"/>
              <w:widowControl/>
              <w:numPr>
                <w:ilvl w:val="0"/>
                <w:numId w:val="32"/>
              </w:numPr>
              <w:tabs>
                <w:tab w:val="clear" w:pos="425"/>
              </w:tabs>
              <w:kinsoku/>
              <w:wordWrap/>
              <w:overflowPunct/>
              <w:topLinePunct w:val="0"/>
              <w:autoSpaceDE/>
              <w:autoSpaceDN/>
              <w:bidi w:val="0"/>
              <w:adjustRightInd/>
              <w:snapToGrid/>
              <w:spacing w:before="0" w:beforeLines="0" w:after="181" w:afterLines="50" w:line="240" w:lineRule="auto"/>
              <w:ind w:left="440" w:leftChars="0" w:right="0" w:rightChars="0" w:hanging="440" w:hangingChars="200"/>
              <w:jc w:val="both"/>
              <w:textAlignment w:val="auto"/>
              <w:outlineLvl w:val="9"/>
              <w:rPr>
                <w:rFonts w:hint="default"/>
                <w:bCs/>
                <w:iCs/>
                <w:color w:val="auto"/>
              </w:rPr>
            </w:pPr>
            <w:r>
              <w:rPr>
                <w:rFonts w:hint="default"/>
                <w:bCs/>
                <w:iCs/>
                <w:color w:val="auto"/>
              </w:rPr>
              <w:t>Caso seja utilizada garantia modalidade Caução Títulos Públicos (art. 96, § 1º, I, 2ª parte, da Lei Federal n.° 14.133/2021):</w:t>
            </w:r>
          </w:p>
          <w:p w14:paraId="53887099">
            <w:pPr>
              <w:keepNext w:val="0"/>
              <w:keepLines w:val="0"/>
              <w:pageBreakBefore w:val="0"/>
              <w:widowControl/>
              <w:numPr>
                <w:ilvl w:val="0"/>
                <w:numId w:val="36"/>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 xml:space="preserve">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1EAE462F">
            <w:pPr>
              <w:keepNext w:val="0"/>
              <w:keepLines w:val="0"/>
              <w:pageBreakBefore w:val="0"/>
              <w:widowControl/>
              <w:numPr>
                <w:ilvl w:val="0"/>
                <w:numId w:val="36"/>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p>
          <w:p w14:paraId="16DB639F">
            <w:pPr>
              <w:keepNext w:val="0"/>
              <w:keepLines w:val="0"/>
              <w:pageBreakBefore w:val="0"/>
              <w:widowControl/>
              <w:numPr>
                <w:ilvl w:val="0"/>
                <w:numId w:val="36"/>
              </w:numPr>
              <w:tabs>
                <w:tab w:val="clear" w:pos="425"/>
              </w:tabs>
              <w:kinsoku/>
              <w:wordWrap/>
              <w:overflowPunct/>
              <w:topLinePunct w:val="0"/>
              <w:autoSpaceDE/>
              <w:autoSpaceDN/>
              <w:bidi w:val="0"/>
              <w:adjustRightInd/>
              <w:snapToGrid/>
              <w:spacing w:before="0" w:beforeLines="0" w:after="181" w:afterLines="50" w:line="240" w:lineRule="auto"/>
              <w:ind w:left="880" w:leftChars="200" w:right="0" w:rightChars="0" w:hanging="440" w:hangingChars="200"/>
              <w:jc w:val="both"/>
              <w:textAlignment w:val="auto"/>
              <w:rPr>
                <w:rFonts w:hint="default"/>
                <w:bCs/>
                <w:iCs/>
                <w:color w:val="auto"/>
              </w:rPr>
            </w:pPr>
            <w:r>
              <w:rPr>
                <w:rFonts w:hint="default"/>
                <w:bCs/>
                <w:iCs/>
                <w:color w:val="auto"/>
              </w:rPr>
              <w:t>A garantia contratual só será liberada ou restituída com o integral cumprimento do Contrato, mediante ato liberatório da autoridade contratante.</w:t>
            </w:r>
          </w:p>
          <w:p w14:paraId="1DCDCCBF">
            <w:pPr>
              <w:keepNext w:val="0"/>
              <w:keepLines w:val="0"/>
              <w:pageBreakBefore w:val="0"/>
              <w:widowControl/>
              <w:numPr>
                <w:ilvl w:val="0"/>
                <w:numId w:val="0"/>
              </w:numPr>
              <w:kinsoku/>
              <w:wordWrap/>
              <w:overflowPunct/>
              <w:topLinePunct w:val="0"/>
              <w:autoSpaceDE/>
              <w:autoSpaceDN/>
              <w:bidi w:val="0"/>
              <w:adjustRightInd/>
              <w:snapToGrid/>
              <w:spacing w:before="0" w:beforeLines="0" w:after="181" w:afterLines="50" w:line="240" w:lineRule="auto"/>
              <w:ind w:left="440" w:leftChars="0" w:right="0" w:rightChars="0"/>
              <w:jc w:val="both"/>
              <w:textAlignment w:val="auto"/>
              <w:rPr>
                <w:rFonts w:hint="default"/>
                <w:bCs/>
                <w:iCs/>
                <w:color w:val="auto"/>
              </w:rPr>
            </w:pPr>
            <w:r>
              <w:rPr>
                <w:rFonts w:hint="default"/>
                <w:bCs/>
                <w:iCs/>
                <w:color w:val="auto"/>
              </w:rPr>
              <w:t>A garantia contratual só será liberada ou restituída com o integral cumprimento do Contrato, mediante ato liberatório da autoridade contratante, de acordo com o art. 465 do RGCAF e, quando em dinheiro, atualizada monetariamente.</w:t>
            </w:r>
          </w:p>
        </w:tc>
        <w:tc>
          <w:tcPr>
            <w:tcW w:w="812" w:type="pct"/>
          </w:tcPr>
          <w:p w14:paraId="1C7C814A">
            <w:pPr>
              <w:rPr>
                <w:bCs/>
                <w:iCs/>
                <w:color w:val="auto"/>
              </w:rPr>
            </w:pPr>
          </w:p>
        </w:tc>
        <w:tc>
          <w:tcPr>
            <w:tcW w:w="360" w:type="pct"/>
          </w:tcPr>
          <w:p w14:paraId="04599F8B">
            <w:pPr>
              <w:rPr>
                <w:bCs/>
                <w:iCs/>
                <w:color w:val="auto"/>
              </w:rPr>
            </w:pPr>
          </w:p>
        </w:tc>
        <w:tc>
          <w:tcPr>
            <w:tcW w:w="314" w:type="pct"/>
          </w:tcPr>
          <w:p w14:paraId="136BC767">
            <w:pPr>
              <w:rPr>
                <w:bCs/>
                <w:iCs/>
                <w:color w:val="auto"/>
              </w:rPr>
            </w:pPr>
          </w:p>
        </w:tc>
        <w:tc>
          <w:tcPr>
            <w:tcW w:w="717" w:type="pct"/>
            <w:gridSpan w:val="2"/>
          </w:tcPr>
          <w:p w14:paraId="691AB219">
            <w:pPr>
              <w:rPr>
                <w:bCs/>
                <w:iCs/>
                <w:color w:val="auto"/>
              </w:rPr>
            </w:pPr>
          </w:p>
        </w:tc>
      </w:tr>
      <w:tr w14:paraId="7F80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tcPr>
          <w:p w14:paraId="024DFA5C">
            <w:pPr>
              <w:rPr>
                <w:rFonts w:hint="default"/>
                <w:iCs/>
                <w:lang w:val="pt-BR"/>
              </w:rPr>
            </w:pPr>
            <w:r>
              <w:rPr>
                <w:rFonts w:hint="default"/>
                <w:iCs/>
                <w:lang w:val="pt-BR"/>
              </w:rPr>
              <w:t>8.4</w:t>
            </w:r>
          </w:p>
        </w:tc>
        <w:tc>
          <w:tcPr>
            <w:tcW w:w="2568" w:type="pct"/>
            <w:gridSpan w:val="3"/>
          </w:tcPr>
          <w:p w14:paraId="2656740A">
            <w:pPr>
              <w:rPr>
                <w:bCs/>
                <w:iCs/>
              </w:rPr>
            </w:pPr>
            <w:r>
              <w:rPr>
                <w:rFonts w:hint="default"/>
                <w:bCs/>
                <w:iCs/>
              </w:rPr>
              <w:t>Declaração de Manutenção de Proposta</w:t>
            </w:r>
          </w:p>
        </w:tc>
        <w:tc>
          <w:tcPr>
            <w:tcW w:w="812" w:type="pct"/>
          </w:tcPr>
          <w:p w14:paraId="6A5C8041">
            <w:pPr>
              <w:rPr>
                <w:bCs/>
                <w:iCs/>
              </w:rPr>
            </w:pPr>
            <w:r>
              <w:rPr>
                <w:rFonts w:hint="default"/>
                <w:bCs/>
                <w:iCs/>
              </w:rPr>
              <w:t>Deve atender ao requisito</w:t>
            </w:r>
          </w:p>
        </w:tc>
        <w:tc>
          <w:tcPr>
            <w:tcW w:w="360" w:type="pct"/>
          </w:tcPr>
          <w:p w14:paraId="11591AEE">
            <w:pPr>
              <w:rPr>
                <w:bCs/>
                <w:iCs/>
              </w:rPr>
            </w:pPr>
          </w:p>
        </w:tc>
        <w:tc>
          <w:tcPr>
            <w:tcW w:w="314" w:type="pct"/>
          </w:tcPr>
          <w:p w14:paraId="2183F391">
            <w:pPr>
              <w:rPr>
                <w:bCs/>
                <w:iCs/>
              </w:rPr>
            </w:pPr>
          </w:p>
        </w:tc>
        <w:tc>
          <w:tcPr>
            <w:tcW w:w="717" w:type="pct"/>
            <w:gridSpan w:val="2"/>
          </w:tcPr>
          <w:p w14:paraId="611EE006">
            <w:pPr>
              <w:rPr>
                <w:bCs/>
                <w:iCs/>
              </w:rPr>
            </w:pPr>
            <w:r>
              <w:rPr>
                <w:rFonts w:hint="default"/>
                <w:bCs/>
                <w:iCs/>
              </w:rPr>
              <w:t>Modelo 10 da Seção 4</w:t>
            </w:r>
          </w:p>
        </w:tc>
      </w:tr>
      <w:bookmarkEnd w:id="157"/>
      <w:bookmarkEnd w:id="158"/>
      <w:bookmarkEnd w:id="159"/>
    </w:tbl>
    <w:p w14:paraId="77ECEC1B">
      <w:pPr>
        <w:sectPr>
          <w:pgSz w:w="16838" w:h="11906" w:orient="landscape"/>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044F3825">
      <w:pPr>
        <w:pStyle w:val="87"/>
      </w:pPr>
      <w:bookmarkStart w:id="160" w:name="_Toc174536839"/>
      <w:r>
        <w:t>SEÇÃO 4 - FORMULÁRIOS DA PROPOSTA</w:t>
      </w:r>
      <w:bookmarkEnd w:id="160"/>
    </w:p>
    <w:p w14:paraId="7BC97220">
      <w:pPr>
        <w:jc w:val="center"/>
        <w:rPr>
          <w:b/>
          <w:bCs/>
        </w:rPr>
      </w:pPr>
      <w:r>
        <w:rPr>
          <w:b/>
          <w:bCs/>
        </w:rPr>
        <w:t>CONTEÚDO</w:t>
      </w:r>
      <w:r>
        <w:fldChar w:fldCharType="begin"/>
      </w:r>
      <w:r>
        <w:instrText xml:space="preserve"> TOC \h \z \t "TITULO22;1" </w:instrText>
      </w:r>
      <w:r>
        <w:fldChar w:fldCharType="separate"/>
      </w:r>
      <w:r>
        <w:fldChar w:fldCharType="begin"/>
      </w:r>
      <w:r>
        <w:instrText xml:space="preserve"> HYPERLINK \l "_Toc174537329" </w:instrText>
      </w:r>
      <w:r>
        <w:fldChar w:fldCharType="separate"/>
      </w:r>
      <w:r>
        <w:fldChar w:fldCharType="end"/>
      </w:r>
    </w:p>
    <w:p w14:paraId="2DBAE066">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"_Toc174537332" </w:instrText>
      </w:r>
      <w:r>
        <w:fldChar w:fldCharType="separate"/>
      </w:r>
      <w:r>
        <w:rPr>
          <w:rStyle w:val="16"/>
        </w:rPr>
        <w:t>MODELO 4 - CARTA DE APRESENTAÇÃO DA PROPOSTA</w:t>
      </w:r>
      <w:r>
        <w:tab/>
      </w:r>
      <w:r>
        <w:fldChar w:fldCharType="begin"/>
      </w:r>
      <w:r>
        <w:instrText xml:space="preserve"> PAGEREF _Toc174537332 \h </w:instrText>
      </w:r>
      <w:r>
        <w:fldChar w:fldCharType="separate"/>
      </w:r>
      <w:r>
        <w:t>61</w:t>
      </w:r>
      <w:r>
        <w:fldChar w:fldCharType="end"/>
      </w:r>
      <w:r>
        <w:fldChar w:fldCharType="end"/>
      </w:r>
    </w:p>
    <w:p w14:paraId="480AFB78">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"_Toc174537333" </w:instrText>
      </w:r>
      <w:r>
        <w:fldChar w:fldCharType="separate"/>
      </w:r>
      <w:r>
        <w:rPr>
          <w:rStyle w:val="16"/>
        </w:rPr>
        <w:t>MODELO 5 - RELAÇÃO DE CONTRATOS EXECUTADOS</w:t>
      </w:r>
      <w:r>
        <w:tab/>
      </w:r>
      <w:r>
        <w:fldChar w:fldCharType="begin"/>
      </w:r>
      <w:r>
        <w:instrText xml:space="preserve"> PAGEREF _Toc174537333 \h </w:instrText>
      </w:r>
      <w:r>
        <w:fldChar w:fldCharType="separate"/>
      </w:r>
      <w:r>
        <w:t>64</w:t>
      </w:r>
      <w:r>
        <w:fldChar w:fldCharType="end"/>
      </w:r>
      <w:r>
        <w:fldChar w:fldCharType="end"/>
      </w:r>
    </w:p>
    <w:p w14:paraId="3290C61F">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"_Toc174537334" </w:instrText>
      </w:r>
      <w:r>
        <w:fldChar w:fldCharType="separate"/>
      </w:r>
      <w:r>
        <w:rPr>
          <w:rStyle w:val="16"/>
        </w:rPr>
        <w:t>MODELO 6 -</w:t>
      </w:r>
      <w:r>
        <w:rPr>
          <w:rStyle w:val="16"/>
          <w:rFonts w:hint="default"/>
          <w:lang w:val="pt-BR"/>
        </w:rPr>
        <w:t xml:space="preserve"> </w:t>
      </w:r>
      <w:r>
        <w:rPr>
          <w:rStyle w:val="16"/>
        </w:rPr>
        <w:t>RELAÇÃO DE SERVIÇOS EXECUTADOS PELOS PROFISSIONAIS DA EQUIPE CHAVE</w:t>
      </w:r>
      <w:r>
        <w:tab/>
      </w:r>
      <w:r>
        <w:fldChar w:fldCharType="begin"/>
      </w:r>
      <w:r>
        <w:instrText xml:space="preserve"> PAGEREF _Toc174537334 \h </w:instrText>
      </w:r>
      <w:r>
        <w:fldChar w:fldCharType="separate"/>
      </w:r>
      <w:r>
        <w:t>66</w:t>
      </w:r>
      <w:r>
        <w:fldChar w:fldCharType="end"/>
      </w:r>
      <w:r>
        <w:fldChar w:fldCharType="end"/>
      </w:r>
    </w:p>
    <w:p w14:paraId="1A915BA2">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"_Toc174537335" </w:instrText>
      </w:r>
      <w:r>
        <w:fldChar w:fldCharType="separate"/>
      </w:r>
      <w:r>
        <w:rPr>
          <w:rStyle w:val="16"/>
        </w:rPr>
        <w:t>MODELO 7 – RELAÇÃO E VINCULAÇÃO DA EQUIPE CHAVE</w:t>
      </w:r>
      <w:r>
        <w:tab/>
      </w:r>
      <w:r>
        <w:fldChar w:fldCharType="begin"/>
      </w:r>
      <w:r>
        <w:instrText xml:space="preserve"> PAGEREF _Toc174537335 \h </w:instrText>
      </w:r>
      <w:r>
        <w:fldChar w:fldCharType="separate"/>
      </w:r>
      <w:r>
        <w:t>67</w:t>
      </w:r>
      <w:r>
        <w:fldChar w:fldCharType="end"/>
      </w:r>
      <w:r>
        <w:fldChar w:fldCharType="end"/>
      </w:r>
    </w:p>
    <w:p w14:paraId="66E82AF7">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"_Toc174537337" </w:instrText>
      </w:r>
      <w:r>
        <w:fldChar w:fldCharType="separate"/>
      </w:r>
      <w:r>
        <w:rPr>
          <w:rStyle w:val="16"/>
        </w:rPr>
        <w:t>MODELO 9 - DECLARAÇÃO DE ENTREGA FUTURA DOS PLANOS DE TRABALHO, DE GARANTIA DO CONTROLE DE QUALIDADE DAS OBRAS E DO ATENDIMENTO ÀS EXIGÊNCIAS DAS ESPECIFICAÇÕES TÉCNICAS</w:t>
      </w:r>
      <w:r>
        <w:tab/>
      </w:r>
      <w:r>
        <w:fldChar w:fldCharType="begin"/>
      </w:r>
      <w:r>
        <w:instrText xml:space="preserve"> PAGEREF _Toc174537337 \h </w:instrText>
      </w:r>
      <w:r>
        <w:fldChar w:fldCharType="separate"/>
      </w:r>
      <w:r>
        <w:t>68</w:t>
      </w:r>
      <w:r>
        <w:fldChar w:fldCharType="end"/>
      </w:r>
      <w:r>
        <w:fldChar w:fldCharType="end"/>
      </w:r>
    </w:p>
    <w:p w14:paraId="4C814DFE">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"_Toc174537338" </w:instrText>
      </w:r>
      <w:r>
        <w:fldChar w:fldCharType="separate"/>
      </w:r>
      <w:r>
        <w:rPr>
          <w:rStyle w:val="16"/>
        </w:rPr>
        <w:t>MODELO 10 - DECLARAÇÃO AMBIENTAL E SOCIAL</w:t>
      </w:r>
      <w:r>
        <w:tab/>
      </w:r>
      <w:r>
        <w:fldChar w:fldCharType="begin"/>
      </w:r>
      <w:r>
        <w:instrText xml:space="preserve"> PAGEREF _Toc174537338 \h </w:instrText>
      </w:r>
      <w:r>
        <w:fldChar w:fldCharType="separate"/>
      </w:r>
      <w:r>
        <w:t>70</w:t>
      </w:r>
      <w:r>
        <w:fldChar w:fldCharType="end"/>
      </w:r>
      <w:r>
        <w:fldChar w:fldCharType="end"/>
      </w:r>
    </w:p>
    <w:p w14:paraId="6DB27D7C">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"_Toc174537339" </w:instrText>
      </w:r>
      <w:r>
        <w:fldChar w:fldCharType="separate"/>
      </w:r>
      <w:r>
        <w:rPr>
          <w:rStyle w:val="16"/>
        </w:rPr>
        <w:t>MODELO 11 - DECLARAÇÃO DE INTEGRIDADE</w:t>
      </w:r>
      <w:r>
        <w:tab/>
      </w:r>
      <w:r>
        <w:fldChar w:fldCharType="begin"/>
      </w:r>
      <w:r>
        <w:instrText xml:space="preserve"> PAGEREF _Toc174537339 \h </w:instrText>
      </w:r>
      <w:r>
        <w:fldChar w:fldCharType="separate"/>
      </w:r>
      <w:r>
        <w:t>73</w:t>
      </w:r>
      <w:r>
        <w:fldChar w:fldCharType="end"/>
      </w:r>
      <w:r>
        <w:fldChar w:fldCharType="end"/>
      </w:r>
    </w:p>
    <w:p w14:paraId="649DF900">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"_Toc174537340" </w:instrText>
      </w:r>
      <w:r>
        <w:fldChar w:fldCharType="separate"/>
      </w:r>
      <w:r>
        <w:rPr>
          <w:rStyle w:val="16"/>
        </w:rPr>
        <w:t>MODELO 12 - DECLARAÇÃO SOBRE TRABALHO DE MENOR</w:t>
      </w:r>
      <w:r>
        <w:tab/>
      </w:r>
      <w:r>
        <w:fldChar w:fldCharType="begin"/>
      </w:r>
      <w:r>
        <w:instrText xml:space="preserve"> PAGEREF _Toc174537340 \h </w:instrText>
      </w:r>
      <w:r>
        <w:fldChar w:fldCharType="separate"/>
      </w:r>
      <w:r>
        <w:t>75</w:t>
      </w:r>
      <w:r>
        <w:fldChar w:fldCharType="end"/>
      </w:r>
      <w:r>
        <w:fldChar w:fldCharType="end"/>
      </w:r>
    </w:p>
    <w:p w14:paraId="18FC8C1B">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"_Toc174537341" </w:instrText>
      </w:r>
      <w:r>
        <w:fldChar w:fldCharType="separate"/>
      </w:r>
      <w:r>
        <w:rPr>
          <w:rStyle w:val="16"/>
        </w:rPr>
        <w:t>MODELO 13 - DECLARAÇÃO DE BENEFICIÁRIO EFETIVO OU FINAL</w:t>
      </w:r>
      <w:r>
        <w:tab/>
      </w:r>
      <w:r>
        <w:fldChar w:fldCharType="begin"/>
      </w:r>
      <w:r>
        <w:instrText xml:space="preserve"> PAGEREF _Toc174537341 \h </w:instrText>
      </w:r>
      <w:r>
        <w:fldChar w:fldCharType="separate"/>
      </w:r>
      <w:r>
        <w:t>76</w:t>
      </w:r>
      <w:r>
        <w:fldChar w:fldCharType="end"/>
      </w:r>
      <w:r>
        <w:fldChar w:fldCharType="end"/>
      </w:r>
    </w:p>
    <w:p w14:paraId="7861DEC0">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"_Toc174537343" </w:instrText>
      </w:r>
      <w:r>
        <w:fldChar w:fldCharType="separate"/>
      </w:r>
      <w:r>
        <w:rPr>
          <w:rStyle w:val="16"/>
        </w:rPr>
        <w:t>MODELO 15 - QUADRO RESUMO DE PREÇOS</w:t>
      </w:r>
      <w:r>
        <w:tab/>
      </w:r>
      <w:r>
        <w:fldChar w:fldCharType="begin"/>
      </w:r>
      <w:r>
        <w:instrText xml:space="preserve"> PAGEREF _Toc174537343 \h </w:instrText>
      </w:r>
      <w:r>
        <w:fldChar w:fldCharType="separate"/>
      </w:r>
      <w:r>
        <w:t>77</w:t>
      </w:r>
      <w:r>
        <w:fldChar w:fldCharType="end"/>
      </w:r>
      <w:r>
        <w:fldChar w:fldCharType="end"/>
      </w:r>
    </w:p>
    <w:p w14:paraId="37FA683E">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"_Toc174537344" </w:instrText>
      </w:r>
      <w:r>
        <w:fldChar w:fldCharType="separate"/>
      </w:r>
      <w:r>
        <w:rPr>
          <w:rStyle w:val="16"/>
        </w:rPr>
        <w:t>MODELO 16 - PLANILHA DE QUANTIDADES</w:t>
      </w:r>
      <w:r>
        <w:tab/>
      </w:r>
      <w:r>
        <w:fldChar w:fldCharType="begin"/>
      </w:r>
      <w:r>
        <w:instrText xml:space="preserve"> PAGEREF _Toc174537344 \h </w:instrText>
      </w:r>
      <w:r>
        <w:fldChar w:fldCharType="separate"/>
      </w:r>
      <w:r>
        <w:t>78</w:t>
      </w:r>
      <w:r>
        <w:fldChar w:fldCharType="end"/>
      </w:r>
      <w:r>
        <w:fldChar w:fldCharType="end"/>
      </w:r>
    </w:p>
    <w:p w14:paraId="078D1D7F">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"_Toc174537345" </w:instrText>
      </w:r>
      <w:r>
        <w:fldChar w:fldCharType="separate"/>
      </w:r>
      <w:r>
        <w:rPr>
          <w:rStyle w:val="16"/>
        </w:rPr>
        <w:t>MODELO 17 - CRONOGRAMA DE ATIVIDADES (FÍSICO-FINANCEIRO)</w:t>
      </w:r>
      <w:r>
        <w:tab/>
      </w:r>
      <w:r>
        <w:fldChar w:fldCharType="begin"/>
      </w:r>
      <w:r>
        <w:instrText xml:space="preserve"> PAGEREF _Toc174537345 \h </w:instrText>
      </w:r>
      <w:r>
        <w:fldChar w:fldCharType="separate"/>
      </w:r>
      <w:r>
        <w:t>79</w:t>
      </w:r>
      <w:r>
        <w:fldChar w:fldCharType="end"/>
      </w:r>
      <w:r>
        <w:fldChar w:fldCharType="end"/>
      </w:r>
    </w:p>
    <w:p w14:paraId="6D86F380">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"_Toc174537347" </w:instrText>
      </w:r>
      <w:r>
        <w:fldChar w:fldCharType="separate"/>
      </w:r>
      <w:r>
        <w:rPr>
          <w:rStyle w:val="16"/>
        </w:rPr>
        <w:t>MODELO 19 - QUADRO DEMONSTRATIVO DE COMPOSIÇÃO DO BDI</w:t>
      </w:r>
      <w:r>
        <w:tab/>
      </w:r>
      <w:r>
        <w:fldChar w:fldCharType="begin"/>
      </w:r>
      <w:r>
        <w:instrText xml:space="preserve"> PAGEREF _Toc174537347 \h </w:instrText>
      </w:r>
      <w:r>
        <w:fldChar w:fldCharType="separate"/>
      </w:r>
      <w:r>
        <w:t>81</w:t>
      </w:r>
      <w:r>
        <w:fldChar w:fldCharType="end"/>
      </w:r>
      <w:r>
        <w:fldChar w:fldCharType="end"/>
      </w:r>
    </w:p>
    <w:p w14:paraId="06881517">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"_Toc174537348" </w:instrText>
      </w:r>
      <w:r>
        <w:fldChar w:fldCharType="separate"/>
      </w:r>
      <w:r>
        <w:rPr>
          <w:rStyle w:val="16"/>
        </w:rPr>
        <w:t>MODELO 20 – DECLARAÇÃO DE MANUTENÇÃO DA PROPOSTA</w:t>
      </w:r>
      <w:r>
        <w:tab/>
      </w:r>
      <w:r>
        <w:fldChar w:fldCharType="begin"/>
      </w:r>
      <w:r>
        <w:instrText xml:space="preserve"> PAGEREF _Toc174537348 \h </w:instrText>
      </w:r>
      <w:r>
        <w:fldChar w:fldCharType="separate"/>
      </w:r>
      <w:r>
        <w:t>83</w:t>
      </w:r>
      <w:r>
        <w:fldChar w:fldCharType="end"/>
      </w:r>
      <w:r>
        <w:fldChar w:fldCharType="end"/>
      </w:r>
    </w:p>
    <w:p w14:paraId="25D16C31">
      <w:pPr>
        <w:jc w:val="center"/>
      </w:pPr>
      <w:r>
        <w:fldChar w:fldCharType="end"/>
      </w:r>
    </w:p>
    <w:p w14:paraId="49228858">
      <w:pPr>
        <w:jc w:val="center"/>
      </w:pPr>
      <w:r>
        <w:br w:type="page"/>
      </w:r>
    </w:p>
    <w:p w14:paraId="44546B94">
      <w:pPr>
        <w:pStyle w:val="73"/>
      </w:pPr>
      <w:bookmarkStart w:id="161" w:name="_Toc138934241"/>
      <w:bookmarkStart w:id="162" w:name="_Toc174537332"/>
      <w:bookmarkStart w:id="163" w:name="_Toc138499331"/>
      <w:bookmarkStart w:id="164" w:name="_Toc168229961"/>
      <w:bookmarkStart w:id="165" w:name="_Toc153208996"/>
      <w:r>
        <w:t>MODELO 4 - CARTA DE APRESENTAÇÃO DA PROPOSTA</w:t>
      </w:r>
      <w:bookmarkEnd w:id="161"/>
      <w:bookmarkEnd w:id="162"/>
      <w:bookmarkEnd w:id="163"/>
      <w:bookmarkEnd w:id="164"/>
      <w:bookmarkEnd w:id="165"/>
    </w:p>
    <w:p w14:paraId="24E77AD4">
      <w:pPr>
        <w:rPr>
          <w:bCs/>
          <w:i/>
          <w:iCs/>
          <w:sz w:val="20"/>
          <w:szCs w:val="20"/>
        </w:rPr>
      </w:pPr>
      <w:r>
        <w:rPr>
          <w:bCs/>
          <w:i/>
          <w:iCs/>
          <w:sz w:val="20"/>
          <w:szCs w:val="20"/>
        </w:rPr>
        <w:t>[O Concorrente preencherá este formulário de acordo com as instruções indicadas.]</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044"/>
        <w:gridCol w:w="2241"/>
        <w:gridCol w:w="2641"/>
      </w:tblGrid>
      <w:tr w14:paraId="2741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8926" w:type="dxa"/>
            <w:gridSpan w:val="3"/>
          </w:tcPr>
          <w:p w14:paraId="71929E4D">
            <w:pPr>
              <w:rPr>
                <w:b/>
                <w:bCs/>
                <w:iCs/>
                <w:sz w:val="20"/>
                <w:szCs w:val="20"/>
              </w:rPr>
            </w:pPr>
            <w:r>
              <w:rPr>
                <w:b/>
                <w:bCs/>
                <w:iCs/>
                <w:sz w:val="20"/>
                <w:szCs w:val="20"/>
              </w:rPr>
              <w:t xml:space="preserve">Concorrente: </w:t>
            </w:r>
            <w:r>
              <w:rPr>
                <w:b/>
                <w:bCs/>
                <w:i/>
                <w:iCs/>
                <w:sz w:val="20"/>
                <w:szCs w:val="20"/>
              </w:rPr>
              <w:t>[indicar]</w:t>
            </w:r>
          </w:p>
        </w:tc>
      </w:tr>
      <w:tr w14:paraId="5AE3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jc w:val="center"/>
        </w:trPr>
        <w:tc>
          <w:tcPr>
            <w:tcW w:w="4044" w:type="dxa"/>
          </w:tcPr>
          <w:p w14:paraId="4268BE08">
            <w:pPr>
              <w:rPr>
                <w:b/>
                <w:bCs/>
                <w:iCs/>
                <w:sz w:val="20"/>
                <w:szCs w:val="20"/>
              </w:rPr>
            </w:pPr>
            <w:r>
              <w:rPr>
                <w:b/>
                <w:bCs/>
                <w:sz w:val="20"/>
                <w:szCs w:val="20"/>
              </w:rPr>
              <w:t>Concorrência Eletrônica – LPN Nº: [indicar]</w:t>
            </w:r>
          </w:p>
        </w:tc>
        <w:tc>
          <w:tcPr>
            <w:tcW w:w="2241" w:type="dxa"/>
          </w:tcPr>
          <w:p w14:paraId="569CB9B3">
            <w:pPr>
              <w:rPr>
                <w:b/>
                <w:bCs/>
                <w:iCs/>
                <w:sz w:val="20"/>
                <w:szCs w:val="20"/>
              </w:rPr>
            </w:pPr>
            <w:r>
              <w:rPr>
                <w:b/>
                <w:bCs/>
                <w:iCs/>
                <w:sz w:val="20"/>
                <w:szCs w:val="20"/>
              </w:rPr>
              <w:t xml:space="preserve">Lote Nº: </w:t>
            </w:r>
            <w:r>
              <w:rPr>
                <w:b/>
                <w:bCs/>
                <w:i/>
                <w:iCs/>
                <w:sz w:val="20"/>
                <w:szCs w:val="20"/>
              </w:rPr>
              <w:t>[indicar]</w:t>
            </w:r>
          </w:p>
        </w:tc>
        <w:tc>
          <w:tcPr>
            <w:tcW w:w="2641" w:type="dxa"/>
          </w:tcPr>
          <w:p w14:paraId="4C5C6658">
            <w:pPr>
              <w:rPr>
                <w:b/>
                <w:bCs/>
                <w:iCs/>
                <w:sz w:val="20"/>
                <w:szCs w:val="20"/>
              </w:rPr>
            </w:pPr>
            <w:r>
              <w:rPr>
                <w:b/>
                <w:bCs/>
                <w:iCs/>
                <w:sz w:val="20"/>
                <w:szCs w:val="20"/>
              </w:rPr>
              <w:t xml:space="preserve">Página: </w:t>
            </w:r>
            <w:r>
              <w:rPr>
                <w:b/>
                <w:bCs/>
                <w:i/>
                <w:iCs/>
                <w:sz w:val="20"/>
                <w:szCs w:val="20"/>
              </w:rPr>
              <w:t>[indicar]</w:t>
            </w:r>
            <w:r>
              <w:rPr>
                <w:b/>
                <w:bCs/>
                <w:iCs/>
                <w:sz w:val="20"/>
                <w:szCs w:val="20"/>
              </w:rPr>
              <w:t xml:space="preserve"> de </w:t>
            </w:r>
            <w:r>
              <w:rPr>
                <w:b/>
                <w:bCs/>
                <w:i/>
                <w:iCs/>
                <w:sz w:val="20"/>
                <w:szCs w:val="20"/>
              </w:rPr>
              <w:t>[indicar]</w:t>
            </w:r>
          </w:p>
        </w:tc>
      </w:tr>
      <w:tr w14:paraId="1F81A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jc w:val="center"/>
        </w:trPr>
        <w:tc>
          <w:tcPr>
            <w:tcW w:w="8926" w:type="dxa"/>
            <w:gridSpan w:val="3"/>
          </w:tcPr>
          <w:p w14:paraId="1A3447D2">
            <w:pPr>
              <w:rPr>
                <w:b/>
                <w:bCs/>
                <w:iCs/>
                <w:sz w:val="20"/>
                <w:szCs w:val="20"/>
              </w:rPr>
            </w:pPr>
            <w:r>
              <w:rPr>
                <w:b/>
                <w:bCs/>
                <w:iCs/>
                <w:sz w:val="20"/>
                <w:szCs w:val="20"/>
              </w:rPr>
              <w:t>Obra: [indicar a Obra]</w:t>
            </w:r>
          </w:p>
        </w:tc>
      </w:tr>
    </w:tbl>
    <w:p w14:paraId="0002BBDE">
      <w:pPr>
        <w:rPr>
          <w:bCs/>
          <w:iCs/>
          <w:sz w:val="20"/>
          <w:szCs w:val="20"/>
        </w:rPr>
      </w:pPr>
    </w:p>
    <w:p w14:paraId="5371277F">
      <w:pPr>
        <w:rPr>
          <w:bCs/>
          <w:i/>
          <w:iCs/>
          <w:sz w:val="20"/>
          <w:szCs w:val="20"/>
        </w:rPr>
      </w:pPr>
      <w:r>
        <w:rPr>
          <w:bCs/>
          <w:iCs/>
          <w:sz w:val="20"/>
          <w:szCs w:val="20"/>
        </w:rPr>
        <w:t>Data</w:t>
      </w:r>
      <w:r>
        <w:rPr>
          <w:bCs/>
          <w:i/>
          <w:iCs/>
          <w:sz w:val="20"/>
          <w:szCs w:val="20"/>
        </w:rPr>
        <w:t>: [indicar]</w:t>
      </w:r>
    </w:p>
    <w:p w14:paraId="739A39FF">
      <w:pPr>
        <w:rPr>
          <w:bCs/>
          <w:i/>
          <w:iCs/>
          <w:sz w:val="20"/>
          <w:szCs w:val="20"/>
        </w:rPr>
      </w:pPr>
      <w:r>
        <w:rPr>
          <w:bCs/>
          <w:iCs/>
          <w:sz w:val="20"/>
          <w:szCs w:val="20"/>
        </w:rPr>
        <w:t xml:space="preserve">À: </w:t>
      </w:r>
      <w:r>
        <w:rPr>
          <w:bCs/>
          <w:i/>
          <w:iCs/>
          <w:sz w:val="20"/>
          <w:szCs w:val="20"/>
        </w:rPr>
        <w:t>[nome do Contratante]</w:t>
      </w:r>
    </w:p>
    <w:p w14:paraId="546D8B12">
      <w:pPr>
        <w:rPr>
          <w:bCs/>
          <w:i/>
          <w:iCs/>
          <w:sz w:val="20"/>
          <w:szCs w:val="20"/>
        </w:rPr>
      </w:pPr>
      <w:r>
        <w:rPr>
          <w:bCs/>
          <w:iCs/>
          <w:sz w:val="20"/>
          <w:szCs w:val="20"/>
        </w:rPr>
        <w:t xml:space="preserve">Endereço: </w:t>
      </w:r>
      <w:r>
        <w:rPr>
          <w:bCs/>
          <w:i/>
          <w:iCs/>
          <w:sz w:val="20"/>
          <w:szCs w:val="20"/>
        </w:rPr>
        <w:t>[indicar]</w:t>
      </w:r>
    </w:p>
    <w:p w14:paraId="66B0931F">
      <w:pPr>
        <w:rPr>
          <w:bCs/>
          <w:i/>
          <w:iCs/>
          <w:sz w:val="20"/>
          <w:szCs w:val="20"/>
        </w:rPr>
      </w:pPr>
      <w:r>
        <w:rPr>
          <w:bCs/>
          <w:iCs/>
          <w:sz w:val="20"/>
          <w:szCs w:val="20"/>
        </w:rPr>
        <w:t>Prezados Senhores,</w:t>
      </w:r>
    </w:p>
    <w:p w14:paraId="1AE5505A">
      <w:pPr>
        <w:jc w:val="both"/>
        <w:rPr>
          <w:bCs/>
          <w:iCs/>
          <w:sz w:val="20"/>
          <w:szCs w:val="20"/>
        </w:rPr>
      </w:pPr>
      <w:r>
        <w:rPr>
          <w:bCs/>
          <w:iCs/>
          <w:sz w:val="20"/>
          <w:szCs w:val="20"/>
        </w:rPr>
        <w:t xml:space="preserve">Tendo examinado as Condições de Contrato, Especificações, Desenhos, </w:t>
      </w:r>
      <w:r>
        <w:rPr>
          <w:iCs/>
          <w:sz w:val="20"/>
          <w:szCs w:val="20"/>
        </w:rPr>
        <w:t>Plantas,</w:t>
      </w:r>
      <w:r>
        <w:rPr>
          <w:bCs/>
          <w:iCs/>
          <w:sz w:val="20"/>
          <w:szCs w:val="20"/>
        </w:rPr>
        <w:t xml:space="preserve"> Planilhas de Quantidades e/ou Cronograma de Atividades (Físico-Financeiro) </w:t>
      </w:r>
      <w:r>
        <w:rPr>
          <w:bCs/>
          <w:i/>
          <w:iCs/>
          <w:sz w:val="20"/>
          <w:szCs w:val="20"/>
        </w:rPr>
        <w:t>[conforme indicado nos DDL]</w:t>
      </w:r>
      <w:r>
        <w:rPr>
          <w:bCs/>
          <w:iCs/>
          <w:sz w:val="20"/>
          <w:szCs w:val="20"/>
        </w:rPr>
        <w:t xml:space="preserve"> para a execução da mencionada Obra, conforme descrito nas IAC 1 da Seção 1), nós, abaixo assinados, propomos executar e concluir a referida Obra de acordo com as Condições de Contrato, Especificações, Desenhos, </w:t>
      </w:r>
      <w:r>
        <w:rPr>
          <w:iCs/>
          <w:sz w:val="20"/>
          <w:szCs w:val="20"/>
        </w:rPr>
        <w:t>Plantas</w:t>
      </w:r>
      <w:r>
        <w:rPr>
          <w:bCs/>
          <w:iCs/>
          <w:sz w:val="20"/>
          <w:szCs w:val="20"/>
        </w:rPr>
        <w:t xml:space="preserve"> e Planilhas de Quantidades ou Cronograma de Atividades (Físico-Financeiro) e os seguintes termos:</w:t>
      </w:r>
    </w:p>
    <w:p w14:paraId="187BB8EF">
      <w:pPr>
        <w:jc w:val="both"/>
        <w:rPr>
          <w:bCs/>
          <w:iCs/>
          <w:sz w:val="20"/>
          <w:szCs w:val="20"/>
        </w:rPr>
      </w:pPr>
      <w:r>
        <w:rPr>
          <w:bCs/>
          <w:iCs/>
          <w:sz w:val="20"/>
          <w:szCs w:val="20"/>
        </w:rPr>
        <w:t>Declaramos que:</w:t>
      </w:r>
    </w:p>
    <w:p w14:paraId="464048B5">
      <w:pPr>
        <w:jc w:val="both"/>
        <w:rPr>
          <w:iCs/>
          <w:sz w:val="20"/>
          <w:szCs w:val="20"/>
          <w:lang w:val="pt-PT"/>
        </w:rPr>
      </w:pPr>
      <w:bookmarkStart w:id="166" w:name="_Hlk139384253"/>
      <w:r>
        <w:rPr>
          <w:b/>
          <w:bCs/>
          <w:iCs/>
          <w:sz w:val="20"/>
          <w:szCs w:val="20"/>
          <w:lang w:val="pt-PT"/>
        </w:rPr>
        <w:t>1. Local de Execução das Obra</w:t>
      </w:r>
      <w:r>
        <w:rPr>
          <w:iCs/>
          <w:sz w:val="20"/>
          <w:szCs w:val="20"/>
          <w:lang w:val="pt-PT"/>
        </w:rPr>
        <w:t>: conhecemos as condições locais para execução das Obras e que temos pleno conhecimento das condições e peculiaridades inerentes à natureza do trabalho, assumindo total responsabilidade por este fato e que não utilizaremos deste para quaisquer questionamentos futuros que ensejem desavenças técnicas ou financeiras com o Contratante;</w:t>
      </w:r>
    </w:p>
    <w:bookmarkEnd w:id="166"/>
    <w:p w14:paraId="287748B2">
      <w:pPr>
        <w:jc w:val="both"/>
        <w:rPr>
          <w:iCs/>
          <w:sz w:val="20"/>
          <w:szCs w:val="20"/>
          <w:lang w:val="pt-PT"/>
        </w:rPr>
      </w:pPr>
      <w:r>
        <w:rPr>
          <w:b/>
          <w:bCs/>
          <w:iCs/>
          <w:sz w:val="20"/>
          <w:szCs w:val="20"/>
          <w:lang w:val="pt-PT"/>
        </w:rPr>
        <w:t>2. Proposta de Preços:</w:t>
      </w:r>
      <w:r>
        <w:rPr>
          <w:iCs/>
          <w:sz w:val="20"/>
          <w:szCs w:val="20"/>
          <w:lang w:val="pt-PT"/>
        </w:rPr>
        <w:t xml:space="preserve"> </w:t>
      </w:r>
      <w:bookmarkStart w:id="167" w:name="_Hlk139384708"/>
      <w:r>
        <w:rPr>
          <w:iCs/>
          <w:sz w:val="20"/>
          <w:szCs w:val="20"/>
          <w:lang w:val="pt-PT"/>
        </w:rPr>
        <w:t>a nossa proposta de preço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bookmarkEnd w:id="167"/>
      <w:r>
        <w:rPr>
          <w:iCs/>
          <w:sz w:val="20"/>
          <w:szCs w:val="20"/>
          <w:lang w:val="pt-PT"/>
        </w:rPr>
        <w:t>.</w:t>
      </w:r>
    </w:p>
    <w:p w14:paraId="0961D3CC">
      <w:pPr>
        <w:jc w:val="both"/>
        <w:rPr>
          <w:bCs/>
          <w:i/>
          <w:iCs/>
          <w:sz w:val="20"/>
          <w:szCs w:val="20"/>
        </w:rPr>
      </w:pPr>
      <w:r>
        <w:rPr>
          <w:b/>
          <w:bCs/>
          <w:iCs/>
          <w:sz w:val="20"/>
          <w:szCs w:val="20"/>
          <w:lang w:val="pt-PT"/>
        </w:rPr>
        <w:t>3</w:t>
      </w:r>
      <w:r>
        <w:rPr>
          <w:b/>
          <w:bCs/>
          <w:iCs/>
          <w:sz w:val="20"/>
          <w:szCs w:val="20"/>
        </w:rPr>
        <w:t>. Sem reservas</w:t>
      </w:r>
      <w:r>
        <w:rPr>
          <w:bCs/>
          <w:iCs/>
          <w:sz w:val="20"/>
          <w:szCs w:val="20"/>
        </w:rPr>
        <w:t>: Examinamos e não temos objeções alguma aos documentos de licitação, incluindo os adendos emitidos de acordo com as IAC 12;</w:t>
      </w:r>
    </w:p>
    <w:p w14:paraId="7859D476">
      <w:pPr>
        <w:jc w:val="both"/>
        <w:rPr>
          <w:bCs/>
          <w:i/>
          <w:iCs/>
          <w:sz w:val="20"/>
          <w:szCs w:val="20"/>
        </w:rPr>
      </w:pPr>
      <w:r>
        <w:rPr>
          <w:b/>
          <w:bCs/>
          <w:iCs/>
          <w:sz w:val="20"/>
          <w:szCs w:val="20"/>
          <w:lang w:val="pt-PT"/>
        </w:rPr>
        <w:t>4.</w:t>
      </w:r>
      <w:r>
        <w:rPr>
          <w:b/>
          <w:bCs/>
          <w:iCs/>
          <w:sz w:val="20"/>
          <w:szCs w:val="20"/>
        </w:rPr>
        <w:t xml:space="preserve"> Elegibilidade</w:t>
      </w:r>
      <w:r>
        <w:rPr>
          <w:bCs/>
          <w:iCs/>
          <w:sz w:val="20"/>
          <w:szCs w:val="20"/>
        </w:rPr>
        <w:t xml:space="preserve">: Cumprimos com os requisitos de elegibilidade e não temos nenhum conflito de interesses de acordo com as IAC 3.2; e nós, os abaixo assinados, temos nacionalidade de Países Elegíveis </w:t>
      </w:r>
      <w:r>
        <w:rPr>
          <w:bCs/>
          <w:i/>
          <w:iCs/>
          <w:sz w:val="20"/>
          <w:szCs w:val="20"/>
        </w:rPr>
        <w:t>[indicar a nacionalidade do Concorrente];</w:t>
      </w:r>
    </w:p>
    <w:p w14:paraId="7E9F5729">
      <w:pPr>
        <w:jc w:val="both"/>
        <w:rPr>
          <w:bCs/>
          <w:i/>
          <w:iCs/>
          <w:sz w:val="20"/>
          <w:szCs w:val="20"/>
        </w:rPr>
      </w:pPr>
      <w:r>
        <w:rPr>
          <w:b/>
          <w:bCs/>
          <w:iCs/>
          <w:sz w:val="20"/>
          <w:szCs w:val="20"/>
        </w:rPr>
        <w:t>5. Conformidade</w:t>
      </w:r>
      <w:r>
        <w:rPr>
          <w:bCs/>
          <w:iCs/>
          <w:sz w:val="20"/>
          <w:szCs w:val="20"/>
        </w:rPr>
        <w:t xml:space="preserve">: Oferecemos para executar as obras descritas a seguir em conformidade com o documento de licitação: </w:t>
      </w:r>
      <w:r>
        <w:rPr>
          <w:bCs/>
          <w:i/>
          <w:iCs/>
          <w:sz w:val="20"/>
          <w:szCs w:val="20"/>
        </w:rPr>
        <w:t>[inserir uma breve descrição das Obras]</w:t>
      </w:r>
      <w:r>
        <w:rPr>
          <w:bCs/>
          <w:iCs/>
          <w:sz w:val="20"/>
          <w:szCs w:val="20"/>
        </w:rPr>
        <w:t>;</w:t>
      </w:r>
    </w:p>
    <w:p w14:paraId="1495B7AA">
      <w:pPr>
        <w:jc w:val="both"/>
        <w:rPr>
          <w:iCs/>
          <w:sz w:val="20"/>
          <w:szCs w:val="20"/>
          <w:lang w:val="pt-PT"/>
        </w:rPr>
      </w:pPr>
      <w:r>
        <w:rPr>
          <w:b/>
          <w:bCs/>
          <w:iCs/>
          <w:sz w:val="20"/>
          <w:szCs w:val="20"/>
          <w:lang w:val="pt-PT"/>
        </w:rPr>
        <w:t xml:space="preserve">6. Cadastro: </w:t>
      </w:r>
      <w:r>
        <w:rPr>
          <w:iCs/>
          <w:sz w:val="20"/>
          <w:szCs w:val="20"/>
          <w:lang w:val="pt-PT"/>
        </w:rPr>
        <w:t xml:space="preserve">[estamos ou não estamos </w:t>
      </w:r>
      <w:r>
        <w:rPr>
          <w:i/>
          <w:sz w:val="20"/>
          <w:szCs w:val="20"/>
          <w:lang w:val="pt-PT"/>
        </w:rPr>
        <w:t>[indicar alternativa]</w:t>
      </w:r>
      <w:r>
        <w:rPr>
          <w:iCs/>
          <w:sz w:val="20"/>
          <w:szCs w:val="20"/>
          <w:lang w:val="pt-PT"/>
        </w:rPr>
        <w:t xml:space="preserve"> cadastrados junto ao Contratante e nosso(s) número(s) de CGC é (são): [indicar];</w:t>
      </w:r>
    </w:p>
    <w:p w14:paraId="24485D7F">
      <w:pPr>
        <w:jc w:val="both"/>
        <w:rPr>
          <w:bCs/>
          <w:iCs/>
          <w:sz w:val="20"/>
          <w:szCs w:val="20"/>
        </w:rPr>
      </w:pPr>
      <w:r>
        <w:rPr>
          <w:b/>
          <w:bCs/>
          <w:iCs/>
          <w:sz w:val="20"/>
          <w:szCs w:val="20"/>
          <w:lang w:val="pt-PT"/>
        </w:rPr>
        <w:t>7.</w:t>
      </w:r>
      <w:r>
        <w:rPr>
          <w:b/>
          <w:bCs/>
          <w:iCs/>
          <w:sz w:val="20"/>
          <w:szCs w:val="20"/>
        </w:rPr>
        <w:t xml:space="preserve"> Preço</w:t>
      </w:r>
      <w:r>
        <w:rPr>
          <w:bCs/>
          <w:iCs/>
          <w:sz w:val="20"/>
          <w:szCs w:val="20"/>
        </w:rPr>
        <w:t xml:space="preserve">: O preço total de nossa proposta, excluindo qualquer desconto oferecido no item 8 a seguir é: </w:t>
      </w:r>
    </w:p>
    <w:p w14:paraId="1186CD7E">
      <w:pPr>
        <w:jc w:val="both"/>
        <w:rPr>
          <w:bCs/>
          <w:i/>
          <w:iCs/>
          <w:sz w:val="20"/>
          <w:szCs w:val="20"/>
          <w:highlight w:val="yellow"/>
        </w:rPr>
      </w:pPr>
      <w:r>
        <w:rPr>
          <w:bCs/>
          <w:i/>
          <w:iCs/>
          <w:sz w:val="20"/>
          <w:szCs w:val="20"/>
          <w:highlight w:val="yellow"/>
        </w:rPr>
        <w:t>[Inserir uma das seguintes opções conforme corresponda]</w:t>
      </w:r>
    </w:p>
    <w:p w14:paraId="47C09166">
      <w:pPr>
        <w:jc w:val="both"/>
        <w:rPr>
          <w:bCs/>
          <w:iCs/>
          <w:sz w:val="20"/>
          <w:szCs w:val="20"/>
        </w:rPr>
      </w:pPr>
      <w:r>
        <w:rPr>
          <w:bCs/>
          <w:i/>
          <w:iCs/>
          <w:sz w:val="20"/>
          <w:szCs w:val="20"/>
          <w:highlight w:val="yellow"/>
        </w:rPr>
        <w:t>[Opção 1, no caso de lote único:]</w:t>
      </w:r>
      <w:r>
        <w:rPr>
          <w:bCs/>
          <w:iCs/>
          <w:sz w:val="20"/>
          <w:szCs w:val="20"/>
        </w:rPr>
        <w:t xml:space="preserve"> O preço total é: [indicar o preço total da proposta por extenso e em cifras, indicando as quantias respectivas em diferentes moedas];</w:t>
      </w:r>
    </w:p>
    <w:p w14:paraId="39FA0940">
      <w:pPr>
        <w:jc w:val="both"/>
        <w:rPr>
          <w:bCs/>
          <w:i/>
          <w:iCs/>
          <w:sz w:val="20"/>
          <w:szCs w:val="20"/>
          <w:highlight w:val="yellow"/>
        </w:rPr>
      </w:pPr>
      <w:bookmarkStart w:id="168" w:name="_Hlk113103706"/>
      <w:r>
        <w:rPr>
          <w:bCs/>
          <w:i/>
          <w:iCs/>
          <w:sz w:val="20"/>
          <w:szCs w:val="20"/>
          <w:highlight w:val="yellow"/>
        </w:rPr>
        <w:t>[ou]</w:t>
      </w:r>
    </w:p>
    <w:bookmarkEnd w:id="168"/>
    <w:p w14:paraId="50951BD5">
      <w:pPr>
        <w:jc w:val="both"/>
        <w:rPr>
          <w:bCs/>
          <w:i/>
          <w:iCs/>
          <w:sz w:val="20"/>
          <w:szCs w:val="20"/>
        </w:rPr>
      </w:pPr>
      <w:r>
        <w:rPr>
          <w:bCs/>
          <w:i/>
          <w:iCs/>
          <w:sz w:val="20"/>
          <w:szCs w:val="20"/>
          <w:highlight w:val="yellow"/>
        </w:rPr>
        <w:t>[Opção 2, no caso de múltiplos lotes:]</w:t>
      </w:r>
      <w:r>
        <w:rPr>
          <w:bCs/>
          <w:i/>
          <w:iCs/>
          <w:sz w:val="20"/>
          <w:szCs w:val="20"/>
        </w:rPr>
        <w:t xml:space="preserve"> </w:t>
      </w:r>
    </w:p>
    <w:p w14:paraId="6F1B0374">
      <w:pPr>
        <w:jc w:val="both"/>
        <w:rPr>
          <w:bCs/>
          <w:iCs/>
          <w:sz w:val="20"/>
          <w:szCs w:val="20"/>
        </w:rPr>
      </w:pPr>
      <w:r>
        <w:rPr>
          <w:bCs/>
          <w:iCs/>
          <w:sz w:val="20"/>
          <w:szCs w:val="20"/>
        </w:rPr>
        <w:t xml:space="preserve">(a) o preço total de cada lote [indicar o preço total de cada lote por extenso e em cifras, indicando as quantias respectivas em diferentes moedas]; e </w:t>
      </w:r>
    </w:p>
    <w:p w14:paraId="2C676592">
      <w:pPr>
        <w:jc w:val="both"/>
        <w:rPr>
          <w:bCs/>
          <w:iCs/>
          <w:sz w:val="20"/>
          <w:szCs w:val="20"/>
        </w:rPr>
      </w:pPr>
      <w:r>
        <w:rPr>
          <w:bCs/>
          <w:iCs/>
          <w:sz w:val="20"/>
          <w:szCs w:val="20"/>
        </w:rPr>
        <w:t>(b) o preço total de todos os lotes (soma de todos os lotes) [indicar o preço total de todos os lotes por extenso e em cifras];</w:t>
      </w:r>
    </w:p>
    <w:p w14:paraId="286B3872">
      <w:pPr>
        <w:jc w:val="both"/>
        <w:rPr>
          <w:bCs/>
          <w:iCs/>
          <w:sz w:val="20"/>
          <w:szCs w:val="20"/>
        </w:rPr>
      </w:pPr>
      <w:r>
        <w:rPr>
          <w:b/>
          <w:bCs/>
          <w:iCs/>
          <w:sz w:val="20"/>
          <w:szCs w:val="20"/>
          <w:lang w:val="pt-PT"/>
        </w:rPr>
        <w:t>8</w:t>
      </w:r>
      <w:r>
        <w:rPr>
          <w:b/>
          <w:bCs/>
          <w:iCs/>
          <w:sz w:val="20"/>
          <w:szCs w:val="20"/>
        </w:rPr>
        <w:t xml:space="preserve"> Descontos</w:t>
      </w:r>
      <w:r>
        <w:rPr>
          <w:bCs/>
          <w:iCs/>
          <w:sz w:val="20"/>
          <w:szCs w:val="20"/>
        </w:rPr>
        <w:t xml:space="preserve">: os descontos oferecidos e a metodologia para sua aplicação são [indicar uma das duas opções] </w:t>
      </w:r>
    </w:p>
    <w:p w14:paraId="74CD93A4">
      <w:pPr>
        <w:ind w:left="426"/>
        <w:jc w:val="both"/>
        <w:rPr>
          <w:bCs/>
          <w:iCs/>
          <w:sz w:val="20"/>
          <w:szCs w:val="20"/>
        </w:rPr>
      </w:pPr>
      <w:bookmarkStart w:id="169" w:name="_Hlk138515145"/>
      <w:r>
        <w:rPr>
          <w:b/>
          <w:bCs/>
          <w:iCs/>
          <w:sz w:val="20"/>
          <w:szCs w:val="20"/>
        </w:rPr>
        <w:t>Aplicáveis</w:t>
      </w:r>
      <w:r>
        <w:rPr>
          <w:bCs/>
          <w:iCs/>
          <w:sz w:val="20"/>
          <w:szCs w:val="20"/>
        </w:rPr>
        <w:t>: [indicar sim ou não]</w:t>
      </w:r>
    </w:p>
    <w:bookmarkEnd w:id="169"/>
    <w:p w14:paraId="605FAE4F">
      <w:pPr>
        <w:ind w:left="426"/>
        <w:jc w:val="both"/>
        <w:rPr>
          <w:b/>
          <w:iCs/>
          <w:sz w:val="20"/>
          <w:szCs w:val="20"/>
        </w:rPr>
      </w:pPr>
      <w:r>
        <w:rPr>
          <w:b/>
          <w:iCs/>
          <w:sz w:val="20"/>
          <w:szCs w:val="20"/>
        </w:rPr>
        <w:t>ou ⁬</w:t>
      </w:r>
    </w:p>
    <w:p w14:paraId="2BF0BC03">
      <w:pPr>
        <w:ind w:left="426"/>
        <w:jc w:val="both"/>
        <w:rPr>
          <w:bCs/>
          <w:iCs/>
          <w:sz w:val="20"/>
          <w:szCs w:val="20"/>
        </w:rPr>
      </w:pPr>
      <w:r>
        <w:rPr>
          <w:b/>
          <w:bCs/>
          <w:iCs/>
          <w:sz w:val="20"/>
          <w:szCs w:val="20"/>
        </w:rPr>
        <w:t>Não aplicáveis</w:t>
      </w:r>
      <w:r>
        <w:rPr>
          <w:bCs/>
          <w:iCs/>
          <w:sz w:val="20"/>
          <w:szCs w:val="20"/>
        </w:rPr>
        <w:t>: [indicar sim ou não]</w:t>
      </w:r>
    </w:p>
    <w:p w14:paraId="44247E7A">
      <w:pPr>
        <w:jc w:val="both"/>
        <w:rPr>
          <w:b/>
          <w:iCs/>
          <w:sz w:val="20"/>
          <w:szCs w:val="20"/>
        </w:rPr>
      </w:pPr>
      <w:r>
        <w:rPr>
          <w:b/>
          <w:iCs/>
          <w:sz w:val="20"/>
          <w:szCs w:val="20"/>
        </w:rPr>
        <w:t>Caso indicado aplicáveis</w:t>
      </w:r>
    </w:p>
    <w:p w14:paraId="58F66EE4">
      <w:pPr>
        <w:jc w:val="both"/>
        <w:rPr>
          <w:bCs/>
          <w:iCs/>
          <w:sz w:val="20"/>
          <w:szCs w:val="20"/>
        </w:rPr>
      </w:pPr>
      <w:r>
        <w:rPr>
          <w:bCs/>
          <w:iCs/>
          <w:sz w:val="20"/>
          <w:szCs w:val="20"/>
        </w:rPr>
        <w:t xml:space="preserve">(a) descontos. se nossa proposta for aceita, os seguintes descontos serão aplicáveis: </w:t>
      </w:r>
      <w:r>
        <w:rPr>
          <w:bCs/>
          <w:i/>
          <w:sz w:val="20"/>
          <w:szCs w:val="20"/>
        </w:rPr>
        <w:t>[detalhar cada desconto oferecido e o item(ns)/lote(s) específico(s) na planilha de quantidades e preços, ao qual se aplica o desconto]</w:t>
      </w:r>
      <w:r>
        <w:rPr>
          <w:bCs/>
          <w:iCs/>
          <w:sz w:val="20"/>
          <w:szCs w:val="20"/>
        </w:rPr>
        <w:t>; e</w:t>
      </w:r>
    </w:p>
    <w:p w14:paraId="48F6447D">
      <w:pPr>
        <w:jc w:val="both"/>
        <w:rPr>
          <w:bCs/>
          <w:iCs/>
          <w:sz w:val="20"/>
          <w:szCs w:val="20"/>
        </w:rPr>
      </w:pPr>
      <w:r>
        <w:rPr>
          <w:bCs/>
          <w:iCs/>
          <w:sz w:val="20"/>
          <w:szCs w:val="20"/>
        </w:rPr>
        <w:t xml:space="preserve">(b) metodologia de aplicação dos descontos. os descontos serão aplicados de acordo com a seguinte metodologia: </w:t>
      </w:r>
      <w:r>
        <w:rPr>
          <w:bCs/>
          <w:i/>
          <w:sz w:val="20"/>
          <w:szCs w:val="20"/>
        </w:rPr>
        <w:t>[detalhar a metodologia que será aplicada aos descontos]</w:t>
      </w:r>
      <w:r>
        <w:rPr>
          <w:bCs/>
          <w:iCs/>
          <w:sz w:val="20"/>
          <w:szCs w:val="20"/>
        </w:rPr>
        <w:t>;</w:t>
      </w:r>
    </w:p>
    <w:p w14:paraId="321F325E">
      <w:pPr>
        <w:jc w:val="both"/>
        <w:rPr>
          <w:bCs/>
          <w:i/>
          <w:iCs/>
          <w:sz w:val="20"/>
          <w:szCs w:val="20"/>
        </w:rPr>
      </w:pPr>
      <w:r>
        <w:rPr>
          <w:b/>
          <w:bCs/>
          <w:iCs/>
          <w:sz w:val="20"/>
          <w:szCs w:val="20"/>
          <w:lang w:val="pt-PT"/>
        </w:rPr>
        <w:t>9</w:t>
      </w:r>
      <w:r>
        <w:rPr>
          <w:b/>
          <w:bCs/>
          <w:iCs/>
          <w:sz w:val="20"/>
          <w:szCs w:val="20"/>
        </w:rPr>
        <w:t>. Validade da Proposta</w:t>
      </w:r>
      <w:r>
        <w:rPr>
          <w:bCs/>
          <w:iCs/>
          <w:sz w:val="20"/>
          <w:szCs w:val="20"/>
        </w:rPr>
        <w:t xml:space="preserve">: Concordamos em manter esta Proposta pelo prazo de </w:t>
      </w:r>
      <w:r>
        <w:rPr>
          <w:bCs/>
          <w:i/>
          <w:iCs/>
          <w:sz w:val="20"/>
          <w:szCs w:val="20"/>
        </w:rPr>
        <w:t xml:space="preserve">[inserir o prazo em número e por extenso] </w:t>
      </w:r>
      <w:r>
        <w:rPr>
          <w:bCs/>
          <w:iCs/>
          <w:sz w:val="20"/>
          <w:szCs w:val="20"/>
        </w:rPr>
        <w:t>dias, contado da data de abertura das Propostas, estabelecida nas IAC 17;</w:t>
      </w:r>
    </w:p>
    <w:p w14:paraId="25E30B6E">
      <w:pPr>
        <w:jc w:val="both"/>
        <w:rPr>
          <w:bCs/>
          <w:i/>
          <w:iCs/>
          <w:sz w:val="20"/>
          <w:szCs w:val="20"/>
        </w:rPr>
      </w:pPr>
      <w:r>
        <w:rPr>
          <w:b/>
          <w:bCs/>
          <w:iCs/>
          <w:sz w:val="20"/>
          <w:szCs w:val="20"/>
          <w:lang w:val="pt-PT"/>
        </w:rPr>
        <w:t>10</w:t>
      </w:r>
      <w:r>
        <w:rPr>
          <w:b/>
          <w:bCs/>
          <w:iCs/>
          <w:sz w:val="20"/>
          <w:szCs w:val="20"/>
        </w:rPr>
        <w:t>. Prazo</w:t>
      </w:r>
      <w:r>
        <w:rPr>
          <w:bCs/>
          <w:iCs/>
          <w:sz w:val="20"/>
          <w:szCs w:val="20"/>
        </w:rPr>
        <w:t>: Caso nossa Proposta seja aceita, comprometemo-nos a iniciar as Obras em (___) dias contados do recebimento da ordem do Contratante, bem como a entregar as Obras a que se refere o Contrato dentro de (___) dias, contados a partir da Data de Início das Obras;</w:t>
      </w:r>
    </w:p>
    <w:p w14:paraId="04B442B3">
      <w:pPr>
        <w:jc w:val="both"/>
        <w:rPr>
          <w:bCs/>
          <w:i/>
          <w:iCs/>
          <w:sz w:val="20"/>
          <w:szCs w:val="20"/>
        </w:rPr>
      </w:pPr>
      <w:r>
        <w:rPr>
          <w:b/>
          <w:bCs/>
          <w:iCs/>
          <w:sz w:val="20"/>
          <w:szCs w:val="20"/>
          <w:lang w:val="pt-PT"/>
        </w:rPr>
        <w:t>11</w:t>
      </w:r>
      <w:r>
        <w:rPr>
          <w:b/>
          <w:bCs/>
          <w:iCs/>
          <w:sz w:val="20"/>
          <w:szCs w:val="20"/>
        </w:rPr>
        <w:t>. Garantia de Execução</w:t>
      </w:r>
      <w:r>
        <w:rPr>
          <w:bCs/>
          <w:iCs/>
          <w:sz w:val="20"/>
          <w:szCs w:val="20"/>
        </w:rPr>
        <w:t>: Caso nossa Proposta seja aceita, nos comprometemos a oferecer Garantia de Execução, a ser aprovada por V. Sas, obrigando-nos, conjunta e solidariamente, pela quantia correspondente a [montante da garantia], da mencionada soma de acordo com as Condições Gerais do Contrato;</w:t>
      </w:r>
    </w:p>
    <w:p w14:paraId="5D9B96C7">
      <w:pPr>
        <w:jc w:val="both"/>
        <w:rPr>
          <w:bCs/>
          <w:i/>
          <w:iCs/>
          <w:sz w:val="20"/>
          <w:szCs w:val="20"/>
        </w:rPr>
      </w:pPr>
      <w:r>
        <w:rPr>
          <w:b/>
          <w:bCs/>
          <w:iCs/>
          <w:sz w:val="20"/>
          <w:szCs w:val="20"/>
          <w:lang w:val="pt-PT"/>
        </w:rPr>
        <w:t>12</w:t>
      </w:r>
      <w:r>
        <w:rPr>
          <w:b/>
          <w:bCs/>
          <w:iCs/>
          <w:sz w:val="20"/>
          <w:szCs w:val="20"/>
        </w:rPr>
        <w:t>. Uma Proposta por Concorrente</w:t>
      </w:r>
      <w:r>
        <w:rPr>
          <w:bCs/>
          <w:iCs/>
          <w:sz w:val="20"/>
          <w:szCs w:val="20"/>
        </w:rPr>
        <w:t>: Não estamos submetendo nenhuma outra Proposta (s) como um concorrente individual, e não estamos participando de nenhuma outra proposta (s) como membro de Consórcio, ou como um subcontratado, e cumprimos com os requisitos das IAC 5.2;</w:t>
      </w:r>
    </w:p>
    <w:p w14:paraId="0E428E45">
      <w:pPr>
        <w:jc w:val="both"/>
        <w:rPr>
          <w:bCs/>
          <w:i/>
          <w:iCs/>
          <w:sz w:val="20"/>
          <w:szCs w:val="20"/>
        </w:rPr>
      </w:pPr>
      <w:r>
        <w:rPr>
          <w:b/>
          <w:bCs/>
          <w:iCs/>
          <w:sz w:val="20"/>
          <w:szCs w:val="20"/>
          <w:lang w:val="pt-PT"/>
        </w:rPr>
        <w:t>13</w:t>
      </w:r>
      <w:r>
        <w:rPr>
          <w:b/>
          <w:bCs/>
          <w:iCs/>
          <w:sz w:val="20"/>
          <w:szCs w:val="20"/>
        </w:rPr>
        <w:t>. Empresa ou Instituição Estatal</w:t>
      </w:r>
      <w:r>
        <w:rPr>
          <w:bCs/>
          <w:iCs/>
          <w:sz w:val="20"/>
          <w:szCs w:val="20"/>
        </w:rPr>
        <w:t>: [selecionar a opção adequada e eliminar o restante de] [Não somos uma empresa de propriedade do governo ou instituição estatal] / [Somos uma empresa de propriedade do governo ou instituição estatal, mas cumprem os requisitos das IAC 3];</w:t>
      </w:r>
    </w:p>
    <w:p w14:paraId="5634294E">
      <w:pPr>
        <w:jc w:val="both"/>
        <w:rPr>
          <w:bCs/>
          <w:i/>
          <w:iCs/>
          <w:sz w:val="20"/>
          <w:szCs w:val="20"/>
        </w:rPr>
      </w:pPr>
      <w:r>
        <w:rPr>
          <w:b/>
          <w:bCs/>
          <w:iCs/>
          <w:sz w:val="20"/>
          <w:szCs w:val="20"/>
          <w:lang w:val="pt-PT"/>
        </w:rPr>
        <w:t>14</w:t>
      </w:r>
      <w:r>
        <w:rPr>
          <w:b/>
          <w:bCs/>
          <w:iCs/>
          <w:sz w:val="20"/>
          <w:szCs w:val="20"/>
        </w:rPr>
        <w:t>. Compromisso</w:t>
      </w:r>
      <w:r>
        <w:rPr>
          <w:bCs/>
          <w:iCs/>
          <w:sz w:val="20"/>
          <w:szCs w:val="20"/>
        </w:rPr>
        <w:t>: A presente proposta, bem como a expressa aceitação de V. Sas, constituem compromisso entre as partes até a assinatura do Contrato;</w:t>
      </w:r>
    </w:p>
    <w:p w14:paraId="706B9DD9">
      <w:pPr>
        <w:jc w:val="both"/>
        <w:rPr>
          <w:bCs/>
          <w:i/>
          <w:iCs/>
          <w:sz w:val="20"/>
          <w:szCs w:val="20"/>
        </w:rPr>
      </w:pPr>
      <w:r>
        <w:rPr>
          <w:b/>
          <w:bCs/>
          <w:iCs/>
          <w:sz w:val="20"/>
          <w:szCs w:val="20"/>
          <w:lang w:val="pt-PT"/>
        </w:rPr>
        <w:t>15</w:t>
      </w:r>
      <w:r>
        <w:rPr>
          <w:b/>
          <w:bCs/>
          <w:iCs/>
          <w:sz w:val="20"/>
          <w:szCs w:val="20"/>
        </w:rPr>
        <w:t>. Obrigação</w:t>
      </w:r>
      <w:r>
        <w:rPr>
          <w:bCs/>
          <w:iCs/>
          <w:sz w:val="20"/>
          <w:szCs w:val="20"/>
        </w:rPr>
        <w:t>: Entendemos que não estão obrigados a aceitar a proposta de menor preço avaliado nem nenhuma outra proposta que recebam;</w:t>
      </w:r>
    </w:p>
    <w:p w14:paraId="168CD99F">
      <w:pPr>
        <w:jc w:val="both"/>
        <w:rPr>
          <w:bCs/>
          <w:iCs/>
          <w:sz w:val="20"/>
          <w:szCs w:val="20"/>
        </w:rPr>
      </w:pPr>
      <w:r>
        <w:rPr>
          <w:b/>
          <w:bCs/>
          <w:iCs/>
          <w:sz w:val="20"/>
          <w:szCs w:val="20"/>
          <w:lang w:val="pt-PT"/>
        </w:rPr>
        <w:t>16 Comissões ou Gratificações</w:t>
      </w:r>
      <w:r>
        <w:rPr>
          <w:b/>
          <w:bCs/>
          <w:iCs/>
          <w:sz w:val="20"/>
          <w:szCs w:val="20"/>
        </w:rPr>
        <w:t>:</w:t>
      </w:r>
      <w:r>
        <w:rPr>
          <w:bCs/>
          <w:iCs/>
          <w:sz w:val="20"/>
          <w:szCs w:val="20"/>
        </w:rPr>
        <w:t xml:space="preserve"> comissões ou gratificações, caso existam, pagas ou a serem pagas por nós aos agentes relacionados a esta proposta e à execução do contrato, caso a adjudicação nos seja feita, são relacionadas a seguir:</w:t>
      </w:r>
    </w:p>
    <w:tbl>
      <w:tblPr>
        <w:tblStyle w:val="12"/>
        <w:tblW w:w="8764" w:type="dxa"/>
        <w:jc w:val="center"/>
        <w:tblLayout w:type="fixed"/>
        <w:tblCellMar>
          <w:top w:w="0" w:type="dxa"/>
          <w:left w:w="108" w:type="dxa"/>
          <w:bottom w:w="0" w:type="dxa"/>
          <w:right w:w="108" w:type="dxa"/>
        </w:tblCellMar>
      </w:tblPr>
      <w:tblGrid>
        <w:gridCol w:w="2405"/>
        <w:gridCol w:w="1859"/>
        <w:gridCol w:w="2160"/>
        <w:gridCol w:w="2340"/>
      </w:tblGrid>
      <w:tr w14:paraId="76868CD5">
        <w:tblPrEx>
          <w:tblCellMar>
            <w:top w:w="0" w:type="dxa"/>
            <w:left w:w="108" w:type="dxa"/>
            <w:bottom w:w="0" w:type="dxa"/>
            <w:right w:w="108" w:type="dxa"/>
          </w:tblCellMar>
        </w:tblPrEx>
        <w:trPr>
          <w:trHeight w:val="567" w:hRule="atLeast"/>
          <w:jc w:val="center"/>
        </w:trPr>
        <w:tc>
          <w:tcPr>
            <w:tcW w:w="2405" w:type="dxa"/>
            <w:tcBorders>
              <w:top w:val="single" w:color="auto" w:sz="4" w:space="0"/>
              <w:left w:val="single" w:color="auto" w:sz="4" w:space="0"/>
              <w:bottom w:val="single" w:color="auto" w:sz="6" w:space="0"/>
              <w:right w:val="single" w:color="auto" w:sz="4" w:space="0"/>
            </w:tcBorders>
            <w:vAlign w:val="center"/>
          </w:tcPr>
          <w:p w14:paraId="699CB506">
            <w:pPr>
              <w:spacing w:before="120" w:after="120"/>
              <w:jc w:val="center"/>
              <w:rPr>
                <w:b/>
                <w:bCs/>
                <w:iCs/>
                <w:sz w:val="20"/>
                <w:szCs w:val="20"/>
              </w:rPr>
            </w:pPr>
            <w:r>
              <w:rPr>
                <w:b/>
                <w:bCs/>
                <w:iCs/>
                <w:sz w:val="20"/>
                <w:szCs w:val="20"/>
              </w:rPr>
              <w:t>Nome do Beneficiário (*)</w:t>
            </w:r>
          </w:p>
        </w:tc>
        <w:tc>
          <w:tcPr>
            <w:tcW w:w="1859" w:type="dxa"/>
            <w:tcBorders>
              <w:top w:val="single" w:color="auto" w:sz="4" w:space="0"/>
              <w:left w:val="single" w:color="auto" w:sz="4" w:space="0"/>
              <w:bottom w:val="single" w:color="auto" w:sz="4" w:space="0"/>
              <w:right w:val="single" w:color="auto" w:sz="4" w:space="0"/>
            </w:tcBorders>
            <w:vAlign w:val="center"/>
          </w:tcPr>
          <w:p w14:paraId="48666CFD">
            <w:pPr>
              <w:spacing w:before="120" w:after="120"/>
              <w:jc w:val="center"/>
              <w:rPr>
                <w:b/>
                <w:bCs/>
                <w:iCs/>
                <w:sz w:val="20"/>
                <w:szCs w:val="20"/>
              </w:rPr>
            </w:pPr>
            <w:r>
              <w:rPr>
                <w:b/>
                <w:bCs/>
                <w:iCs/>
                <w:sz w:val="20"/>
                <w:szCs w:val="20"/>
              </w:rPr>
              <w:t>Endereço</w:t>
            </w:r>
          </w:p>
        </w:tc>
        <w:tc>
          <w:tcPr>
            <w:tcW w:w="2160" w:type="dxa"/>
            <w:tcBorders>
              <w:top w:val="single" w:color="auto" w:sz="4" w:space="0"/>
              <w:left w:val="single" w:color="auto" w:sz="4" w:space="0"/>
              <w:bottom w:val="single" w:color="auto" w:sz="6" w:space="0"/>
              <w:right w:val="single" w:color="auto" w:sz="4" w:space="0"/>
            </w:tcBorders>
            <w:vAlign w:val="center"/>
          </w:tcPr>
          <w:p w14:paraId="7242FE8E">
            <w:pPr>
              <w:spacing w:before="120" w:after="120"/>
              <w:jc w:val="center"/>
              <w:rPr>
                <w:b/>
                <w:bCs/>
                <w:iCs/>
                <w:sz w:val="20"/>
                <w:szCs w:val="20"/>
              </w:rPr>
            </w:pPr>
            <w:r>
              <w:rPr>
                <w:b/>
                <w:bCs/>
                <w:iCs/>
                <w:sz w:val="20"/>
                <w:szCs w:val="20"/>
              </w:rPr>
              <w:t>Razão</w:t>
            </w:r>
          </w:p>
        </w:tc>
        <w:tc>
          <w:tcPr>
            <w:tcW w:w="2340" w:type="dxa"/>
            <w:tcBorders>
              <w:top w:val="single" w:color="auto" w:sz="4" w:space="0"/>
              <w:left w:val="single" w:color="auto" w:sz="4" w:space="0"/>
              <w:bottom w:val="single" w:color="auto" w:sz="6" w:space="0"/>
              <w:right w:val="single" w:color="auto" w:sz="4" w:space="0"/>
            </w:tcBorders>
            <w:vAlign w:val="center"/>
          </w:tcPr>
          <w:p w14:paraId="08ACDAF9">
            <w:pPr>
              <w:spacing w:before="120" w:after="120"/>
              <w:jc w:val="center"/>
              <w:rPr>
                <w:b/>
                <w:bCs/>
                <w:iCs/>
                <w:sz w:val="20"/>
                <w:szCs w:val="20"/>
              </w:rPr>
            </w:pPr>
            <w:r>
              <w:rPr>
                <w:b/>
                <w:bCs/>
                <w:iCs/>
                <w:sz w:val="20"/>
                <w:szCs w:val="20"/>
              </w:rPr>
              <w:t>Valor</w:t>
            </w:r>
          </w:p>
        </w:tc>
      </w:tr>
      <w:tr w14:paraId="0E6C6880">
        <w:tblPrEx>
          <w:tblCellMar>
            <w:top w:w="0" w:type="dxa"/>
            <w:left w:w="108" w:type="dxa"/>
            <w:bottom w:w="0" w:type="dxa"/>
            <w:right w:w="108" w:type="dxa"/>
          </w:tblCellMar>
        </w:tblPrEx>
        <w:trPr>
          <w:jc w:val="center"/>
        </w:trPr>
        <w:tc>
          <w:tcPr>
            <w:tcW w:w="2405" w:type="dxa"/>
            <w:tcBorders>
              <w:left w:val="single" w:color="auto" w:sz="4" w:space="0"/>
              <w:right w:val="single" w:color="auto" w:sz="4" w:space="0"/>
            </w:tcBorders>
            <w:vAlign w:val="center"/>
          </w:tcPr>
          <w:p w14:paraId="1E616AC2">
            <w:pPr>
              <w:spacing w:before="120" w:after="120"/>
              <w:jc w:val="both"/>
              <w:rPr>
                <w:iCs/>
                <w:sz w:val="20"/>
                <w:szCs w:val="20"/>
              </w:rPr>
            </w:pPr>
          </w:p>
        </w:tc>
        <w:tc>
          <w:tcPr>
            <w:tcW w:w="1859" w:type="dxa"/>
            <w:tcBorders>
              <w:top w:val="single" w:color="auto" w:sz="4" w:space="0"/>
              <w:left w:val="single" w:color="auto" w:sz="4" w:space="0"/>
              <w:bottom w:val="single" w:color="auto" w:sz="4" w:space="0"/>
              <w:right w:val="single" w:color="auto" w:sz="4" w:space="0"/>
            </w:tcBorders>
            <w:vAlign w:val="center"/>
          </w:tcPr>
          <w:p w14:paraId="029265D0">
            <w:pPr>
              <w:spacing w:before="120" w:after="120"/>
              <w:jc w:val="both"/>
              <w:rPr>
                <w:iCs/>
                <w:sz w:val="20"/>
                <w:szCs w:val="20"/>
              </w:rPr>
            </w:pPr>
          </w:p>
        </w:tc>
        <w:tc>
          <w:tcPr>
            <w:tcW w:w="2160" w:type="dxa"/>
            <w:tcBorders>
              <w:top w:val="single" w:color="auto" w:sz="6" w:space="0"/>
              <w:left w:val="single" w:color="auto" w:sz="4" w:space="0"/>
              <w:bottom w:val="single" w:color="auto" w:sz="6" w:space="0"/>
              <w:right w:val="single" w:color="auto" w:sz="4" w:space="0"/>
            </w:tcBorders>
            <w:vAlign w:val="center"/>
          </w:tcPr>
          <w:p w14:paraId="5E2E718E">
            <w:pPr>
              <w:spacing w:before="120" w:after="120"/>
              <w:jc w:val="both"/>
              <w:rPr>
                <w:iCs/>
                <w:sz w:val="20"/>
                <w:szCs w:val="20"/>
              </w:rPr>
            </w:pPr>
          </w:p>
        </w:tc>
        <w:tc>
          <w:tcPr>
            <w:tcW w:w="2340" w:type="dxa"/>
            <w:tcBorders>
              <w:left w:val="single" w:color="auto" w:sz="4" w:space="0"/>
              <w:right w:val="single" w:color="auto" w:sz="4" w:space="0"/>
            </w:tcBorders>
            <w:vAlign w:val="center"/>
          </w:tcPr>
          <w:p w14:paraId="702E6BF0">
            <w:pPr>
              <w:spacing w:before="120" w:after="120"/>
              <w:jc w:val="both"/>
              <w:rPr>
                <w:iCs/>
                <w:sz w:val="20"/>
                <w:szCs w:val="20"/>
              </w:rPr>
            </w:pPr>
          </w:p>
        </w:tc>
      </w:tr>
      <w:tr w14:paraId="442EB962">
        <w:tblPrEx>
          <w:tblCellMar>
            <w:top w:w="0" w:type="dxa"/>
            <w:left w:w="108" w:type="dxa"/>
            <w:bottom w:w="0" w:type="dxa"/>
            <w:right w:w="108" w:type="dxa"/>
          </w:tblCellMar>
        </w:tblPrEx>
        <w:trPr>
          <w:jc w:val="center"/>
        </w:trPr>
        <w:tc>
          <w:tcPr>
            <w:tcW w:w="2405" w:type="dxa"/>
            <w:tcBorders>
              <w:top w:val="single" w:color="auto" w:sz="6" w:space="0"/>
              <w:left w:val="single" w:color="auto" w:sz="4" w:space="0"/>
              <w:bottom w:val="single" w:color="auto" w:sz="4" w:space="0"/>
              <w:right w:val="single" w:color="auto" w:sz="4" w:space="0"/>
            </w:tcBorders>
            <w:vAlign w:val="center"/>
          </w:tcPr>
          <w:p w14:paraId="31D732FE">
            <w:pPr>
              <w:spacing w:before="120" w:after="120"/>
              <w:jc w:val="both"/>
              <w:rPr>
                <w:iCs/>
                <w:sz w:val="20"/>
                <w:szCs w:val="20"/>
              </w:rPr>
            </w:pPr>
          </w:p>
        </w:tc>
        <w:tc>
          <w:tcPr>
            <w:tcW w:w="1859" w:type="dxa"/>
            <w:tcBorders>
              <w:top w:val="single" w:color="auto" w:sz="4" w:space="0"/>
              <w:left w:val="single" w:color="auto" w:sz="4" w:space="0"/>
              <w:bottom w:val="single" w:color="auto" w:sz="4" w:space="0"/>
              <w:right w:val="single" w:color="auto" w:sz="4" w:space="0"/>
            </w:tcBorders>
            <w:vAlign w:val="center"/>
          </w:tcPr>
          <w:p w14:paraId="520FA1E7">
            <w:pPr>
              <w:spacing w:before="120" w:after="120"/>
              <w:jc w:val="both"/>
              <w:rPr>
                <w:iCs/>
                <w:sz w:val="20"/>
                <w:szCs w:val="20"/>
              </w:rPr>
            </w:pPr>
          </w:p>
        </w:tc>
        <w:tc>
          <w:tcPr>
            <w:tcW w:w="2160" w:type="dxa"/>
            <w:tcBorders>
              <w:top w:val="single" w:color="auto" w:sz="6" w:space="0"/>
              <w:left w:val="single" w:color="auto" w:sz="4" w:space="0"/>
              <w:bottom w:val="single" w:color="auto" w:sz="4" w:space="0"/>
              <w:right w:val="single" w:color="auto" w:sz="4" w:space="0"/>
            </w:tcBorders>
            <w:vAlign w:val="center"/>
          </w:tcPr>
          <w:p w14:paraId="342B3FD1">
            <w:pPr>
              <w:spacing w:before="120" w:after="120"/>
              <w:jc w:val="both"/>
              <w:rPr>
                <w:iCs/>
                <w:sz w:val="20"/>
                <w:szCs w:val="20"/>
              </w:rPr>
            </w:pPr>
          </w:p>
        </w:tc>
        <w:tc>
          <w:tcPr>
            <w:tcW w:w="2340" w:type="dxa"/>
            <w:tcBorders>
              <w:top w:val="single" w:color="auto" w:sz="6" w:space="0"/>
              <w:left w:val="single" w:color="auto" w:sz="4" w:space="0"/>
              <w:bottom w:val="single" w:color="auto" w:sz="4" w:space="0"/>
              <w:right w:val="single" w:color="auto" w:sz="4" w:space="0"/>
            </w:tcBorders>
            <w:vAlign w:val="center"/>
          </w:tcPr>
          <w:p w14:paraId="6D5D48D9">
            <w:pPr>
              <w:spacing w:before="120" w:after="120"/>
              <w:jc w:val="both"/>
              <w:rPr>
                <w:iCs/>
                <w:sz w:val="20"/>
                <w:szCs w:val="20"/>
              </w:rPr>
            </w:pPr>
          </w:p>
        </w:tc>
      </w:tr>
    </w:tbl>
    <w:p w14:paraId="6773324E">
      <w:pPr>
        <w:jc w:val="both"/>
        <w:rPr>
          <w:bCs/>
          <w:iCs/>
          <w:sz w:val="20"/>
          <w:szCs w:val="20"/>
        </w:rPr>
      </w:pPr>
      <w:r>
        <w:rPr>
          <w:bCs/>
          <w:iCs/>
          <w:sz w:val="20"/>
          <w:szCs w:val="20"/>
        </w:rPr>
        <w:t>(*) se nenhuma declare “nenhuma”.</w:t>
      </w:r>
    </w:p>
    <w:p w14:paraId="07A23CC2">
      <w:pPr>
        <w:jc w:val="both"/>
        <w:rPr>
          <w:bCs/>
          <w:i/>
          <w:iCs/>
          <w:sz w:val="20"/>
          <w:szCs w:val="20"/>
        </w:rPr>
      </w:pPr>
      <w:r>
        <w:rPr>
          <w:b/>
          <w:bCs/>
          <w:iCs/>
          <w:sz w:val="20"/>
          <w:szCs w:val="20"/>
          <w:lang w:val="pt-PT"/>
        </w:rPr>
        <w:t>17</w:t>
      </w:r>
      <w:r>
        <w:rPr>
          <w:b/>
          <w:bCs/>
          <w:iCs/>
          <w:sz w:val="20"/>
          <w:szCs w:val="20"/>
        </w:rPr>
        <w:t>. Sanções</w:t>
      </w:r>
      <w:r>
        <w:rPr>
          <w:bCs/>
          <w:iCs/>
          <w:sz w:val="20"/>
          <w:szCs w:val="20"/>
        </w:rPr>
        <w:t>: nossa empresa, suas afiliadas ou subsidiárias, incluindo todos os subcontratados ou fornecedores para executar qualquer parte do contrato, não foram declarados inelegíveis por alguma outra Instituição Financeira Internacional (IFI), no âmbito das leis no Brasil ou regulamentos oficiais, em conformidade com a IAC 3.3;</w:t>
      </w:r>
    </w:p>
    <w:p w14:paraId="6716DCA1">
      <w:pPr>
        <w:jc w:val="both"/>
        <w:rPr>
          <w:bCs/>
          <w:i/>
          <w:iCs/>
          <w:sz w:val="20"/>
          <w:szCs w:val="20"/>
        </w:rPr>
      </w:pPr>
      <w:r>
        <w:rPr>
          <w:b/>
          <w:bCs/>
          <w:iCs/>
          <w:sz w:val="20"/>
          <w:szCs w:val="20"/>
          <w:lang w:val="pt-PT"/>
        </w:rPr>
        <w:t>18</w:t>
      </w:r>
      <w:r>
        <w:rPr>
          <w:b/>
          <w:bCs/>
          <w:iCs/>
          <w:sz w:val="20"/>
          <w:szCs w:val="20"/>
        </w:rPr>
        <w:t>. Práticas Proibidas:</w:t>
      </w:r>
      <w:r>
        <w:rPr>
          <w:iCs/>
          <w:sz w:val="20"/>
          <w:szCs w:val="20"/>
        </w:rPr>
        <w:t xml:space="preserve"> </w:t>
      </w:r>
      <w:r>
        <w:rPr>
          <w:iCs/>
          <w:sz w:val="20"/>
          <w:szCs w:val="20"/>
          <w:lang w:val="pt-PT"/>
        </w:rPr>
        <w:t>atestamos o conhecimento das definições de Práticas Proibidas e temos compromisso de abster-se de qualquer uma delas. Conhecemos e cumpriremos os aspectos relacionados com a prevenção e combate à fraude e corrupção, incluindo o direito do FONPLATA de aplicar sanções e realizar inspeções e auditorias</w:t>
      </w:r>
      <w:r>
        <w:rPr>
          <w:iCs/>
          <w:sz w:val="20"/>
          <w:szCs w:val="20"/>
        </w:rPr>
        <w:t>.</w:t>
      </w:r>
      <w:r>
        <w:rPr>
          <w:bCs/>
          <w:iCs/>
          <w:sz w:val="20"/>
          <w:szCs w:val="20"/>
        </w:rPr>
        <w:t xml:space="preserve"> Usaremos os nossos melhores esforços para assistir ao FONPLATA nas suas investigações e comprometemo-nos que dentro do processo de aquisição (e no caso de resultar adjudicatários, na execução) do contrato, a observar as leis sobre práticas proibidas aplicáveis no Brasil. </w:t>
      </w:r>
    </w:p>
    <w:p w14:paraId="7861EB7D">
      <w:pPr>
        <w:jc w:val="both"/>
        <w:rPr>
          <w:iCs/>
          <w:sz w:val="20"/>
          <w:szCs w:val="20"/>
          <w:lang w:val="pt-PT"/>
        </w:rPr>
      </w:pPr>
      <w:bookmarkStart w:id="170" w:name="_Hlk139377569"/>
      <w:r>
        <w:rPr>
          <w:b/>
          <w:bCs/>
          <w:iCs/>
          <w:sz w:val="20"/>
          <w:szCs w:val="20"/>
          <w:lang w:val="pt-PT"/>
        </w:rPr>
        <w:t>19. Fatos Impeditivos:</w:t>
      </w:r>
      <w:r>
        <w:rPr>
          <w:iCs/>
          <w:sz w:val="20"/>
          <w:szCs w:val="20"/>
          <w:lang w:val="pt-PT"/>
        </w:rPr>
        <w:t xml:space="preserve"> até a presente data, inexistem fatos impeditivos para nossa habilitação no presente processo licitatório. Declaramos ainda estarmos cientes da obrigatoriedade de comunicar a ocorrência de qualquer evento impeditivo posterior</w:t>
      </w:r>
      <w:bookmarkEnd w:id="170"/>
      <w:r>
        <w:rPr>
          <w:iCs/>
          <w:sz w:val="20"/>
          <w:szCs w:val="20"/>
          <w:lang w:val="pt-PT"/>
        </w:rPr>
        <w:t>.</w:t>
      </w:r>
    </w:p>
    <w:p w14:paraId="751D3231">
      <w:pPr>
        <w:jc w:val="both"/>
        <w:rPr>
          <w:iCs/>
          <w:sz w:val="20"/>
          <w:szCs w:val="20"/>
          <w:lang w:val="pt-PT"/>
        </w:rPr>
      </w:pPr>
      <w:bookmarkStart w:id="171" w:name="_Hlk139377646"/>
      <w:r>
        <w:rPr>
          <w:b/>
          <w:bCs/>
          <w:iCs/>
          <w:sz w:val="20"/>
          <w:szCs w:val="20"/>
          <w:lang w:val="pt-PT"/>
        </w:rPr>
        <w:t xml:space="preserve">20. Reserva de Cargos: </w:t>
      </w:r>
      <w:r>
        <w:rPr>
          <w:iCs/>
          <w:sz w:val="20"/>
          <w:szCs w:val="20"/>
          <w:lang w:val="pt-PT"/>
        </w:rPr>
        <w:t>cumprimos com as exigências de reserva de cargos para pessoa com deficiência e para reabilitado da Previdência Social, previstas em lei e em outras normas específicas.</w:t>
      </w:r>
    </w:p>
    <w:bookmarkEnd w:id="171"/>
    <w:tbl>
      <w:tblPr>
        <w:tblStyle w:val="1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784"/>
      </w:tblGrid>
      <w:tr w14:paraId="33CF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8784" w:type="dxa"/>
          </w:tcPr>
          <w:p w14:paraId="417E1B40">
            <w:pPr>
              <w:rPr>
                <w:bCs/>
                <w:iCs/>
                <w:sz w:val="20"/>
                <w:szCs w:val="20"/>
              </w:rPr>
            </w:pPr>
            <w:r>
              <w:rPr>
                <w:b/>
                <w:bCs/>
                <w:iCs/>
                <w:sz w:val="20"/>
                <w:szCs w:val="20"/>
              </w:rPr>
              <w:t>Assinatura:</w:t>
            </w:r>
            <w:r>
              <w:rPr>
                <w:bCs/>
                <w:iCs/>
                <w:sz w:val="20"/>
                <w:szCs w:val="20"/>
              </w:rPr>
              <w:t xml:space="preserve"> [indicar a assinatura da pessoa cujo nome completo e capacidade jurídica estão indicados]</w:t>
            </w:r>
          </w:p>
        </w:tc>
      </w:tr>
      <w:tr w14:paraId="7DFA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784" w:type="dxa"/>
          </w:tcPr>
          <w:p w14:paraId="3EFC0131">
            <w:pPr>
              <w:rPr>
                <w:bCs/>
                <w:iCs/>
                <w:sz w:val="20"/>
                <w:szCs w:val="20"/>
              </w:rPr>
            </w:pPr>
            <w:r>
              <w:rPr>
                <w:b/>
                <w:bCs/>
                <w:iCs/>
                <w:sz w:val="20"/>
                <w:szCs w:val="20"/>
              </w:rPr>
              <w:t>Na qualidade de:</w:t>
            </w:r>
            <w:r>
              <w:rPr>
                <w:bCs/>
                <w:iCs/>
                <w:sz w:val="20"/>
                <w:szCs w:val="20"/>
              </w:rPr>
              <w:t xml:space="preserve"> [indicar a capacidade jurídica da pessoa que assina o Formulário de Apresentação da Proposta]</w:t>
            </w:r>
          </w:p>
        </w:tc>
      </w:tr>
      <w:tr w14:paraId="0BFE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8784" w:type="dxa"/>
          </w:tcPr>
          <w:p w14:paraId="2EA5004B">
            <w:pPr>
              <w:rPr>
                <w:bCs/>
                <w:iCs/>
                <w:sz w:val="20"/>
                <w:szCs w:val="20"/>
              </w:rPr>
            </w:pPr>
            <w:r>
              <w:rPr>
                <w:b/>
                <w:bCs/>
                <w:iCs/>
                <w:sz w:val="20"/>
                <w:szCs w:val="20"/>
              </w:rPr>
              <w:t>Nome:</w:t>
            </w:r>
            <w:r>
              <w:rPr>
                <w:bCs/>
                <w:iCs/>
                <w:sz w:val="20"/>
                <w:szCs w:val="20"/>
              </w:rPr>
              <w:t xml:space="preserve"> [indicar o nome completo da pessoa que assina o Formulário de Apresentação da Proposta]</w:t>
            </w:r>
          </w:p>
        </w:tc>
      </w:tr>
      <w:tr w14:paraId="03522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8784" w:type="dxa"/>
          </w:tcPr>
          <w:p w14:paraId="50ACA6DA">
            <w:pPr>
              <w:rPr>
                <w:bCs/>
                <w:iCs/>
                <w:sz w:val="20"/>
                <w:szCs w:val="20"/>
              </w:rPr>
            </w:pPr>
            <w:r>
              <w:rPr>
                <w:b/>
                <w:bCs/>
                <w:iCs/>
                <w:sz w:val="20"/>
                <w:szCs w:val="20"/>
              </w:rPr>
              <w:t>Devidamente autorizado para assinar a proposta em nome de:</w:t>
            </w:r>
            <w:r>
              <w:rPr>
                <w:bCs/>
                <w:iCs/>
                <w:sz w:val="20"/>
                <w:szCs w:val="20"/>
              </w:rPr>
              <w:t xml:space="preserve"> [indicar o nome completo do concorrente]</w:t>
            </w:r>
          </w:p>
        </w:tc>
      </w:tr>
      <w:tr w14:paraId="7C68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8784" w:type="dxa"/>
          </w:tcPr>
          <w:p w14:paraId="2754F28C">
            <w:pPr>
              <w:rPr>
                <w:bCs/>
                <w:iCs/>
                <w:sz w:val="20"/>
                <w:szCs w:val="20"/>
              </w:rPr>
            </w:pPr>
            <w:r>
              <w:rPr>
                <w:b/>
                <w:bCs/>
                <w:iCs/>
                <w:sz w:val="20"/>
                <w:szCs w:val="20"/>
              </w:rPr>
              <w:t>Data</w:t>
            </w:r>
            <w:r>
              <w:rPr>
                <w:bCs/>
                <w:iCs/>
                <w:sz w:val="20"/>
                <w:szCs w:val="20"/>
              </w:rPr>
              <w:t>: [indicar a data da assinatura]</w:t>
            </w:r>
          </w:p>
        </w:tc>
      </w:tr>
    </w:tbl>
    <w:p w14:paraId="555A9CAD">
      <w:pPr>
        <w:rPr>
          <w:bCs/>
          <w:iCs/>
          <w:sz w:val="20"/>
          <w:szCs w:val="20"/>
        </w:rPr>
      </w:pPr>
    </w:p>
    <w:p w14:paraId="6411E1F4">
      <w:pPr>
        <w:rPr>
          <w:bCs/>
          <w:iCs/>
          <w:sz w:val="20"/>
          <w:szCs w:val="20"/>
        </w:rPr>
      </w:pPr>
      <w:r>
        <w:rPr>
          <w:bCs/>
          <w:iCs/>
          <w:sz w:val="20"/>
          <w:szCs w:val="20"/>
        </w:rPr>
        <w:br w:type="page"/>
      </w:r>
    </w:p>
    <w:p w14:paraId="4E70F923">
      <w:pPr>
        <w:pStyle w:val="73"/>
      </w:pPr>
      <w:bookmarkStart w:id="172" w:name="_Toc174537333"/>
      <w:bookmarkStart w:id="173" w:name="_Toc138934242"/>
      <w:bookmarkStart w:id="174" w:name="_Toc168229962"/>
      <w:bookmarkStart w:id="175" w:name="_Toc153208997"/>
      <w:bookmarkStart w:id="176" w:name="_Toc138499332"/>
      <w:bookmarkStart w:id="177" w:name="_Toc99023971"/>
      <w:bookmarkStart w:id="178" w:name="_Toc88660836"/>
      <w:bookmarkStart w:id="179" w:name="_Toc113103927"/>
      <w:bookmarkStart w:id="180" w:name="_Toc181758875"/>
      <w:bookmarkStart w:id="181" w:name="_Toc401816078"/>
      <w:bookmarkStart w:id="182" w:name="_Toc138437005"/>
      <w:r>
        <w:t>MODELO 5 - RELAÇÃO DE CONTRATOS EXECUTADOS</w:t>
      </w:r>
      <w:bookmarkEnd w:id="172"/>
      <w:bookmarkEnd w:id="173"/>
      <w:bookmarkEnd w:id="174"/>
      <w:bookmarkEnd w:id="175"/>
      <w:bookmarkEnd w:id="176"/>
      <w:bookmarkStart w:id="183" w:name="_Hlt477851841"/>
      <w:bookmarkEnd w:id="183"/>
    </w:p>
    <w:bookmarkEnd w:id="177"/>
    <w:bookmarkEnd w:id="178"/>
    <w:bookmarkEnd w:id="179"/>
    <w:bookmarkEnd w:id="180"/>
    <w:bookmarkEnd w:id="181"/>
    <w:bookmarkEnd w:id="182"/>
    <w:p w14:paraId="494561D3">
      <w:pPr>
        <w:jc w:val="both"/>
        <w:rPr>
          <w:bCs/>
          <w:i/>
          <w:sz w:val="20"/>
          <w:szCs w:val="20"/>
        </w:rPr>
      </w:pPr>
      <w:bookmarkStart w:id="184" w:name="_Hlk168219629"/>
      <w:r>
        <w:rPr>
          <w:bCs/>
          <w:i/>
          <w:sz w:val="20"/>
          <w:szCs w:val="20"/>
        </w:rPr>
        <w:t>[Identificar os contratos que demonstrem trabalho contínuo de execução de obras durante os últimos [indicar] anos, em conformidade com a Seção 3 - Critérios de Elegibilidade e Qualificação]</w:t>
      </w:r>
    </w:p>
    <w:bookmarkEnd w:id="184"/>
    <w:tbl>
      <w:tblPr>
        <w:tblStyle w:val="12"/>
        <w:tblW w:w="94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039"/>
        <w:gridCol w:w="2241"/>
        <w:gridCol w:w="3146"/>
      </w:tblGrid>
      <w:tr w14:paraId="42D9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426" w:type="dxa"/>
            <w:gridSpan w:val="3"/>
          </w:tcPr>
          <w:p w14:paraId="358A1507">
            <w:pPr>
              <w:rPr>
                <w:b/>
                <w:bCs/>
                <w:iCs/>
                <w:sz w:val="20"/>
                <w:szCs w:val="20"/>
              </w:rPr>
            </w:pPr>
            <w:r>
              <w:rPr>
                <w:b/>
                <w:bCs/>
                <w:iCs/>
                <w:sz w:val="20"/>
                <w:szCs w:val="20"/>
              </w:rPr>
              <w:t>Concorrente: [indicar]</w:t>
            </w:r>
          </w:p>
        </w:tc>
      </w:tr>
      <w:tr w14:paraId="6803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4039" w:type="dxa"/>
          </w:tcPr>
          <w:p w14:paraId="4A0AB6D2">
            <w:pPr>
              <w:rPr>
                <w:b/>
                <w:bCs/>
                <w:iCs/>
                <w:sz w:val="20"/>
                <w:szCs w:val="20"/>
              </w:rPr>
            </w:pPr>
            <w:r>
              <w:rPr>
                <w:b/>
                <w:bCs/>
                <w:iCs/>
                <w:sz w:val="20"/>
                <w:szCs w:val="20"/>
              </w:rPr>
              <w:t xml:space="preserve">Concorrência Eletrônica – </w:t>
            </w:r>
            <w:r>
              <w:rPr>
                <w:b/>
                <w:bCs/>
                <w:iCs/>
                <w:sz w:val="20"/>
                <w:szCs w:val="20"/>
                <w:lang w:val="pt-PT"/>
              </w:rPr>
              <w:t>LPN</w:t>
            </w:r>
            <w:r>
              <w:rPr>
                <w:b/>
                <w:bCs/>
                <w:iCs/>
                <w:sz w:val="20"/>
                <w:szCs w:val="20"/>
              </w:rPr>
              <w:t xml:space="preserve"> Nº: [indicar]</w:t>
            </w:r>
          </w:p>
        </w:tc>
        <w:tc>
          <w:tcPr>
            <w:tcW w:w="2241" w:type="dxa"/>
          </w:tcPr>
          <w:p w14:paraId="2CCF9974">
            <w:pPr>
              <w:rPr>
                <w:b/>
                <w:bCs/>
                <w:iCs/>
                <w:sz w:val="20"/>
                <w:szCs w:val="20"/>
              </w:rPr>
            </w:pPr>
            <w:r>
              <w:rPr>
                <w:b/>
                <w:bCs/>
                <w:iCs/>
                <w:sz w:val="20"/>
                <w:szCs w:val="20"/>
              </w:rPr>
              <w:t>Lote Nº: [indicar]</w:t>
            </w:r>
          </w:p>
        </w:tc>
        <w:tc>
          <w:tcPr>
            <w:tcW w:w="3146" w:type="dxa"/>
          </w:tcPr>
          <w:p w14:paraId="105EB40F">
            <w:pPr>
              <w:rPr>
                <w:b/>
                <w:bCs/>
                <w:iCs/>
                <w:sz w:val="20"/>
                <w:szCs w:val="20"/>
              </w:rPr>
            </w:pPr>
            <w:r>
              <w:rPr>
                <w:b/>
                <w:bCs/>
                <w:iCs/>
                <w:sz w:val="20"/>
                <w:szCs w:val="20"/>
              </w:rPr>
              <w:t>Página: [indicar] de [indicar]</w:t>
            </w:r>
          </w:p>
        </w:tc>
      </w:tr>
      <w:tr w14:paraId="13CD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9426" w:type="dxa"/>
            <w:gridSpan w:val="3"/>
          </w:tcPr>
          <w:p w14:paraId="0F854F96">
            <w:pPr>
              <w:rPr>
                <w:b/>
                <w:bCs/>
                <w:iCs/>
                <w:sz w:val="20"/>
                <w:szCs w:val="20"/>
              </w:rPr>
            </w:pPr>
            <w:r>
              <w:rPr>
                <w:b/>
                <w:bCs/>
                <w:iCs/>
                <w:sz w:val="20"/>
                <w:szCs w:val="20"/>
              </w:rPr>
              <w:t>Obra: [indicar a Obra]</w:t>
            </w:r>
          </w:p>
        </w:tc>
      </w:tr>
    </w:tbl>
    <w:p w14:paraId="3B916E83">
      <w:pPr>
        <w:rPr>
          <w:bCs/>
          <w:iCs/>
          <w:sz w:val="20"/>
          <w:szCs w:val="20"/>
        </w:rPr>
      </w:pPr>
    </w:p>
    <w:tbl>
      <w:tblPr>
        <w:tblStyle w:val="1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1677"/>
        <w:gridCol w:w="4818"/>
        <w:gridCol w:w="1728"/>
      </w:tblGrid>
      <w:tr w14:paraId="1CB9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241" w:type="dxa"/>
            <w:shd w:val="clear" w:color="auto" w:fill="auto"/>
            <w:vAlign w:val="center"/>
          </w:tcPr>
          <w:p w14:paraId="4356A82F">
            <w:pPr>
              <w:spacing w:before="120" w:after="120"/>
              <w:jc w:val="center"/>
              <w:rPr>
                <w:b/>
                <w:bCs/>
                <w:iCs/>
                <w:sz w:val="20"/>
                <w:szCs w:val="20"/>
              </w:rPr>
            </w:pPr>
            <w:r>
              <w:rPr>
                <w:b/>
                <w:bCs/>
                <w:iCs/>
                <w:sz w:val="20"/>
                <w:szCs w:val="20"/>
              </w:rPr>
              <w:t>Mês/Ano do Início</w:t>
            </w:r>
          </w:p>
        </w:tc>
        <w:tc>
          <w:tcPr>
            <w:tcW w:w="1677" w:type="dxa"/>
            <w:shd w:val="clear" w:color="auto" w:fill="auto"/>
            <w:vAlign w:val="center"/>
          </w:tcPr>
          <w:p w14:paraId="1140B20A">
            <w:pPr>
              <w:spacing w:before="120" w:after="120"/>
              <w:jc w:val="center"/>
              <w:rPr>
                <w:b/>
                <w:bCs/>
                <w:iCs/>
                <w:sz w:val="20"/>
                <w:szCs w:val="20"/>
              </w:rPr>
            </w:pPr>
            <w:r>
              <w:rPr>
                <w:b/>
                <w:bCs/>
                <w:iCs/>
                <w:sz w:val="20"/>
                <w:szCs w:val="20"/>
              </w:rPr>
              <w:t>Mês/Ano do Término</w:t>
            </w:r>
          </w:p>
        </w:tc>
        <w:tc>
          <w:tcPr>
            <w:tcW w:w="4818" w:type="dxa"/>
            <w:shd w:val="clear" w:color="auto" w:fill="auto"/>
            <w:vAlign w:val="center"/>
          </w:tcPr>
          <w:p w14:paraId="10207CDA">
            <w:pPr>
              <w:spacing w:before="120" w:after="120"/>
              <w:jc w:val="center"/>
              <w:rPr>
                <w:b/>
                <w:bCs/>
                <w:iCs/>
                <w:sz w:val="20"/>
                <w:szCs w:val="20"/>
              </w:rPr>
            </w:pPr>
            <w:r>
              <w:rPr>
                <w:b/>
                <w:bCs/>
                <w:iCs/>
                <w:sz w:val="20"/>
                <w:szCs w:val="20"/>
              </w:rPr>
              <w:t>Identificação do Contrato</w:t>
            </w:r>
          </w:p>
        </w:tc>
        <w:tc>
          <w:tcPr>
            <w:tcW w:w="1728" w:type="dxa"/>
            <w:shd w:val="clear" w:color="auto" w:fill="auto"/>
            <w:vAlign w:val="center"/>
          </w:tcPr>
          <w:p w14:paraId="768FF73F">
            <w:pPr>
              <w:spacing w:before="120" w:after="120"/>
              <w:jc w:val="center"/>
              <w:rPr>
                <w:b/>
                <w:bCs/>
                <w:iCs/>
                <w:sz w:val="20"/>
                <w:szCs w:val="20"/>
              </w:rPr>
            </w:pPr>
            <w:r>
              <w:rPr>
                <w:b/>
                <w:bCs/>
                <w:iCs/>
                <w:sz w:val="20"/>
                <w:szCs w:val="20"/>
              </w:rPr>
              <w:t>Cargo do Licitante</w:t>
            </w:r>
          </w:p>
        </w:tc>
      </w:tr>
      <w:tr w14:paraId="5B82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shd w:val="clear" w:color="auto" w:fill="auto"/>
          </w:tcPr>
          <w:p w14:paraId="4A4A1093">
            <w:pPr>
              <w:rPr>
                <w:bCs/>
                <w:iCs/>
                <w:sz w:val="20"/>
                <w:szCs w:val="20"/>
              </w:rPr>
            </w:pPr>
            <w:r>
              <w:rPr>
                <w:bCs/>
                <w:iCs/>
                <w:sz w:val="20"/>
                <w:szCs w:val="20"/>
              </w:rPr>
              <w:t>[Inserir o mês/ano]</w:t>
            </w:r>
          </w:p>
        </w:tc>
        <w:tc>
          <w:tcPr>
            <w:tcW w:w="1677" w:type="dxa"/>
            <w:shd w:val="clear" w:color="auto" w:fill="auto"/>
          </w:tcPr>
          <w:p w14:paraId="090FFDAD">
            <w:pPr>
              <w:rPr>
                <w:bCs/>
                <w:iCs/>
                <w:sz w:val="20"/>
                <w:szCs w:val="20"/>
              </w:rPr>
            </w:pPr>
            <w:r>
              <w:rPr>
                <w:bCs/>
                <w:iCs/>
                <w:sz w:val="20"/>
                <w:szCs w:val="20"/>
              </w:rPr>
              <w:t>[Inserir o mês/ano]</w:t>
            </w:r>
          </w:p>
        </w:tc>
        <w:tc>
          <w:tcPr>
            <w:tcW w:w="4818" w:type="dxa"/>
            <w:shd w:val="clear" w:color="auto" w:fill="auto"/>
          </w:tcPr>
          <w:p w14:paraId="32A2F365">
            <w:pPr>
              <w:rPr>
                <w:bCs/>
                <w:iCs/>
                <w:sz w:val="20"/>
                <w:szCs w:val="20"/>
              </w:rPr>
            </w:pPr>
            <w:r>
              <w:rPr>
                <w:bCs/>
                <w:iCs/>
                <w:sz w:val="20"/>
                <w:szCs w:val="20"/>
              </w:rPr>
              <w:t>Nome do Contrato: [inserir o nome completo]</w:t>
            </w:r>
          </w:p>
          <w:p w14:paraId="02E47EAC">
            <w:pPr>
              <w:rPr>
                <w:bCs/>
                <w:iCs/>
                <w:sz w:val="20"/>
                <w:szCs w:val="20"/>
              </w:rPr>
            </w:pPr>
            <w:r>
              <w:rPr>
                <w:bCs/>
                <w:iCs/>
                <w:sz w:val="20"/>
                <w:szCs w:val="20"/>
              </w:rPr>
              <w:t>Breve descrição das obras realizadas pelo Licitante [descreva brevemente as obras realizadas]</w:t>
            </w:r>
          </w:p>
          <w:p w14:paraId="631FA85B">
            <w:pPr>
              <w:rPr>
                <w:bCs/>
                <w:iCs/>
                <w:sz w:val="20"/>
                <w:szCs w:val="20"/>
              </w:rPr>
            </w:pPr>
            <w:r>
              <w:rPr>
                <w:bCs/>
                <w:iCs/>
                <w:sz w:val="20"/>
                <w:szCs w:val="20"/>
              </w:rPr>
              <w:t>Montante do contrato [inserir montante total em moeda original]</w:t>
            </w:r>
          </w:p>
          <w:p w14:paraId="2ED09BF4">
            <w:pPr>
              <w:rPr>
                <w:bCs/>
                <w:iCs/>
                <w:sz w:val="20"/>
                <w:szCs w:val="20"/>
              </w:rPr>
            </w:pPr>
            <w:r>
              <w:rPr>
                <w:bCs/>
                <w:iCs/>
                <w:sz w:val="20"/>
                <w:szCs w:val="20"/>
              </w:rPr>
              <w:t>[Inserir o montante equivalente em reais]</w:t>
            </w:r>
          </w:p>
          <w:p w14:paraId="1C42B36B">
            <w:pPr>
              <w:rPr>
                <w:bCs/>
                <w:iCs/>
                <w:sz w:val="20"/>
                <w:szCs w:val="20"/>
              </w:rPr>
            </w:pPr>
            <w:r>
              <w:rPr>
                <w:bCs/>
                <w:iCs/>
                <w:sz w:val="20"/>
                <w:szCs w:val="20"/>
              </w:rPr>
              <w:t xml:space="preserve">Taxa de Câmbio [inserir taxas de câmbio utilizadas para calcular montantes equivalentes em reais] </w:t>
            </w:r>
          </w:p>
          <w:p w14:paraId="3BAC6E6F">
            <w:pPr>
              <w:rPr>
                <w:bCs/>
                <w:iCs/>
                <w:sz w:val="20"/>
                <w:szCs w:val="20"/>
              </w:rPr>
            </w:pPr>
            <w:r>
              <w:rPr>
                <w:bCs/>
                <w:iCs/>
                <w:sz w:val="20"/>
                <w:szCs w:val="20"/>
              </w:rPr>
              <w:t>Nome do Contratante: [inserir o nome completo]</w:t>
            </w:r>
          </w:p>
          <w:p w14:paraId="105D672B">
            <w:pPr>
              <w:rPr>
                <w:bCs/>
                <w:iCs/>
                <w:sz w:val="20"/>
                <w:szCs w:val="20"/>
              </w:rPr>
            </w:pPr>
            <w:r>
              <w:rPr>
                <w:bCs/>
                <w:iCs/>
                <w:sz w:val="20"/>
                <w:szCs w:val="20"/>
              </w:rPr>
              <w:t>Endereço: [inserir a rua, número, cidade, país]</w:t>
            </w:r>
          </w:p>
          <w:p w14:paraId="774C7497">
            <w:pPr>
              <w:rPr>
                <w:bCs/>
                <w:iCs/>
                <w:sz w:val="20"/>
                <w:szCs w:val="20"/>
              </w:rPr>
            </w:pPr>
            <w:r>
              <w:rPr>
                <w:bCs/>
                <w:iCs/>
                <w:sz w:val="20"/>
                <w:szCs w:val="20"/>
              </w:rPr>
              <w:t>Número de registro no CREA ou órgão similar: [inserir]</w:t>
            </w:r>
          </w:p>
        </w:tc>
        <w:tc>
          <w:tcPr>
            <w:tcW w:w="1728" w:type="dxa"/>
            <w:shd w:val="clear" w:color="auto" w:fill="auto"/>
          </w:tcPr>
          <w:p w14:paraId="23705C38">
            <w:pPr>
              <w:rPr>
                <w:bCs/>
                <w:iCs/>
                <w:sz w:val="20"/>
                <w:szCs w:val="20"/>
              </w:rPr>
            </w:pPr>
            <w:r>
              <w:rPr>
                <w:bCs/>
                <w:iCs/>
                <w:sz w:val="20"/>
                <w:szCs w:val="20"/>
              </w:rPr>
              <w:t>[inserir “Empreiteiro” ou “Subempreiteiro” ou “Empreiteiro Administrador”]</w:t>
            </w:r>
          </w:p>
        </w:tc>
      </w:tr>
      <w:tr w14:paraId="60290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shd w:val="clear" w:color="auto" w:fill="auto"/>
          </w:tcPr>
          <w:p w14:paraId="45288E47">
            <w:pPr>
              <w:rPr>
                <w:bCs/>
                <w:iCs/>
                <w:sz w:val="20"/>
                <w:szCs w:val="20"/>
              </w:rPr>
            </w:pPr>
            <w:r>
              <w:rPr>
                <w:bCs/>
                <w:iCs/>
                <w:sz w:val="20"/>
                <w:szCs w:val="20"/>
              </w:rPr>
              <w:t>[Inserir o mês/ano]</w:t>
            </w:r>
          </w:p>
        </w:tc>
        <w:tc>
          <w:tcPr>
            <w:tcW w:w="1677" w:type="dxa"/>
            <w:shd w:val="clear" w:color="auto" w:fill="auto"/>
          </w:tcPr>
          <w:p w14:paraId="7D9F6A3D">
            <w:pPr>
              <w:rPr>
                <w:bCs/>
                <w:iCs/>
                <w:sz w:val="20"/>
                <w:szCs w:val="20"/>
              </w:rPr>
            </w:pPr>
            <w:r>
              <w:rPr>
                <w:bCs/>
                <w:iCs/>
                <w:sz w:val="20"/>
                <w:szCs w:val="20"/>
              </w:rPr>
              <w:t>[Inserir o mês/ano]</w:t>
            </w:r>
          </w:p>
        </w:tc>
        <w:tc>
          <w:tcPr>
            <w:tcW w:w="4818" w:type="dxa"/>
            <w:shd w:val="clear" w:color="auto" w:fill="auto"/>
          </w:tcPr>
          <w:p w14:paraId="3E373188">
            <w:pPr>
              <w:rPr>
                <w:bCs/>
                <w:iCs/>
                <w:sz w:val="20"/>
                <w:szCs w:val="20"/>
              </w:rPr>
            </w:pPr>
            <w:r>
              <w:rPr>
                <w:bCs/>
                <w:iCs/>
                <w:sz w:val="20"/>
                <w:szCs w:val="20"/>
              </w:rPr>
              <w:t>Nome do Contrato: [inserir o nome completo]</w:t>
            </w:r>
          </w:p>
          <w:p w14:paraId="7E84DE22">
            <w:pPr>
              <w:rPr>
                <w:bCs/>
                <w:iCs/>
                <w:sz w:val="20"/>
                <w:szCs w:val="20"/>
              </w:rPr>
            </w:pPr>
            <w:r>
              <w:rPr>
                <w:bCs/>
                <w:iCs/>
                <w:sz w:val="20"/>
                <w:szCs w:val="20"/>
              </w:rPr>
              <w:t>Breve descrição das obras realizadas pelo Licitante [descreva brevemente as obras realizadas]</w:t>
            </w:r>
          </w:p>
          <w:p w14:paraId="054DD2C4">
            <w:pPr>
              <w:rPr>
                <w:bCs/>
                <w:iCs/>
                <w:sz w:val="20"/>
                <w:szCs w:val="20"/>
              </w:rPr>
            </w:pPr>
            <w:r>
              <w:rPr>
                <w:bCs/>
                <w:iCs/>
                <w:sz w:val="20"/>
                <w:szCs w:val="20"/>
              </w:rPr>
              <w:t>Montante do contrato [inserir montante total em moeda original]</w:t>
            </w:r>
          </w:p>
          <w:p w14:paraId="2292DBB8">
            <w:pPr>
              <w:rPr>
                <w:bCs/>
                <w:iCs/>
                <w:sz w:val="20"/>
                <w:szCs w:val="20"/>
              </w:rPr>
            </w:pPr>
            <w:r>
              <w:rPr>
                <w:bCs/>
                <w:iCs/>
                <w:sz w:val="20"/>
                <w:szCs w:val="20"/>
              </w:rPr>
              <w:t>[Inserir o montante equivalente em reais]</w:t>
            </w:r>
          </w:p>
          <w:p w14:paraId="2850ACFC">
            <w:pPr>
              <w:rPr>
                <w:bCs/>
                <w:iCs/>
                <w:sz w:val="20"/>
                <w:szCs w:val="20"/>
              </w:rPr>
            </w:pPr>
            <w:r>
              <w:rPr>
                <w:bCs/>
                <w:iCs/>
                <w:sz w:val="20"/>
                <w:szCs w:val="20"/>
              </w:rPr>
              <w:t xml:space="preserve">Taxa de Câmbio [inserir taxas de câmbio utilizadas para calcular montantes equivalentes em reais] </w:t>
            </w:r>
          </w:p>
          <w:p w14:paraId="5812F543">
            <w:pPr>
              <w:rPr>
                <w:bCs/>
                <w:iCs/>
                <w:sz w:val="20"/>
                <w:szCs w:val="20"/>
              </w:rPr>
            </w:pPr>
            <w:r>
              <w:rPr>
                <w:bCs/>
                <w:iCs/>
                <w:sz w:val="20"/>
                <w:szCs w:val="20"/>
              </w:rPr>
              <w:t>Nome do Contratante: [inserir o nome completo]</w:t>
            </w:r>
          </w:p>
          <w:p w14:paraId="4CF13C2B">
            <w:pPr>
              <w:rPr>
                <w:bCs/>
                <w:iCs/>
                <w:sz w:val="20"/>
                <w:szCs w:val="20"/>
              </w:rPr>
            </w:pPr>
            <w:r>
              <w:rPr>
                <w:bCs/>
                <w:iCs/>
                <w:sz w:val="20"/>
                <w:szCs w:val="20"/>
              </w:rPr>
              <w:t>Endereço: [inserir a rua, número, cidade, país]</w:t>
            </w:r>
          </w:p>
          <w:p w14:paraId="4C90DEA8">
            <w:pPr>
              <w:rPr>
                <w:bCs/>
                <w:iCs/>
                <w:sz w:val="20"/>
                <w:szCs w:val="20"/>
              </w:rPr>
            </w:pPr>
            <w:r>
              <w:rPr>
                <w:bCs/>
                <w:iCs/>
                <w:sz w:val="20"/>
                <w:szCs w:val="20"/>
              </w:rPr>
              <w:t>Número de registro no CREA ou órgão similar: [inserir]</w:t>
            </w:r>
          </w:p>
        </w:tc>
        <w:tc>
          <w:tcPr>
            <w:tcW w:w="1728" w:type="dxa"/>
            <w:shd w:val="clear" w:color="auto" w:fill="auto"/>
          </w:tcPr>
          <w:p w14:paraId="6DBA6509">
            <w:pPr>
              <w:rPr>
                <w:bCs/>
                <w:iCs/>
                <w:sz w:val="20"/>
                <w:szCs w:val="20"/>
              </w:rPr>
            </w:pPr>
            <w:r>
              <w:rPr>
                <w:bCs/>
                <w:iCs/>
                <w:sz w:val="20"/>
                <w:szCs w:val="20"/>
              </w:rPr>
              <w:t>[inserir “Empreiteiro” ou “Subempreiteiro” ou “Empreiteiro Administrador”]</w:t>
            </w:r>
          </w:p>
        </w:tc>
      </w:tr>
      <w:tr w14:paraId="7D22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shd w:val="clear" w:color="auto" w:fill="auto"/>
          </w:tcPr>
          <w:p w14:paraId="61D14B40">
            <w:pPr>
              <w:rPr>
                <w:bCs/>
                <w:iCs/>
                <w:sz w:val="20"/>
                <w:szCs w:val="20"/>
              </w:rPr>
            </w:pPr>
            <w:r>
              <w:rPr>
                <w:bCs/>
                <w:iCs/>
                <w:sz w:val="20"/>
                <w:szCs w:val="20"/>
              </w:rPr>
              <w:t>[Inserir o mês/ano]</w:t>
            </w:r>
          </w:p>
        </w:tc>
        <w:tc>
          <w:tcPr>
            <w:tcW w:w="1677" w:type="dxa"/>
            <w:shd w:val="clear" w:color="auto" w:fill="auto"/>
          </w:tcPr>
          <w:p w14:paraId="1BE4E0FD">
            <w:pPr>
              <w:rPr>
                <w:bCs/>
                <w:iCs/>
                <w:sz w:val="20"/>
                <w:szCs w:val="20"/>
              </w:rPr>
            </w:pPr>
            <w:r>
              <w:rPr>
                <w:bCs/>
                <w:iCs/>
                <w:sz w:val="20"/>
                <w:szCs w:val="20"/>
              </w:rPr>
              <w:t>[Inserir o mês/ano]</w:t>
            </w:r>
          </w:p>
        </w:tc>
        <w:tc>
          <w:tcPr>
            <w:tcW w:w="4818" w:type="dxa"/>
            <w:shd w:val="clear" w:color="auto" w:fill="auto"/>
          </w:tcPr>
          <w:p w14:paraId="729E0198">
            <w:pPr>
              <w:rPr>
                <w:bCs/>
                <w:iCs/>
                <w:sz w:val="20"/>
                <w:szCs w:val="20"/>
              </w:rPr>
            </w:pPr>
            <w:r>
              <w:rPr>
                <w:bCs/>
                <w:iCs/>
                <w:sz w:val="20"/>
                <w:szCs w:val="20"/>
              </w:rPr>
              <w:t>Nome do Contrato: [inserir o nome completo]</w:t>
            </w:r>
          </w:p>
          <w:p w14:paraId="335F99C0">
            <w:pPr>
              <w:rPr>
                <w:bCs/>
                <w:iCs/>
                <w:sz w:val="20"/>
                <w:szCs w:val="20"/>
              </w:rPr>
            </w:pPr>
            <w:r>
              <w:rPr>
                <w:bCs/>
                <w:iCs/>
                <w:sz w:val="20"/>
                <w:szCs w:val="20"/>
              </w:rPr>
              <w:t>Breve descrição das obras realizadas pelo Licitante [descreva brevemente as obras realizadas]</w:t>
            </w:r>
          </w:p>
          <w:p w14:paraId="6382D788">
            <w:pPr>
              <w:rPr>
                <w:bCs/>
                <w:iCs/>
                <w:sz w:val="20"/>
                <w:szCs w:val="20"/>
              </w:rPr>
            </w:pPr>
            <w:r>
              <w:rPr>
                <w:bCs/>
                <w:iCs/>
                <w:sz w:val="20"/>
                <w:szCs w:val="20"/>
              </w:rPr>
              <w:t>Montante do contrato [inserir montante total em moeda original]</w:t>
            </w:r>
          </w:p>
          <w:p w14:paraId="11124464">
            <w:pPr>
              <w:rPr>
                <w:bCs/>
                <w:iCs/>
                <w:sz w:val="20"/>
                <w:szCs w:val="20"/>
              </w:rPr>
            </w:pPr>
            <w:r>
              <w:rPr>
                <w:bCs/>
                <w:iCs/>
                <w:sz w:val="20"/>
                <w:szCs w:val="20"/>
              </w:rPr>
              <w:t>[Inserir o montante equivalente em reais]</w:t>
            </w:r>
          </w:p>
          <w:p w14:paraId="5C3A798A">
            <w:pPr>
              <w:rPr>
                <w:bCs/>
                <w:iCs/>
                <w:sz w:val="20"/>
                <w:szCs w:val="20"/>
              </w:rPr>
            </w:pPr>
            <w:r>
              <w:rPr>
                <w:bCs/>
                <w:iCs/>
                <w:sz w:val="20"/>
                <w:szCs w:val="20"/>
              </w:rPr>
              <w:t xml:space="preserve">Taxa de Câmbio [inserir taxas de câmbio utilizadas para calcular montantes equivalentes em reais] </w:t>
            </w:r>
          </w:p>
          <w:p w14:paraId="5C4071B0">
            <w:pPr>
              <w:rPr>
                <w:bCs/>
                <w:iCs/>
                <w:sz w:val="20"/>
                <w:szCs w:val="20"/>
              </w:rPr>
            </w:pPr>
            <w:r>
              <w:rPr>
                <w:bCs/>
                <w:iCs/>
                <w:sz w:val="20"/>
                <w:szCs w:val="20"/>
              </w:rPr>
              <w:t>Nome do Contratante: [inserir o nome completo]</w:t>
            </w:r>
          </w:p>
          <w:p w14:paraId="6A7FA709">
            <w:pPr>
              <w:rPr>
                <w:bCs/>
                <w:iCs/>
                <w:sz w:val="20"/>
                <w:szCs w:val="20"/>
              </w:rPr>
            </w:pPr>
            <w:r>
              <w:rPr>
                <w:bCs/>
                <w:iCs/>
                <w:sz w:val="20"/>
                <w:szCs w:val="20"/>
              </w:rPr>
              <w:t>Endereço: [inserir a rua, número, cidade, país]</w:t>
            </w:r>
          </w:p>
          <w:p w14:paraId="7FF0617C">
            <w:pPr>
              <w:rPr>
                <w:bCs/>
                <w:iCs/>
                <w:sz w:val="20"/>
                <w:szCs w:val="20"/>
              </w:rPr>
            </w:pPr>
            <w:r>
              <w:rPr>
                <w:bCs/>
                <w:iCs/>
                <w:sz w:val="20"/>
                <w:szCs w:val="20"/>
              </w:rPr>
              <w:t>Número de registro no CREA ou órgão similar: [inserir]</w:t>
            </w:r>
          </w:p>
        </w:tc>
        <w:tc>
          <w:tcPr>
            <w:tcW w:w="1728" w:type="dxa"/>
            <w:shd w:val="clear" w:color="auto" w:fill="auto"/>
          </w:tcPr>
          <w:p w14:paraId="59A5CAE1">
            <w:pPr>
              <w:rPr>
                <w:bCs/>
                <w:iCs/>
                <w:sz w:val="20"/>
                <w:szCs w:val="20"/>
              </w:rPr>
            </w:pPr>
            <w:r>
              <w:rPr>
                <w:bCs/>
                <w:iCs/>
                <w:sz w:val="20"/>
                <w:szCs w:val="20"/>
              </w:rPr>
              <w:t>[inserir “Empreiteiro” ou “Subempreiteiro” ou “Empreiteiro Administrador”]</w:t>
            </w:r>
          </w:p>
        </w:tc>
      </w:tr>
      <w:tr w14:paraId="1C86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shd w:val="clear" w:color="auto" w:fill="auto"/>
          </w:tcPr>
          <w:p w14:paraId="075D5043">
            <w:pPr>
              <w:rPr>
                <w:bCs/>
                <w:iCs/>
                <w:sz w:val="20"/>
                <w:szCs w:val="20"/>
              </w:rPr>
            </w:pPr>
            <w:r>
              <w:rPr>
                <w:bCs/>
                <w:iCs/>
                <w:sz w:val="20"/>
                <w:szCs w:val="20"/>
              </w:rPr>
              <w:t>[Inserir o mês/ano]</w:t>
            </w:r>
          </w:p>
        </w:tc>
        <w:tc>
          <w:tcPr>
            <w:tcW w:w="1677" w:type="dxa"/>
            <w:shd w:val="clear" w:color="auto" w:fill="auto"/>
          </w:tcPr>
          <w:p w14:paraId="3B8B9B5F">
            <w:pPr>
              <w:rPr>
                <w:bCs/>
                <w:iCs/>
                <w:sz w:val="20"/>
                <w:szCs w:val="20"/>
              </w:rPr>
            </w:pPr>
            <w:r>
              <w:rPr>
                <w:bCs/>
                <w:iCs/>
                <w:sz w:val="20"/>
                <w:szCs w:val="20"/>
              </w:rPr>
              <w:t>[Inserir o mês/ano]</w:t>
            </w:r>
          </w:p>
        </w:tc>
        <w:tc>
          <w:tcPr>
            <w:tcW w:w="4818" w:type="dxa"/>
            <w:shd w:val="clear" w:color="auto" w:fill="auto"/>
          </w:tcPr>
          <w:p w14:paraId="088F45DB">
            <w:pPr>
              <w:rPr>
                <w:bCs/>
                <w:iCs/>
                <w:sz w:val="20"/>
                <w:szCs w:val="20"/>
              </w:rPr>
            </w:pPr>
            <w:r>
              <w:rPr>
                <w:bCs/>
                <w:iCs/>
                <w:sz w:val="20"/>
                <w:szCs w:val="20"/>
              </w:rPr>
              <w:t>Nome do Contrato: [inserir o nome completo]</w:t>
            </w:r>
          </w:p>
          <w:p w14:paraId="64EDCDE8">
            <w:pPr>
              <w:rPr>
                <w:bCs/>
                <w:iCs/>
                <w:sz w:val="20"/>
                <w:szCs w:val="20"/>
              </w:rPr>
            </w:pPr>
            <w:r>
              <w:rPr>
                <w:bCs/>
                <w:iCs/>
                <w:sz w:val="20"/>
                <w:szCs w:val="20"/>
              </w:rPr>
              <w:t>Breve descrição das obras realizadas pelo Licitante [descreva brevemente as obras realizadas]</w:t>
            </w:r>
          </w:p>
          <w:p w14:paraId="337CD107">
            <w:pPr>
              <w:rPr>
                <w:bCs/>
                <w:iCs/>
                <w:sz w:val="20"/>
                <w:szCs w:val="20"/>
              </w:rPr>
            </w:pPr>
            <w:r>
              <w:rPr>
                <w:bCs/>
                <w:iCs/>
                <w:sz w:val="20"/>
                <w:szCs w:val="20"/>
              </w:rPr>
              <w:t>Montante do contrato [inserir montante total em moeda original]</w:t>
            </w:r>
          </w:p>
          <w:p w14:paraId="24704EC5">
            <w:pPr>
              <w:rPr>
                <w:bCs/>
                <w:iCs/>
                <w:sz w:val="20"/>
                <w:szCs w:val="20"/>
              </w:rPr>
            </w:pPr>
            <w:r>
              <w:rPr>
                <w:bCs/>
                <w:iCs/>
                <w:sz w:val="20"/>
                <w:szCs w:val="20"/>
              </w:rPr>
              <w:t>[Inserir o montante equivalente em reais]</w:t>
            </w:r>
          </w:p>
          <w:p w14:paraId="3899E8B0">
            <w:pPr>
              <w:rPr>
                <w:bCs/>
                <w:iCs/>
                <w:sz w:val="20"/>
                <w:szCs w:val="20"/>
              </w:rPr>
            </w:pPr>
            <w:r>
              <w:rPr>
                <w:bCs/>
                <w:iCs/>
                <w:sz w:val="20"/>
                <w:szCs w:val="20"/>
              </w:rPr>
              <w:t xml:space="preserve">Taxa de Câmbio [inserir taxas de câmbio utilizadas para calcular montantes equivalentes em reais] </w:t>
            </w:r>
          </w:p>
          <w:p w14:paraId="0C1D5A32">
            <w:pPr>
              <w:rPr>
                <w:bCs/>
                <w:iCs/>
                <w:sz w:val="20"/>
                <w:szCs w:val="20"/>
              </w:rPr>
            </w:pPr>
            <w:r>
              <w:rPr>
                <w:bCs/>
                <w:iCs/>
                <w:sz w:val="20"/>
                <w:szCs w:val="20"/>
              </w:rPr>
              <w:t>Nome do Contratante: [inserir o nome completo]</w:t>
            </w:r>
          </w:p>
          <w:p w14:paraId="001FE6AE">
            <w:pPr>
              <w:rPr>
                <w:bCs/>
                <w:iCs/>
                <w:sz w:val="20"/>
                <w:szCs w:val="20"/>
              </w:rPr>
            </w:pPr>
            <w:r>
              <w:rPr>
                <w:bCs/>
                <w:iCs/>
                <w:sz w:val="20"/>
                <w:szCs w:val="20"/>
              </w:rPr>
              <w:t>Endereço: [inserir a rua, número, cidade, país]</w:t>
            </w:r>
          </w:p>
          <w:p w14:paraId="20C8D037">
            <w:pPr>
              <w:rPr>
                <w:bCs/>
                <w:iCs/>
                <w:sz w:val="20"/>
                <w:szCs w:val="20"/>
              </w:rPr>
            </w:pPr>
            <w:r>
              <w:rPr>
                <w:bCs/>
                <w:iCs/>
                <w:sz w:val="20"/>
                <w:szCs w:val="20"/>
              </w:rPr>
              <w:t>Número de registro no CREA ou órgão similar: [inserir]</w:t>
            </w:r>
          </w:p>
        </w:tc>
        <w:tc>
          <w:tcPr>
            <w:tcW w:w="1728" w:type="dxa"/>
            <w:shd w:val="clear" w:color="auto" w:fill="auto"/>
          </w:tcPr>
          <w:p w14:paraId="34B02AE4">
            <w:pPr>
              <w:rPr>
                <w:bCs/>
                <w:iCs/>
                <w:sz w:val="20"/>
                <w:szCs w:val="20"/>
              </w:rPr>
            </w:pPr>
            <w:r>
              <w:rPr>
                <w:bCs/>
                <w:iCs/>
                <w:sz w:val="20"/>
                <w:szCs w:val="20"/>
              </w:rPr>
              <w:t>[inserir “Empreiteiro” ou “Subempreiteiro” ou “Empreiteiro Administrador”]</w:t>
            </w:r>
          </w:p>
        </w:tc>
      </w:tr>
    </w:tbl>
    <w:p w14:paraId="230F484F">
      <w:pPr>
        <w:rPr>
          <w:bCs/>
          <w:iCs/>
          <w:sz w:val="20"/>
          <w:szCs w:val="20"/>
        </w:rPr>
      </w:pPr>
    </w:p>
    <w:tbl>
      <w:tblPr>
        <w:tblStyle w:val="12"/>
        <w:tblW w:w="9513"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7296"/>
      </w:tblGrid>
      <w:tr w14:paraId="134A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17" w:type="dxa"/>
          </w:tcPr>
          <w:p w14:paraId="299D5464">
            <w:pPr>
              <w:rPr>
                <w:bCs/>
                <w:iCs/>
                <w:sz w:val="20"/>
                <w:szCs w:val="20"/>
              </w:rPr>
            </w:pPr>
            <w:r>
              <w:rPr>
                <w:b/>
                <w:bCs/>
                <w:iCs/>
                <w:sz w:val="20"/>
                <w:szCs w:val="20"/>
              </w:rPr>
              <w:t>Data:</w:t>
            </w:r>
            <w:r>
              <w:rPr>
                <w:bCs/>
                <w:iCs/>
                <w:sz w:val="20"/>
                <w:szCs w:val="20"/>
              </w:rPr>
              <w:t xml:space="preserve"> [indicar]</w:t>
            </w:r>
          </w:p>
        </w:tc>
        <w:tc>
          <w:tcPr>
            <w:tcW w:w="7296" w:type="dxa"/>
          </w:tcPr>
          <w:p w14:paraId="41843419">
            <w:pPr>
              <w:rPr>
                <w:bCs/>
                <w:iCs/>
                <w:sz w:val="20"/>
                <w:szCs w:val="20"/>
              </w:rPr>
            </w:pPr>
            <w:r>
              <w:rPr>
                <w:b/>
                <w:bCs/>
                <w:iCs/>
                <w:sz w:val="20"/>
                <w:szCs w:val="20"/>
              </w:rPr>
              <w:t>Assinatura:</w:t>
            </w:r>
            <w:r>
              <w:rPr>
                <w:bCs/>
                <w:iCs/>
                <w:sz w:val="20"/>
                <w:szCs w:val="20"/>
              </w:rPr>
              <w:t xml:space="preserve"> [assinar]</w:t>
            </w:r>
          </w:p>
        </w:tc>
      </w:tr>
      <w:tr w14:paraId="360C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513" w:type="dxa"/>
            <w:gridSpan w:val="2"/>
          </w:tcPr>
          <w:p w14:paraId="43F11A8C">
            <w:pPr>
              <w:rPr>
                <w:bCs/>
                <w:iCs/>
                <w:sz w:val="20"/>
                <w:szCs w:val="20"/>
              </w:rPr>
            </w:pPr>
            <w:r>
              <w:rPr>
                <w:b/>
                <w:bCs/>
                <w:iCs/>
                <w:sz w:val="20"/>
                <w:szCs w:val="20"/>
              </w:rPr>
              <w:t>Nome e Cargo:</w:t>
            </w:r>
            <w:r>
              <w:rPr>
                <w:bCs/>
                <w:iCs/>
                <w:sz w:val="20"/>
                <w:szCs w:val="20"/>
              </w:rPr>
              <w:t xml:space="preserve"> [indicar]</w:t>
            </w:r>
          </w:p>
        </w:tc>
      </w:tr>
    </w:tbl>
    <w:p w14:paraId="63197C15">
      <w:pPr>
        <w:rPr>
          <w:b/>
          <w:bCs/>
          <w:iCs/>
          <w:sz w:val="20"/>
          <w:szCs w:val="20"/>
        </w:rPr>
      </w:pPr>
    </w:p>
    <w:p w14:paraId="2D8E3F4D">
      <w:pPr>
        <w:rPr>
          <w:bCs/>
          <w:iCs/>
          <w:sz w:val="20"/>
          <w:szCs w:val="20"/>
        </w:rPr>
      </w:pPr>
      <w:r>
        <w:rPr>
          <w:b/>
          <w:bCs/>
          <w:iCs/>
          <w:sz w:val="20"/>
          <w:szCs w:val="20"/>
        </w:rPr>
        <w:t>Notas:</w:t>
      </w:r>
      <w:r>
        <w:rPr>
          <w:bCs/>
          <w:iCs/>
          <w:sz w:val="20"/>
          <w:szCs w:val="20"/>
        </w:rPr>
        <w:t xml:space="preserve"> </w:t>
      </w:r>
    </w:p>
    <w:p w14:paraId="7278ED84">
      <w:pPr>
        <w:jc w:val="both"/>
        <w:rPr>
          <w:bCs/>
          <w:iCs/>
          <w:sz w:val="20"/>
          <w:szCs w:val="20"/>
        </w:rPr>
      </w:pPr>
      <w:r>
        <w:rPr>
          <w:bCs/>
          <w:iCs/>
          <w:sz w:val="20"/>
          <w:szCs w:val="20"/>
        </w:rPr>
        <w:t>(a) o concorrente poderá apresentar, caso necessário, outros documentos e relacioná-los; e</w:t>
      </w:r>
    </w:p>
    <w:p w14:paraId="657FF993">
      <w:pPr>
        <w:jc w:val="both"/>
        <w:rPr>
          <w:bCs/>
          <w:iCs/>
          <w:sz w:val="20"/>
          <w:szCs w:val="20"/>
        </w:rPr>
      </w:pPr>
      <w:r>
        <w:rPr>
          <w:bCs/>
          <w:iCs/>
          <w:sz w:val="20"/>
          <w:szCs w:val="20"/>
        </w:rPr>
        <w:t>(b) o concorrente deve:</w:t>
      </w:r>
    </w:p>
    <w:p w14:paraId="6288F677">
      <w:pPr>
        <w:spacing w:before="60" w:after="60"/>
        <w:ind w:left="284"/>
        <w:jc w:val="both"/>
        <w:rPr>
          <w:iCs/>
          <w:sz w:val="20"/>
          <w:szCs w:val="20"/>
        </w:rPr>
      </w:pPr>
      <w:r>
        <w:rPr>
          <w:iCs/>
          <w:sz w:val="20"/>
          <w:szCs w:val="20"/>
        </w:rPr>
        <w:t>(i) numerar os serviços executados em obras com características similares à(s) que se constitui (em) objeto(s) desta licitação. Anexar os documentos comprobatórios nesta relação;</w:t>
      </w:r>
    </w:p>
    <w:p w14:paraId="217E7E34">
      <w:pPr>
        <w:spacing w:before="60" w:after="60"/>
        <w:ind w:left="284"/>
        <w:jc w:val="both"/>
        <w:rPr>
          <w:iCs/>
          <w:sz w:val="20"/>
          <w:szCs w:val="20"/>
        </w:rPr>
      </w:pPr>
      <w:r>
        <w:rPr>
          <w:iCs/>
          <w:sz w:val="20"/>
          <w:szCs w:val="20"/>
        </w:rPr>
        <w:t>(ii) enumerar os contratos cronologicamente de acordo com as datas de início; e</w:t>
      </w:r>
    </w:p>
    <w:p w14:paraId="1346E9AD">
      <w:pPr>
        <w:spacing w:before="60" w:after="60"/>
        <w:ind w:left="284"/>
        <w:jc w:val="both"/>
        <w:rPr>
          <w:iCs/>
          <w:sz w:val="20"/>
          <w:szCs w:val="20"/>
        </w:rPr>
      </w:pPr>
      <w:r>
        <w:rPr>
          <w:iCs/>
          <w:sz w:val="20"/>
          <w:szCs w:val="20"/>
        </w:rPr>
        <w:t>(iii) juntar cópias dos atestados/certidões fornecidos por pessoas jurídicas de direito público e/ou privado, devidamente certificados averbados pelo CREA ou CRA ou órgão similar de outro país, indicando na coluna o número de ordem de atestado pertinente.</w:t>
      </w:r>
    </w:p>
    <w:p w14:paraId="15A561D3">
      <w:pPr>
        <w:rPr>
          <w:bCs/>
          <w:iCs/>
          <w:sz w:val="20"/>
          <w:szCs w:val="20"/>
        </w:rPr>
      </w:pPr>
      <w:r>
        <w:rPr>
          <w:bCs/>
          <w:iCs/>
          <w:sz w:val="20"/>
          <w:szCs w:val="20"/>
        </w:rPr>
        <w:br w:type="page"/>
      </w:r>
      <w:bookmarkStart w:id="185" w:name="_Hlt477851733"/>
      <w:bookmarkEnd w:id="185"/>
    </w:p>
    <w:p w14:paraId="51FC9796">
      <w:pPr>
        <w:pStyle w:val="73"/>
      </w:pPr>
      <w:bookmarkStart w:id="186" w:name="_Toc401816079"/>
      <w:bookmarkStart w:id="187" w:name="_Toc181758876"/>
      <w:bookmarkStart w:id="188" w:name="_Toc138437006"/>
      <w:bookmarkStart w:id="189" w:name="_Toc168229963"/>
      <w:bookmarkStart w:id="190" w:name="_Toc174537334"/>
      <w:bookmarkStart w:id="191" w:name="_Toc113103928"/>
      <w:bookmarkStart w:id="192" w:name="_Toc88660837"/>
      <w:bookmarkStart w:id="193" w:name="_Toc153208998"/>
      <w:bookmarkStart w:id="194" w:name="_Toc99023972"/>
      <w:bookmarkStart w:id="195" w:name="_Hlk99008248"/>
      <w:bookmarkStart w:id="196" w:name="_Hlk88660657"/>
      <w:r>
        <w:t>MODELO 6 -</w:t>
      </w:r>
      <w:bookmarkEnd w:id="186"/>
      <w:bookmarkEnd w:id="187"/>
      <w:r>
        <w:t>RELAÇÃO DE SERVIÇOS EXECUTADOS PELOS PROFISSIONAIS DA EQUIPE CHAVE</w:t>
      </w:r>
      <w:bookmarkEnd w:id="188"/>
      <w:bookmarkEnd w:id="189"/>
      <w:bookmarkEnd w:id="190"/>
      <w:bookmarkEnd w:id="191"/>
      <w:bookmarkEnd w:id="192"/>
      <w:bookmarkEnd w:id="193"/>
      <w:bookmarkEnd w:id="194"/>
      <w:bookmarkEnd w:id="195"/>
    </w:p>
    <w:tbl>
      <w:tblPr>
        <w:tblStyle w:val="12"/>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92"/>
        <w:gridCol w:w="2156"/>
        <w:gridCol w:w="1066"/>
        <w:gridCol w:w="599"/>
        <w:gridCol w:w="1384"/>
        <w:gridCol w:w="685"/>
        <w:gridCol w:w="2366"/>
      </w:tblGrid>
      <w:tr w14:paraId="6394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21" w:hRule="atLeast"/>
          <w:jc w:val="center"/>
        </w:trPr>
        <w:tc>
          <w:tcPr>
            <w:tcW w:w="4114" w:type="dxa"/>
            <w:gridSpan w:val="3"/>
          </w:tcPr>
          <w:p w14:paraId="01D4412E">
            <w:pPr>
              <w:rPr>
                <w:b/>
                <w:bCs/>
                <w:iCs/>
                <w:sz w:val="20"/>
                <w:szCs w:val="20"/>
              </w:rPr>
            </w:pPr>
            <w:r>
              <w:rPr>
                <w:b/>
                <w:bCs/>
                <w:iCs/>
                <w:sz w:val="20"/>
                <w:szCs w:val="20"/>
              </w:rPr>
              <w:t>Concorrente: [indicar]</w:t>
            </w:r>
          </w:p>
        </w:tc>
        <w:tc>
          <w:tcPr>
            <w:tcW w:w="5033" w:type="dxa"/>
            <w:gridSpan w:val="4"/>
          </w:tcPr>
          <w:p w14:paraId="0E812F58">
            <w:pPr>
              <w:rPr>
                <w:b/>
                <w:bCs/>
                <w:iCs/>
                <w:sz w:val="20"/>
                <w:szCs w:val="20"/>
              </w:rPr>
            </w:pPr>
            <w:r>
              <w:rPr>
                <w:b/>
                <w:bCs/>
                <w:iCs/>
                <w:sz w:val="20"/>
                <w:szCs w:val="20"/>
              </w:rPr>
              <w:t xml:space="preserve">Nome do </w:t>
            </w:r>
            <w:r>
              <w:rPr>
                <w:b/>
                <w:bCs/>
                <w:i/>
                <w:iCs/>
                <w:sz w:val="20"/>
                <w:szCs w:val="20"/>
              </w:rPr>
              <w:t>Profissional</w:t>
            </w:r>
            <w:r>
              <w:rPr>
                <w:b/>
                <w:bCs/>
                <w:iCs/>
                <w:sz w:val="20"/>
                <w:szCs w:val="20"/>
              </w:rPr>
              <w:t>: [indicar]</w:t>
            </w:r>
          </w:p>
        </w:tc>
      </w:tr>
      <w:tr w14:paraId="7F67B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12" w:hRule="atLeast"/>
          <w:jc w:val="center"/>
        </w:trPr>
        <w:tc>
          <w:tcPr>
            <w:tcW w:w="4114" w:type="dxa"/>
            <w:gridSpan w:val="3"/>
          </w:tcPr>
          <w:p w14:paraId="784529C1">
            <w:pPr>
              <w:rPr>
                <w:b/>
                <w:bCs/>
                <w:iCs/>
                <w:sz w:val="20"/>
                <w:szCs w:val="20"/>
              </w:rPr>
            </w:pPr>
            <w:r>
              <w:rPr>
                <w:b/>
                <w:bCs/>
                <w:iCs/>
                <w:sz w:val="20"/>
                <w:szCs w:val="20"/>
              </w:rPr>
              <w:t>Formação: [indicar]</w:t>
            </w:r>
          </w:p>
        </w:tc>
        <w:tc>
          <w:tcPr>
            <w:tcW w:w="5033" w:type="dxa"/>
            <w:gridSpan w:val="4"/>
          </w:tcPr>
          <w:p w14:paraId="4D22B97C">
            <w:pPr>
              <w:rPr>
                <w:b/>
                <w:bCs/>
                <w:iCs/>
                <w:sz w:val="20"/>
                <w:szCs w:val="20"/>
              </w:rPr>
            </w:pPr>
            <w:r>
              <w:rPr>
                <w:b/>
                <w:bCs/>
                <w:iCs/>
                <w:sz w:val="20"/>
                <w:szCs w:val="20"/>
              </w:rPr>
              <w:t>Anos de Experiência Específica: [indicar]</w:t>
            </w:r>
          </w:p>
        </w:tc>
      </w:tr>
      <w:tr w14:paraId="7744B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3" w:hRule="atLeast"/>
          <w:jc w:val="center"/>
        </w:trPr>
        <w:tc>
          <w:tcPr>
            <w:tcW w:w="3048" w:type="dxa"/>
            <w:gridSpan w:val="2"/>
          </w:tcPr>
          <w:p w14:paraId="197DC69E">
            <w:pPr>
              <w:rPr>
                <w:b/>
                <w:bCs/>
                <w:iCs/>
                <w:sz w:val="20"/>
                <w:szCs w:val="20"/>
              </w:rPr>
            </w:pPr>
            <w:r>
              <w:rPr>
                <w:b/>
                <w:bCs/>
                <w:iCs/>
                <w:sz w:val="20"/>
                <w:szCs w:val="20"/>
              </w:rPr>
              <w:t>Concorrência Eletrônica– LPN: [indicar]</w:t>
            </w:r>
          </w:p>
        </w:tc>
        <w:tc>
          <w:tcPr>
            <w:tcW w:w="3049" w:type="dxa"/>
            <w:gridSpan w:val="3"/>
          </w:tcPr>
          <w:p w14:paraId="39972513">
            <w:pPr>
              <w:rPr>
                <w:b/>
                <w:bCs/>
                <w:iCs/>
                <w:sz w:val="20"/>
                <w:szCs w:val="20"/>
              </w:rPr>
            </w:pPr>
            <w:r>
              <w:rPr>
                <w:b/>
                <w:bCs/>
                <w:iCs/>
                <w:sz w:val="20"/>
                <w:szCs w:val="20"/>
              </w:rPr>
              <w:t>Lote Nº: [indicar]</w:t>
            </w:r>
          </w:p>
        </w:tc>
        <w:tc>
          <w:tcPr>
            <w:tcW w:w="3049" w:type="dxa"/>
            <w:gridSpan w:val="2"/>
          </w:tcPr>
          <w:p w14:paraId="2A0C0BFC">
            <w:pPr>
              <w:rPr>
                <w:b/>
                <w:bCs/>
                <w:iCs/>
                <w:sz w:val="20"/>
                <w:szCs w:val="20"/>
              </w:rPr>
            </w:pPr>
            <w:r>
              <w:rPr>
                <w:b/>
                <w:bCs/>
                <w:iCs/>
                <w:sz w:val="20"/>
                <w:szCs w:val="20"/>
              </w:rPr>
              <w:t>Página: [indicar] de [indicar]</w:t>
            </w:r>
          </w:p>
        </w:tc>
      </w:tr>
      <w:tr w14:paraId="6730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12" w:hRule="atLeast"/>
          <w:jc w:val="center"/>
        </w:trPr>
        <w:tc>
          <w:tcPr>
            <w:tcW w:w="9148" w:type="dxa"/>
            <w:gridSpan w:val="7"/>
          </w:tcPr>
          <w:p w14:paraId="47E6A677">
            <w:pPr>
              <w:rPr>
                <w:b/>
                <w:bCs/>
                <w:iCs/>
                <w:sz w:val="20"/>
                <w:szCs w:val="20"/>
              </w:rPr>
            </w:pPr>
            <w:r>
              <w:rPr>
                <w:b/>
                <w:bCs/>
                <w:iCs/>
                <w:sz w:val="20"/>
                <w:szCs w:val="20"/>
              </w:rPr>
              <w:t>Obra</w:t>
            </w:r>
            <w:r>
              <w:rPr>
                <w:iCs/>
                <w:sz w:val="20"/>
                <w:szCs w:val="20"/>
              </w:rPr>
              <w:t>: [indicar a Obra]</w:t>
            </w:r>
          </w:p>
        </w:tc>
      </w:tr>
      <w:tr w14:paraId="33758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92" w:type="dxa"/>
            <w:vAlign w:val="center"/>
          </w:tcPr>
          <w:p w14:paraId="2A5DDA7F">
            <w:pPr>
              <w:jc w:val="center"/>
              <w:rPr>
                <w:b/>
                <w:i/>
                <w:iCs/>
                <w:sz w:val="20"/>
                <w:szCs w:val="20"/>
              </w:rPr>
            </w:pPr>
            <w:bookmarkStart w:id="197" w:name="_Toc266861345"/>
            <w:bookmarkStart w:id="198" w:name="_Toc266861741"/>
            <w:r>
              <w:rPr>
                <w:b/>
                <w:iCs/>
                <w:sz w:val="20"/>
                <w:szCs w:val="20"/>
              </w:rPr>
              <w:t>ITEM Nº</w:t>
            </w:r>
            <w:bookmarkEnd w:id="197"/>
            <w:bookmarkEnd w:id="198"/>
          </w:p>
          <w:p w14:paraId="696BFE0E">
            <w:pPr>
              <w:jc w:val="center"/>
              <w:rPr>
                <w:b/>
                <w:i/>
                <w:iCs/>
                <w:sz w:val="20"/>
                <w:szCs w:val="20"/>
              </w:rPr>
            </w:pPr>
            <w:bookmarkStart w:id="199" w:name="_Toc266861346"/>
            <w:bookmarkStart w:id="200" w:name="_Toc266861742"/>
            <w:r>
              <w:rPr>
                <w:b/>
                <w:iCs/>
                <w:sz w:val="20"/>
                <w:szCs w:val="20"/>
              </w:rPr>
              <w:t>(1)</w:t>
            </w:r>
            <w:bookmarkEnd w:id="199"/>
            <w:bookmarkEnd w:id="200"/>
          </w:p>
        </w:tc>
        <w:tc>
          <w:tcPr>
            <w:tcW w:w="3821" w:type="dxa"/>
            <w:gridSpan w:val="3"/>
            <w:vAlign w:val="center"/>
          </w:tcPr>
          <w:p w14:paraId="01770F8B">
            <w:pPr>
              <w:jc w:val="center"/>
              <w:rPr>
                <w:b/>
                <w:i/>
                <w:iCs/>
                <w:sz w:val="20"/>
                <w:szCs w:val="20"/>
              </w:rPr>
            </w:pPr>
            <w:bookmarkStart w:id="201" w:name="_Toc266861743"/>
            <w:bookmarkStart w:id="202" w:name="_Toc266861347"/>
            <w:r>
              <w:rPr>
                <w:b/>
                <w:iCs/>
                <w:sz w:val="20"/>
                <w:szCs w:val="20"/>
              </w:rPr>
              <w:t>DESCRIÇÃO DA OBRA</w:t>
            </w:r>
            <w:bookmarkEnd w:id="201"/>
            <w:bookmarkEnd w:id="202"/>
          </w:p>
          <w:p w14:paraId="1AB137D9">
            <w:pPr>
              <w:jc w:val="center"/>
              <w:rPr>
                <w:b/>
                <w:i/>
                <w:iCs/>
                <w:sz w:val="20"/>
                <w:szCs w:val="20"/>
              </w:rPr>
            </w:pPr>
            <w:bookmarkStart w:id="203" w:name="_Toc266861744"/>
            <w:bookmarkStart w:id="204" w:name="_Toc266861348"/>
            <w:r>
              <w:rPr>
                <w:b/>
                <w:iCs/>
                <w:sz w:val="20"/>
                <w:szCs w:val="20"/>
              </w:rPr>
              <w:t>(2)</w:t>
            </w:r>
            <w:bookmarkEnd w:id="203"/>
            <w:bookmarkEnd w:id="204"/>
          </w:p>
        </w:tc>
        <w:tc>
          <w:tcPr>
            <w:tcW w:w="2069" w:type="dxa"/>
            <w:gridSpan w:val="2"/>
            <w:vAlign w:val="center"/>
          </w:tcPr>
          <w:p w14:paraId="034CAB94">
            <w:pPr>
              <w:jc w:val="center"/>
              <w:rPr>
                <w:b/>
                <w:i/>
                <w:iCs/>
                <w:sz w:val="20"/>
                <w:szCs w:val="20"/>
              </w:rPr>
            </w:pPr>
            <w:bookmarkStart w:id="205" w:name="_Toc266861745"/>
            <w:bookmarkStart w:id="206" w:name="_Toc266861349"/>
            <w:r>
              <w:rPr>
                <w:b/>
                <w:iCs/>
                <w:sz w:val="20"/>
                <w:szCs w:val="20"/>
              </w:rPr>
              <w:t>Nº REGISTRO NO CREA</w:t>
            </w:r>
            <w:bookmarkEnd w:id="205"/>
            <w:bookmarkEnd w:id="206"/>
          </w:p>
          <w:p w14:paraId="7C2AB959">
            <w:pPr>
              <w:jc w:val="center"/>
              <w:rPr>
                <w:b/>
                <w:i/>
                <w:iCs/>
                <w:sz w:val="20"/>
                <w:szCs w:val="20"/>
              </w:rPr>
            </w:pPr>
            <w:bookmarkStart w:id="207" w:name="_Toc266861746"/>
            <w:bookmarkStart w:id="208" w:name="_Toc266861350"/>
            <w:r>
              <w:rPr>
                <w:b/>
                <w:iCs/>
                <w:sz w:val="20"/>
                <w:szCs w:val="20"/>
              </w:rPr>
              <w:t>(3)</w:t>
            </w:r>
            <w:bookmarkEnd w:id="207"/>
            <w:bookmarkEnd w:id="208"/>
          </w:p>
        </w:tc>
        <w:tc>
          <w:tcPr>
            <w:tcW w:w="2364" w:type="dxa"/>
            <w:vAlign w:val="center"/>
          </w:tcPr>
          <w:p w14:paraId="7C67596A">
            <w:pPr>
              <w:jc w:val="center"/>
              <w:rPr>
                <w:b/>
                <w:i/>
                <w:iCs/>
                <w:sz w:val="20"/>
                <w:szCs w:val="20"/>
              </w:rPr>
            </w:pPr>
            <w:bookmarkStart w:id="209" w:name="_Toc266861747"/>
            <w:bookmarkStart w:id="210" w:name="_Toc266861351"/>
            <w:r>
              <w:rPr>
                <w:b/>
                <w:iCs/>
                <w:sz w:val="20"/>
                <w:szCs w:val="20"/>
              </w:rPr>
              <w:t>EMPRESA</w:t>
            </w:r>
            <w:bookmarkEnd w:id="209"/>
            <w:bookmarkEnd w:id="210"/>
            <w:bookmarkStart w:id="211" w:name="_Toc266861748"/>
            <w:bookmarkStart w:id="212" w:name="_Toc266861352"/>
            <w:r>
              <w:rPr>
                <w:b/>
                <w:iCs/>
                <w:sz w:val="20"/>
                <w:szCs w:val="20"/>
              </w:rPr>
              <w:t xml:space="preserve"> EXECUTORA</w:t>
            </w:r>
            <w:bookmarkEnd w:id="211"/>
            <w:bookmarkEnd w:id="212"/>
          </w:p>
          <w:p w14:paraId="75BED47D">
            <w:pPr>
              <w:jc w:val="center"/>
              <w:rPr>
                <w:b/>
                <w:i/>
                <w:iCs/>
                <w:sz w:val="20"/>
                <w:szCs w:val="20"/>
              </w:rPr>
            </w:pPr>
            <w:bookmarkStart w:id="213" w:name="_Toc266861749"/>
            <w:bookmarkStart w:id="214" w:name="_Toc266861353"/>
            <w:r>
              <w:rPr>
                <w:b/>
                <w:iCs/>
                <w:sz w:val="20"/>
                <w:szCs w:val="20"/>
              </w:rPr>
              <w:t>(4)</w:t>
            </w:r>
            <w:bookmarkEnd w:id="213"/>
            <w:bookmarkEnd w:id="214"/>
          </w:p>
        </w:tc>
      </w:tr>
      <w:tr w14:paraId="7E87B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5" w:hRule="atLeast"/>
          <w:jc w:val="center"/>
        </w:trPr>
        <w:tc>
          <w:tcPr>
            <w:tcW w:w="892" w:type="dxa"/>
          </w:tcPr>
          <w:p w14:paraId="20116A02">
            <w:pPr>
              <w:rPr>
                <w:bCs/>
                <w:iCs/>
                <w:sz w:val="20"/>
                <w:szCs w:val="20"/>
              </w:rPr>
            </w:pPr>
          </w:p>
        </w:tc>
        <w:tc>
          <w:tcPr>
            <w:tcW w:w="3821" w:type="dxa"/>
            <w:gridSpan w:val="3"/>
          </w:tcPr>
          <w:p w14:paraId="7615251B">
            <w:pPr>
              <w:rPr>
                <w:bCs/>
                <w:iCs/>
                <w:sz w:val="20"/>
                <w:szCs w:val="20"/>
              </w:rPr>
            </w:pPr>
          </w:p>
        </w:tc>
        <w:tc>
          <w:tcPr>
            <w:tcW w:w="2069" w:type="dxa"/>
            <w:gridSpan w:val="2"/>
          </w:tcPr>
          <w:p w14:paraId="0956FEF8">
            <w:pPr>
              <w:rPr>
                <w:bCs/>
                <w:iCs/>
                <w:sz w:val="20"/>
                <w:szCs w:val="20"/>
              </w:rPr>
            </w:pPr>
          </w:p>
        </w:tc>
        <w:tc>
          <w:tcPr>
            <w:tcW w:w="2364" w:type="dxa"/>
          </w:tcPr>
          <w:p w14:paraId="5684D6CE">
            <w:pPr>
              <w:rPr>
                <w:bCs/>
                <w:iCs/>
                <w:sz w:val="20"/>
                <w:szCs w:val="20"/>
              </w:rPr>
            </w:pPr>
          </w:p>
        </w:tc>
      </w:tr>
      <w:bookmarkEnd w:id="196"/>
    </w:tbl>
    <w:p w14:paraId="27825192">
      <w:pPr>
        <w:rPr>
          <w:b/>
          <w:bCs/>
          <w:iCs/>
          <w:sz w:val="20"/>
          <w:szCs w:val="20"/>
        </w:rPr>
      </w:pPr>
      <w:bookmarkStart w:id="215" w:name="_Toc266861750"/>
      <w:bookmarkStart w:id="216" w:name="_Toc266861354"/>
      <w:bookmarkStart w:id="217" w:name="_Toc138437008"/>
      <w:bookmarkStart w:id="218" w:name="_Toc99023974"/>
      <w:bookmarkStart w:id="219" w:name="_Toc401816081"/>
      <w:bookmarkStart w:id="220" w:name="_Toc113103930"/>
      <w:bookmarkStart w:id="221" w:name="_Toc400641906"/>
      <w:bookmarkStart w:id="222" w:name="_Toc88660839"/>
    </w:p>
    <w:p w14:paraId="10BF4599">
      <w:pPr>
        <w:rPr>
          <w:b/>
          <w:bCs/>
          <w:iCs/>
          <w:sz w:val="20"/>
          <w:szCs w:val="20"/>
        </w:rPr>
      </w:pPr>
      <w:r>
        <w:rPr>
          <w:b/>
          <w:bCs/>
          <w:iCs/>
          <w:sz w:val="20"/>
          <w:szCs w:val="20"/>
        </w:rPr>
        <w:t>Termo de Compromisso do Profissional:</w:t>
      </w:r>
      <w:bookmarkEnd w:id="215"/>
      <w:bookmarkEnd w:id="216"/>
    </w:p>
    <w:p w14:paraId="4DF35C32">
      <w:pPr>
        <w:rPr>
          <w:bCs/>
          <w:iCs/>
          <w:sz w:val="20"/>
          <w:szCs w:val="20"/>
        </w:rPr>
      </w:pPr>
      <w:bookmarkStart w:id="223" w:name="_Hlk139187341"/>
      <w:r>
        <w:rPr>
          <w:bCs/>
          <w:iCs/>
          <w:sz w:val="20"/>
          <w:szCs w:val="20"/>
        </w:rPr>
        <w:t xml:space="preserve">Concordo assumir como [indicar o cargo] da Obra acima identificada. </w:t>
      </w:r>
    </w:p>
    <w:bookmarkEnd w:id="223"/>
    <w:tbl>
      <w:tblPr>
        <w:tblStyle w:val="12"/>
        <w:tblW w:w="9229"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229"/>
      </w:tblGrid>
      <w:tr w14:paraId="0293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229" w:type="dxa"/>
          </w:tcPr>
          <w:p w14:paraId="39DFA9D6">
            <w:pPr>
              <w:rPr>
                <w:bCs/>
                <w:iCs/>
                <w:sz w:val="20"/>
                <w:szCs w:val="20"/>
              </w:rPr>
            </w:pPr>
            <w:bookmarkStart w:id="224" w:name="_Hlk138933850"/>
            <w:r>
              <w:rPr>
                <w:b/>
                <w:bCs/>
                <w:iCs/>
                <w:sz w:val="20"/>
                <w:szCs w:val="20"/>
              </w:rPr>
              <w:t>Local e Data</w:t>
            </w:r>
            <w:r>
              <w:rPr>
                <w:bCs/>
                <w:iCs/>
                <w:sz w:val="20"/>
                <w:szCs w:val="20"/>
              </w:rPr>
              <w:t>: [indicar]</w:t>
            </w:r>
          </w:p>
        </w:tc>
      </w:tr>
      <w:tr w14:paraId="1B27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71" w:hRule="atLeast"/>
        </w:trPr>
        <w:tc>
          <w:tcPr>
            <w:tcW w:w="9229" w:type="dxa"/>
          </w:tcPr>
          <w:p w14:paraId="1DBCE1EA">
            <w:pPr>
              <w:rPr>
                <w:bCs/>
                <w:iCs/>
                <w:sz w:val="20"/>
                <w:szCs w:val="20"/>
              </w:rPr>
            </w:pPr>
            <w:r>
              <w:rPr>
                <w:b/>
                <w:bCs/>
                <w:iCs/>
                <w:sz w:val="20"/>
                <w:szCs w:val="20"/>
              </w:rPr>
              <w:t>Assinatura do Profissional</w:t>
            </w:r>
            <w:r>
              <w:rPr>
                <w:bCs/>
                <w:iCs/>
                <w:sz w:val="20"/>
                <w:szCs w:val="20"/>
              </w:rPr>
              <w:t>:[assinar]</w:t>
            </w:r>
          </w:p>
        </w:tc>
      </w:tr>
      <w:bookmarkEnd w:id="224"/>
    </w:tbl>
    <w:p w14:paraId="4EDF464F">
      <w:pPr>
        <w:rPr>
          <w:b/>
          <w:iCs/>
          <w:sz w:val="20"/>
          <w:szCs w:val="20"/>
        </w:rPr>
      </w:pPr>
    </w:p>
    <w:p w14:paraId="3E4E2C1B">
      <w:pPr>
        <w:rPr>
          <w:b/>
          <w:iCs/>
          <w:sz w:val="20"/>
          <w:szCs w:val="20"/>
        </w:rPr>
      </w:pPr>
      <w:r>
        <w:rPr>
          <w:b/>
          <w:iCs/>
          <w:sz w:val="20"/>
          <w:szCs w:val="20"/>
        </w:rPr>
        <w:t xml:space="preserve">Notas: </w:t>
      </w:r>
      <w:bookmarkStart w:id="225" w:name="_Hlk102466656"/>
      <w:bookmarkStart w:id="226" w:name="_Hlk99008629"/>
    </w:p>
    <w:bookmarkEnd w:id="225"/>
    <w:bookmarkEnd w:id="226"/>
    <w:p w14:paraId="0BC7BCD5">
      <w:pPr>
        <w:rPr>
          <w:bCs/>
          <w:iCs/>
          <w:sz w:val="20"/>
          <w:szCs w:val="20"/>
        </w:rPr>
      </w:pPr>
      <w:r>
        <w:rPr>
          <w:bCs/>
          <w:iCs/>
          <w:sz w:val="20"/>
          <w:szCs w:val="20"/>
        </w:rPr>
        <w:t>(a) apresentar um formulário separado para cada profissional solicitado na Seção 3 do edital, subitem 5.1.</w:t>
      </w:r>
    </w:p>
    <w:p w14:paraId="6D2F7C64">
      <w:pPr>
        <w:rPr>
          <w:bCs/>
          <w:iCs/>
          <w:sz w:val="20"/>
          <w:szCs w:val="20"/>
        </w:rPr>
      </w:pPr>
      <w:r>
        <w:rPr>
          <w:bCs/>
          <w:iCs/>
          <w:sz w:val="20"/>
          <w:szCs w:val="20"/>
        </w:rPr>
        <w:t>(b) descrever o tipo/porte (quantitativos) da obra; e</w:t>
      </w:r>
    </w:p>
    <w:p w14:paraId="0B7FD191">
      <w:pPr>
        <w:rPr>
          <w:bCs/>
          <w:iCs/>
          <w:sz w:val="20"/>
          <w:szCs w:val="20"/>
        </w:rPr>
      </w:pPr>
      <w:r>
        <w:rPr>
          <w:bCs/>
          <w:iCs/>
          <w:sz w:val="20"/>
          <w:szCs w:val="20"/>
        </w:rPr>
        <w:t xml:space="preserve">(c) indicar </w:t>
      </w:r>
      <w:bookmarkStart w:id="227" w:name="_Hlk139187523"/>
      <w:r>
        <w:rPr>
          <w:bCs/>
          <w:iCs/>
          <w:sz w:val="20"/>
          <w:szCs w:val="20"/>
        </w:rPr>
        <w:t>o n</w:t>
      </w:r>
      <w:r>
        <w:rPr>
          <w:bCs/>
          <w:iCs/>
          <w:sz w:val="20"/>
          <w:szCs w:val="20"/>
          <w:u w:val="single"/>
          <w:vertAlign w:val="superscript"/>
        </w:rPr>
        <w:t>o</w:t>
      </w:r>
      <w:r>
        <w:rPr>
          <w:bCs/>
          <w:iCs/>
          <w:sz w:val="20"/>
          <w:szCs w:val="20"/>
        </w:rPr>
        <w:t xml:space="preserve"> de registro no </w:t>
      </w:r>
      <w:bookmarkEnd w:id="227"/>
      <w:r>
        <w:rPr>
          <w:bCs/>
          <w:iCs/>
          <w:sz w:val="20"/>
          <w:szCs w:val="20"/>
        </w:rPr>
        <w:t>CREA ou órgão similar.</w:t>
      </w:r>
    </w:p>
    <w:p w14:paraId="253FED64">
      <w:pPr>
        <w:rPr>
          <w:iCs/>
          <w:sz w:val="20"/>
          <w:szCs w:val="20"/>
        </w:rPr>
      </w:pPr>
      <w:r>
        <w:rPr>
          <w:iCs/>
          <w:sz w:val="20"/>
          <w:szCs w:val="20"/>
        </w:rPr>
        <w:br w:type="page"/>
      </w:r>
    </w:p>
    <w:p w14:paraId="2B54D6C4">
      <w:pPr>
        <w:pStyle w:val="73"/>
      </w:pPr>
      <w:bookmarkStart w:id="228" w:name="_Toc168229964"/>
      <w:bookmarkStart w:id="229" w:name="_Toc157091776"/>
      <w:bookmarkStart w:id="230" w:name="_Toc174537335"/>
      <w:bookmarkStart w:id="231" w:name="_Toc143677845"/>
      <w:bookmarkStart w:id="232" w:name="_Toc138499334"/>
      <w:r>
        <w:t>MODELO 7 – RELAÇÃO E VINCULAÇÃO DA EQUIPE CHAVE</w:t>
      </w:r>
      <w:bookmarkEnd w:id="228"/>
      <w:bookmarkEnd w:id="229"/>
      <w:bookmarkEnd w:id="230"/>
      <w:bookmarkEnd w:id="231"/>
      <w:bookmarkEnd w:id="232"/>
    </w:p>
    <w:tbl>
      <w:tblPr>
        <w:tblStyle w:val="12"/>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968"/>
        <w:gridCol w:w="2202"/>
        <w:gridCol w:w="2878"/>
      </w:tblGrid>
      <w:tr w14:paraId="5952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9" w:hRule="atLeast"/>
          <w:jc w:val="center"/>
        </w:trPr>
        <w:tc>
          <w:tcPr>
            <w:tcW w:w="9048" w:type="dxa"/>
            <w:gridSpan w:val="3"/>
          </w:tcPr>
          <w:p w14:paraId="4F275D2F">
            <w:pPr>
              <w:rPr>
                <w:b/>
                <w:bCs/>
                <w:iCs/>
                <w:sz w:val="20"/>
                <w:szCs w:val="20"/>
              </w:rPr>
            </w:pPr>
            <w:r>
              <w:rPr>
                <w:b/>
                <w:bCs/>
                <w:iCs/>
                <w:sz w:val="20"/>
                <w:szCs w:val="20"/>
              </w:rPr>
              <w:t xml:space="preserve">Concorrente: </w:t>
            </w:r>
            <w:r>
              <w:rPr>
                <w:iCs/>
                <w:sz w:val="20"/>
                <w:szCs w:val="20"/>
              </w:rPr>
              <w:t>[indicar]</w:t>
            </w:r>
          </w:p>
        </w:tc>
      </w:tr>
      <w:tr w14:paraId="7E43C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59" w:hRule="atLeast"/>
          <w:jc w:val="center"/>
        </w:trPr>
        <w:tc>
          <w:tcPr>
            <w:tcW w:w="3968" w:type="dxa"/>
          </w:tcPr>
          <w:p w14:paraId="3CC9AA14">
            <w:pPr>
              <w:rPr>
                <w:b/>
                <w:bCs/>
                <w:iCs/>
                <w:sz w:val="20"/>
                <w:szCs w:val="20"/>
              </w:rPr>
            </w:pPr>
            <w:r>
              <w:rPr>
                <w:b/>
                <w:bCs/>
                <w:iCs/>
                <w:sz w:val="20"/>
                <w:szCs w:val="20"/>
              </w:rPr>
              <w:t xml:space="preserve">Concorrência Eletrônica– LPN Nº: </w:t>
            </w:r>
            <w:r>
              <w:rPr>
                <w:iCs/>
                <w:sz w:val="20"/>
                <w:szCs w:val="20"/>
              </w:rPr>
              <w:t>[indicar]</w:t>
            </w:r>
          </w:p>
        </w:tc>
        <w:tc>
          <w:tcPr>
            <w:tcW w:w="2202" w:type="dxa"/>
          </w:tcPr>
          <w:p w14:paraId="11577D48">
            <w:pPr>
              <w:rPr>
                <w:b/>
                <w:bCs/>
                <w:iCs/>
                <w:sz w:val="20"/>
                <w:szCs w:val="20"/>
              </w:rPr>
            </w:pPr>
            <w:r>
              <w:rPr>
                <w:b/>
                <w:bCs/>
                <w:iCs/>
                <w:sz w:val="20"/>
                <w:szCs w:val="20"/>
              </w:rPr>
              <w:t xml:space="preserve">Lote Nº: </w:t>
            </w:r>
            <w:r>
              <w:rPr>
                <w:iCs/>
                <w:sz w:val="20"/>
                <w:szCs w:val="20"/>
              </w:rPr>
              <w:t>[indicar]</w:t>
            </w:r>
          </w:p>
        </w:tc>
        <w:tc>
          <w:tcPr>
            <w:tcW w:w="2878" w:type="dxa"/>
          </w:tcPr>
          <w:p w14:paraId="0A8F255F">
            <w:pPr>
              <w:rPr>
                <w:b/>
                <w:bCs/>
                <w:iCs/>
                <w:sz w:val="20"/>
                <w:szCs w:val="20"/>
              </w:rPr>
            </w:pPr>
            <w:r>
              <w:rPr>
                <w:b/>
                <w:bCs/>
                <w:iCs/>
                <w:sz w:val="20"/>
                <w:szCs w:val="20"/>
              </w:rPr>
              <w:t xml:space="preserve">Página: </w:t>
            </w:r>
            <w:r>
              <w:rPr>
                <w:iCs/>
                <w:sz w:val="20"/>
                <w:szCs w:val="20"/>
              </w:rPr>
              <w:t>[indicar]</w:t>
            </w:r>
            <w:r>
              <w:rPr>
                <w:b/>
                <w:bCs/>
                <w:iCs/>
                <w:sz w:val="20"/>
                <w:szCs w:val="20"/>
              </w:rPr>
              <w:t xml:space="preserve"> de </w:t>
            </w:r>
            <w:r>
              <w:rPr>
                <w:iCs/>
                <w:sz w:val="20"/>
                <w:szCs w:val="20"/>
              </w:rPr>
              <w:t>[indicar]</w:t>
            </w:r>
          </w:p>
        </w:tc>
      </w:tr>
      <w:tr w14:paraId="262F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59" w:hRule="atLeast"/>
          <w:jc w:val="center"/>
        </w:trPr>
        <w:tc>
          <w:tcPr>
            <w:tcW w:w="9048" w:type="dxa"/>
            <w:gridSpan w:val="3"/>
          </w:tcPr>
          <w:p w14:paraId="0CD43BBE">
            <w:pPr>
              <w:rPr>
                <w:b/>
                <w:bCs/>
                <w:iCs/>
                <w:sz w:val="20"/>
                <w:szCs w:val="20"/>
              </w:rPr>
            </w:pPr>
            <w:r>
              <w:rPr>
                <w:b/>
                <w:bCs/>
                <w:iCs/>
                <w:sz w:val="20"/>
                <w:szCs w:val="20"/>
              </w:rPr>
              <w:t xml:space="preserve">Obra: </w:t>
            </w:r>
            <w:r>
              <w:rPr>
                <w:iCs/>
                <w:sz w:val="20"/>
                <w:szCs w:val="20"/>
              </w:rPr>
              <w:t>[indicar a Obra]</w:t>
            </w:r>
          </w:p>
        </w:tc>
      </w:tr>
    </w:tbl>
    <w:p w14:paraId="4F86661E">
      <w:pPr>
        <w:rPr>
          <w:bCs/>
          <w:iCs/>
          <w:sz w:val="20"/>
          <w:szCs w:val="20"/>
        </w:rPr>
      </w:pPr>
    </w:p>
    <w:tbl>
      <w:tblPr>
        <w:tblStyle w:val="35"/>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835"/>
        <w:gridCol w:w="2126"/>
        <w:gridCol w:w="1701"/>
        <w:gridCol w:w="1559"/>
      </w:tblGrid>
      <w:tr w14:paraId="0A56F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vAlign w:val="center"/>
          </w:tcPr>
          <w:p w14:paraId="0D22D3A5">
            <w:pPr>
              <w:spacing w:after="160" w:line="259" w:lineRule="auto"/>
              <w:jc w:val="center"/>
              <w:rPr>
                <w:b/>
                <w:bCs/>
                <w:iCs/>
                <w:sz w:val="20"/>
                <w:szCs w:val="20"/>
              </w:rPr>
            </w:pPr>
            <w:r>
              <w:rPr>
                <w:b/>
                <w:bCs/>
                <w:iCs/>
                <w:sz w:val="20"/>
                <w:szCs w:val="20"/>
              </w:rPr>
              <w:t>Nº DE ORDEM</w:t>
            </w:r>
          </w:p>
        </w:tc>
        <w:tc>
          <w:tcPr>
            <w:tcW w:w="2835" w:type="dxa"/>
            <w:vMerge w:val="restart"/>
            <w:vAlign w:val="center"/>
          </w:tcPr>
          <w:p w14:paraId="3515B346">
            <w:pPr>
              <w:spacing w:after="160" w:line="259" w:lineRule="auto"/>
              <w:jc w:val="center"/>
              <w:rPr>
                <w:b/>
                <w:bCs/>
                <w:iCs/>
                <w:sz w:val="20"/>
                <w:szCs w:val="20"/>
              </w:rPr>
            </w:pPr>
            <w:r>
              <w:rPr>
                <w:b/>
                <w:bCs/>
                <w:iCs/>
                <w:sz w:val="20"/>
                <w:szCs w:val="20"/>
              </w:rPr>
              <w:t>NOME</w:t>
            </w:r>
          </w:p>
        </w:tc>
        <w:tc>
          <w:tcPr>
            <w:tcW w:w="2126" w:type="dxa"/>
            <w:vMerge w:val="restart"/>
            <w:vAlign w:val="center"/>
          </w:tcPr>
          <w:p w14:paraId="5039083E">
            <w:pPr>
              <w:spacing w:after="160" w:line="259" w:lineRule="auto"/>
              <w:jc w:val="center"/>
              <w:rPr>
                <w:b/>
                <w:bCs/>
                <w:iCs/>
                <w:sz w:val="20"/>
                <w:szCs w:val="20"/>
              </w:rPr>
            </w:pPr>
            <w:r>
              <w:rPr>
                <w:b/>
                <w:bCs/>
                <w:iCs/>
                <w:sz w:val="20"/>
                <w:szCs w:val="20"/>
              </w:rPr>
              <w:t>FUNÇÃO</w:t>
            </w:r>
          </w:p>
        </w:tc>
        <w:tc>
          <w:tcPr>
            <w:tcW w:w="3260" w:type="dxa"/>
            <w:gridSpan w:val="2"/>
            <w:vAlign w:val="center"/>
          </w:tcPr>
          <w:p w14:paraId="1F24A35D">
            <w:pPr>
              <w:spacing w:after="160" w:line="259" w:lineRule="auto"/>
              <w:jc w:val="center"/>
              <w:rPr>
                <w:b/>
                <w:bCs/>
                <w:iCs/>
                <w:sz w:val="20"/>
                <w:szCs w:val="20"/>
              </w:rPr>
            </w:pPr>
            <w:r>
              <w:rPr>
                <w:b/>
                <w:bCs/>
                <w:iCs/>
                <w:sz w:val="20"/>
                <w:szCs w:val="20"/>
              </w:rPr>
              <w:t>CÓDIGOS</w:t>
            </w:r>
          </w:p>
        </w:tc>
      </w:tr>
      <w:tr w14:paraId="1756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988" w:type="dxa"/>
            <w:vMerge w:val="continue"/>
            <w:vAlign w:val="center"/>
          </w:tcPr>
          <w:p w14:paraId="76166F2B">
            <w:pPr>
              <w:spacing w:after="160" w:line="259" w:lineRule="auto"/>
              <w:jc w:val="center"/>
              <w:rPr>
                <w:b/>
                <w:bCs/>
                <w:iCs/>
                <w:sz w:val="20"/>
                <w:szCs w:val="20"/>
              </w:rPr>
            </w:pPr>
          </w:p>
        </w:tc>
        <w:tc>
          <w:tcPr>
            <w:tcW w:w="2835" w:type="dxa"/>
            <w:vMerge w:val="continue"/>
            <w:vAlign w:val="center"/>
          </w:tcPr>
          <w:p w14:paraId="3DBA860D">
            <w:pPr>
              <w:spacing w:after="160" w:line="259" w:lineRule="auto"/>
              <w:jc w:val="center"/>
              <w:rPr>
                <w:b/>
                <w:bCs/>
                <w:iCs/>
                <w:sz w:val="20"/>
                <w:szCs w:val="20"/>
              </w:rPr>
            </w:pPr>
          </w:p>
        </w:tc>
        <w:tc>
          <w:tcPr>
            <w:tcW w:w="2126" w:type="dxa"/>
            <w:vMerge w:val="continue"/>
            <w:vAlign w:val="center"/>
          </w:tcPr>
          <w:p w14:paraId="16918FD9">
            <w:pPr>
              <w:spacing w:after="160" w:line="259" w:lineRule="auto"/>
              <w:jc w:val="center"/>
              <w:rPr>
                <w:b/>
                <w:bCs/>
                <w:iCs/>
                <w:sz w:val="20"/>
                <w:szCs w:val="20"/>
              </w:rPr>
            </w:pPr>
          </w:p>
        </w:tc>
        <w:tc>
          <w:tcPr>
            <w:tcW w:w="1701" w:type="dxa"/>
            <w:vAlign w:val="center"/>
          </w:tcPr>
          <w:p w14:paraId="078B7BAB">
            <w:pPr>
              <w:spacing w:after="0" w:line="259" w:lineRule="auto"/>
              <w:jc w:val="center"/>
              <w:rPr>
                <w:b/>
                <w:bCs/>
                <w:iCs/>
                <w:sz w:val="20"/>
                <w:szCs w:val="20"/>
              </w:rPr>
            </w:pPr>
            <w:r>
              <w:rPr>
                <w:b/>
                <w:bCs/>
                <w:iCs/>
                <w:sz w:val="20"/>
                <w:szCs w:val="20"/>
              </w:rPr>
              <w:t>VINCULAÇÃO (I)</w:t>
            </w:r>
          </w:p>
        </w:tc>
        <w:tc>
          <w:tcPr>
            <w:tcW w:w="1559" w:type="dxa"/>
            <w:vAlign w:val="center"/>
          </w:tcPr>
          <w:p w14:paraId="4E7BB217">
            <w:pPr>
              <w:spacing w:after="160" w:line="259" w:lineRule="auto"/>
              <w:jc w:val="center"/>
              <w:rPr>
                <w:b/>
                <w:bCs/>
                <w:iCs/>
                <w:sz w:val="20"/>
                <w:szCs w:val="20"/>
              </w:rPr>
            </w:pPr>
            <w:r>
              <w:rPr>
                <w:b/>
                <w:bCs/>
                <w:iCs/>
                <w:sz w:val="20"/>
                <w:szCs w:val="20"/>
              </w:rPr>
              <w:t>REGIME (II)</w:t>
            </w:r>
          </w:p>
        </w:tc>
      </w:tr>
      <w:tr w14:paraId="26EF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15F83EAD">
            <w:pPr>
              <w:spacing w:after="160" w:line="259" w:lineRule="auto"/>
              <w:rPr>
                <w:bCs/>
                <w:iCs/>
                <w:sz w:val="20"/>
                <w:szCs w:val="20"/>
              </w:rPr>
            </w:pPr>
          </w:p>
        </w:tc>
        <w:tc>
          <w:tcPr>
            <w:tcW w:w="2835" w:type="dxa"/>
          </w:tcPr>
          <w:p w14:paraId="71AB7947">
            <w:pPr>
              <w:spacing w:after="160" w:line="259" w:lineRule="auto"/>
              <w:rPr>
                <w:bCs/>
                <w:iCs/>
                <w:sz w:val="20"/>
                <w:szCs w:val="20"/>
              </w:rPr>
            </w:pPr>
          </w:p>
        </w:tc>
        <w:tc>
          <w:tcPr>
            <w:tcW w:w="2126" w:type="dxa"/>
          </w:tcPr>
          <w:p w14:paraId="63EB972D">
            <w:pPr>
              <w:spacing w:after="160" w:line="259" w:lineRule="auto"/>
              <w:rPr>
                <w:bCs/>
                <w:iCs/>
                <w:sz w:val="20"/>
                <w:szCs w:val="20"/>
              </w:rPr>
            </w:pPr>
          </w:p>
        </w:tc>
        <w:tc>
          <w:tcPr>
            <w:tcW w:w="1701" w:type="dxa"/>
          </w:tcPr>
          <w:p w14:paraId="0842D5FB">
            <w:pPr>
              <w:spacing w:after="160" w:line="259" w:lineRule="auto"/>
              <w:rPr>
                <w:bCs/>
                <w:iCs/>
                <w:sz w:val="20"/>
                <w:szCs w:val="20"/>
              </w:rPr>
            </w:pPr>
          </w:p>
        </w:tc>
        <w:tc>
          <w:tcPr>
            <w:tcW w:w="1559" w:type="dxa"/>
          </w:tcPr>
          <w:p w14:paraId="7B14831B">
            <w:pPr>
              <w:spacing w:after="160" w:line="259" w:lineRule="auto"/>
              <w:rPr>
                <w:bCs/>
                <w:iCs/>
                <w:sz w:val="20"/>
                <w:szCs w:val="20"/>
              </w:rPr>
            </w:pPr>
          </w:p>
        </w:tc>
      </w:tr>
      <w:tr w14:paraId="2D2E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4ED4667F">
            <w:pPr>
              <w:spacing w:after="160" w:line="259" w:lineRule="auto"/>
              <w:rPr>
                <w:bCs/>
                <w:iCs/>
                <w:sz w:val="20"/>
                <w:szCs w:val="20"/>
              </w:rPr>
            </w:pPr>
          </w:p>
        </w:tc>
        <w:tc>
          <w:tcPr>
            <w:tcW w:w="2835" w:type="dxa"/>
          </w:tcPr>
          <w:p w14:paraId="00465AD4">
            <w:pPr>
              <w:spacing w:after="160" w:line="259" w:lineRule="auto"/>
              <w:rPr>
                <w:bCs/>
                <w:iCs/>
                <w:sz w:val="20"/>
                <w:szCs w:val="20"/>
              </w:rPr>
            </w:pPr>
          </w:p>
        </w:tc>
        <w:tc>
          <w:tcPr>
            <w:tcW w:w="2126" w:type="dxa"/>
          </w:tcPr>
          <w:p w14:paraId="4A3B0251">
            <w:pPr>
              <w:spacing w:after="160" w:line="259" w:lineRule="auto"/>
              <w:rPr>
                <w:bCs/>
                <w:iCs/>
                <w:sz w:val="20"/>
                <w:szCs w:val="20"/>
              </w:rPr>
            </w:pPr>
          </w:p>
        </w:tc>
        <w:tc>
          <w:tcPr>
            <w:tcW w:w="1701" w:type="dxa"/>
          </w:tcPr>
          <w:p w14:paraId="3942B96D">
            <w:pPr>
              <w:spacing w:after="160" w:line="259" w:lineRule="auto"/>
              <w:rPr>
                <w:bCs/>
                <w:iCs/>
                <w:sz w:val="20"/>
                <w:szCs w:val="20"/>
              </w:rPr>
            </w:pPr>
          </w:p>
        </w:tc>
        <w:tc>
          <w:tcPr>
            <w:tcW w:w="1559" w:type="dxa"/>
          </w:tcPr>
          <w:p w14:paraId="1243CADB">
            <w:pPr>
              <w:spacing w:after="160" w:line="259" w:lineRule="auto"/>
              <w:rPr>
                <w:bCs/>
                <w:iCs/>
                <w:sz w:val="20"/>
                <w:szCs w:val="20"/>
              </w:rPr>
            </w:pPr>
          </w:p>
        </w:tc>
      </w:tr>
      <w:tr w14:paraId="1F7B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1FFA62E4">
            <w:pPr>
              <w:spacing w:after="160" w:line="259" w:lineRule="auto"/>
              <w:rPr>
                <w:bCs/>
                <w:iCs/>
                <w:sz w:val="20"/>
                <w:szCs w:val="20"/>
              </w:rPr>
            </w:pPr>
          </w:p>
        </w:tc>
        <w:tc>
          <w:tcPr>
            <w:tcW w:w="2835" w:type="dxa"/>
          </w:tcPr>
          <w:p w14:paraId="48206160">
            <w:pPr>
              <w:spacing w:after="160" w:line="259" w:lineRule="auto"/>
              <w:rPr>
                <w:bCs/>
                <w:iCs/>
                <w:sz w:val="20"/>
                <w:szCs w:val="20"/>
              </w:rPr>
            </w:pPr>
          </w:p>
        </w:tc>
        <w:tc>
          <w:tcPr>
            <w:tcW w:w="2126" w:type="dxa"/>
          </w:tcPr>
          <w:p w14:paraId="12616E0A">
            <w:pPr>
              <w:spacing w:after="160" w:line="259" w:lineRule="auto"/>
              <w:rPr>
                <w:bCs/>
                <w:iCs/>
                <w:sz w:val="20"/>
                <w:szCs w:val="20"/>
              </w:rPr>
            </w:pPr>
          </w:p>
        </w:tc>
        <w:tc>
          <w:tcPr>
            <w:tcW w:w="1701" w:type="dxa"/>
          </w:tcPr>
          <w:p w14:paraId="41778999">
            <w:pPr>
              <w:spacing w:after="160" w:line="259" w:lineRule="auto"/>
              <w:rPr>
                <w:bCs/>
                <w:iCs/>
                <w:sz w:val="20"/>
                <w:szCs w:val="20"/>
              </w:rPr>
            </w:pPr>
          </w:p>
        </w:tc>
        <w:tc>
          <w:tcPr>
            <w:tcW w:w="1559" w:type="dxa"/>
          </w:tcPr>
          <w:p w14:paraId="3EE569E7">
            <w:pPr>
              <w:spacing w:after="160" w:line="259" w:lineRule="auto"/>
              <w:rPr>
                <w:bCs/>
                <w:iCs/>
                <w:sz w:val="20"/>
                <w:szCs w:val="20"/>
              </w:rPr>
            </w:pPr>
          </w:p>
        </w:tc>
      </w:tr>
      <w:tr w14:paraId="06DBA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51B9F5EC">
            <w:pPr>
              <w:spacing w:after="160" w:line="259" w:lineRule="auto"/>
              <w:rPr>
                <w:bCs/>
                <w:iCs/>
                <w:sz w:val="20"/>
                <w:szCs w:val="20"/>
              </w:rPr>
            </w:pPr>
          </w:p>
        </w:tc>
        <w:tc>
          <w:tcPr>
            <w:tcW w:w="2835" w:type="dxa"/>
          </w:tcPr>
          <w:p w14:paraId="4380E6A4">
            <w:pPr>
              <w:spacing w:after="160" w:line="259" w:lineRule="auto"/>
              <w:rPr>
                <w:bCs/>
                <w:iCs/>
                <w:sz w:val="20"/>
                <w:szCs w:val="20"/>
              </w:rPr>
            </w:pPr>
          </w:p>
        </w:tc>
        <w:tc>
          <w:tcPr>
            <w:tcW w:w="2126" w:type="dxa"/>
          </w:tcPr>
          <w:p w14:paraId="7B1203C3">
            <w:pPr>
              <w:spacing w:after="160" w:line="259" w:lineRule="auto"/>
              <w:rPr>
                <w:bCs/>
                <w:iCs/>
                <w:sz w:val="20"/>
                <w:szCs w:val="20"/>
              </w:rPr>
            </w:pPr>
          </w:p>
        </w:tc>
        <w:tc>
          <w:tcPr>
            <w:tcW w:w="1701" w:type="dxa"/>
          </w:tcPr>
          <w:p w14:paraId="1BE72D2F">
            <w:pPr>
              <w:spacing w:after="160" w:line="259" w:lineRule="auto"/>
              <w:rPr>
                <w:bCs/>
                <w:iCs/>
                <w:sz w:val="20"/>
                <w:szCs w:val="20"/>
              </w:rPr>
            </w:pPr>
          </w:p>
        </w:tc>
        <w:tc>
          <w:tcPr>
            <w:tcW w:w="1559" w:type="dxa"/>
          </w:tcPr>
          <w:p w14:paraId="3014D0A5">
            <w:pPr>
              <w:spacing w:after="160" w:line="259" w:lineRule="auto"/>
              <w:rPr>
                <w:bCs/>
                <w:iCs/>
                <w:sz w:val="20"/>
                <w:szCs w:val="20"/>
              </w:rPr>
            </w:pPr>
          </w:p>
        </w:tc>
      </w:tr>
    </w:tbl>
    <w:p w14:paraId="1CF661A8">
      <w:pPr>
        <w:rPr>
          <w:bCs/>
          <w:iCs/>
          <w:sz w:val="20"/>
          <w:szCs w:val="20"/>
        </w:rPr>
      </w:pPr>
    </w:p>
    <w:tbl>
      <w:tblPr>
        <w:tblStyle w:val="12"/>
        <w:tblW w:w="9219"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7002"/>
      </w:tblGrid>
      <w:tr w14:paraId="4117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17" w:type="dxa"/>
          </w:tcPr>
          <w:p w14:paraId="64F27F7B">
            <w:pPr>
              <w:rPr>
                <w:bCs/>
                <w:iCs/>
                <w:sz w:val="20"/>
                <w:szCs w:val="20"/>
              </w:rPr>
            </w:pPr>
            <w:r>
              <w:rPr>
                <w:b/>
                <w:bCs/>
                <w:iCs/>
                <w:sz w:val="20"/>
                <w:szCs w:val="20"/>
              </w:rPr>
              <w:t>Data:</w:t>
            </w:r>
            <w:r>
              <w:rPr>
                <w:bCs/>
                <w:iCs/>
                <w:sz w:val="20"/>
                <w:szCs w:val="20"/>
              </w:rPr>
              <w:t xml:space="preserve"> [indicar]</w:t>
            </w:r>
          </w:p>
        </w:tc>
        <w:tc>
          <w:tcPr>
            <w:tcW w:w="7002" w:type="dxa"/>
          </w:tcPr>
          <w:p w14:paraId="145F412B">
            <w:pPr>
              <w:rPr>
                <w:bCs/>
                <w:iCs/>
                <w:sz w:val="20"/>
                <w:szCs w:val="20"/>
              </w:rPr>
            </w:pPr>
            <w:r>
              <w:rPr>
                <w:b/>
                <w:bCs/>
                <w:iCs/>
                <w:sz w:val="20"/>
                <w:szCs w:val="20"/>
              </w:rPr>
              <w:t>Assinatura:</w:t>
            </w:r>
            <w:r>
              <w:rPr>
                <w:bCs/>
                <w:iCs/>
                <w:sz w:val="20"/>
                <w:szCs w:val="20"/>
              </w:rPr>
              <w:t xml:space="preserve"> [assinar]</w:t>
            </w:r>
          </w:p>
        </w:tc>
      </w:tr>
      <w:tr w14:paraId="22076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219" w:type="dxa"/>
            <w:gridSpan w:val="2"/>
          </w:tcPr>
          <w:p w14:paraId="480E00ED">
            <w:pPr>
              <w:rPr>
                <w:bCs/>
                <w:iCs/>
                <w:sz w:val="20"/>
                <w:szCs w:val="20"/>
              </w:rPr>
            </w:pPr>
            <w:r>
              <w:rPr>
                <w:b/>
                <w:bCs/>
                <w:iCs/>
                <w:sz w:val="20"/>
                <w:szCs w:val="20"/>
              </w:rPr>
              <w:t>Nome e Cargo:</w:t>
            </w:r>
            <w:r>
              <w:rPr>
                <w:bCs/>
                <w:iCs/>
                <w:sz w:val="20"/>
                <w:szCs w:val="20"/>
              </w:rPr>
              <w:t xml:space="preserve"> [indicar]</w:t>
            </w:r>
          </w:p>
          <w:p w14:paraId="1A0E3440">
            <w:pPr>
              <w:rPr>
                <w:bCs/>
                <w:iCs/>
                <w:sz w:val="20"/>
                <w:szCs w:val="20"/>
              </w:rPr>
            </w:pPr>
          </w:p>
        </w:tc>
      </w:tr>
    </w:tbl>
    <w:p w14:paraId="57630AE4">
      <w:pPr>
        <w:rPr>
          <w:bCs/>
          <w:iCs/>
          <w:sz w:val="20"/>
          <w:szCs w:val="20"/>
        </w:rPr>
      </w:pPr>
    </w:p>
    <w:p w14:paraId="5E543FED">
      <w:pPr>
        <w:rPr>
          <w:bCs/>
          <w:iCs/>
          <w:sz w:val="20"/>
          <w:szCs w:val="20"/>
        </w:rPr>
      </w:pPr>
      <w:r>
        <w:rPr>
          <w:b/>
          <w:bCs/>
          <w:iCs/>
          <w:sz w:val="20"/>
          <w:szCs w:val="20"/>
        </w:rPr>
        <w:t>Notas</w:t>
      </w:r>
      <w:r>
        <w:rPr>
          <w:bCs/>
          <w:iCs/>
          <w:sz w:val="20"/>
          <w:szCs w:val="20"/>
        </w:rPr>
        <w:t xml:space="preserve">: </w:t>
      </w:r>
    </w:p>
    <w:p w14:paraId="3870184D">
      <w:pPr>
        <w:rPr>
          <w:bCs/>
          <w:iCs/>
          <w:sz w:val="20"/>
          <w:szCs w:val="20"/>
        </w:rPr>
      </w:pPr>
      <w:r>
        <w:rPr>
          <w:bCs/>
          <w:iCs/>
          <w:sz w:val="20"/>
          <w:szCs w:val="20"/>
        </w:rPr>
        <w:t>(a) vinculação (I): 1 – Acionista, 2 – Sócio, 3 - Empregado CLT; 4 – Autônomo, 5 - Compromisso Futuro e 6 – Diretor; e</w:t>
      </w:r>
    </w:p>
    <w:p w14:paraId="43C228F2">
      <w:pPr>
        <w:rPr>
          <w:bCs/>
          <w:iCs/>
          <w:sz w:val="20"/>
          <w:szCs w:val="20"/>
        </w:rPr>
      </w:pPr>
      <w:r>
        <w:rPr>
          <w:bCs/>
          <w:iCs/>
          <w:sz w:val="20"/>
          <w:szCs w:val="20"/>
        </w:rPr>
        <w:t>(b) regime (II): 1- Tempo Integral com dedicação exclusiva, 2 - Tempo Integral, 3 - Tempo Parcial, 4 - Outros (especificar).</w:t>
      </w:r>
    </w:p>
    <w:p w14:paraId="148C7A4C">
      <w:pPr>
        <w:rPr>
          <w:iCs/>
          <w:sz w:val="20"/>
          <w:szCs w:val="20"/>
        </w:rPr>
      </w:pPr>
      <w:r>
        <w:rPr>
          <w:iCs/>
          <w:sz w:val="20"/>
          <w:szCs w:val="20"/>
        </w:rPr>
        <w:br w:type="page"/>
      </w:r>
    </w:p>
    <w:bookmarkEnd w:id="217"/>
    <w:bookmarkEnd w:id="218"/>
    <w:bookmarkEnd w:id="219"/>
    <w:bookmarkEnd w:id="220"/>
    <w:bookmarkEnd w:id="221"/>
    <w:bookmarkEnd w:id="222"/>
    <w:p w14:paraId="315AEEE0">
      <w:pPr>
        <w:pStyle w:val="73"/>
      </w:pPr>
      <w:bookmarkStart w:id="233" w:name="_Toc138499336"/>
      <w:bookmarkStart w:id="234" w:name="_Toc157091778"/>
      <w:bookmarkStart w:id="235" w:name="_Toc168229966"/>
      <w:bookmarkStart w:id="236" w:name="_Toc143677847"/>
      <w:bookmarkStart w:id="237" w:name="_Toc174537337"/>
      <w:r>
        <w:t>MODELO 9 - DECLARAÇÃO DE ENTREGA FUTURA DOS PLANOS DE TRABALHO</w:t>
      </w:r>
      <w:bookmarkEnd w:id="233"/>
      <w:r>
        <w:t>, DE GARANTIA DO CONTROLE DE QUALIDADE DAS OBRAS E DO ATENDIMENTO ÀS EXIGÊNCIAS DAS ESPECIFICAÇÕES TÉCNICAS</w:t>
      </w:r>
      <w:bookmarkEnd w:id="234"/>
      <w:bookmarkEnd w:id="235"/>
      <w:bookmarkEnd w:id="236"/>
      <w:bookmarkEnd w:id="237"/>
    </w:p>
    <w:p w14:paraId="1043F626">
      <w:pPr>
        <w:jc w:val="both"/>
        <w:rPr>
          <w:bCs/>
          <w:i/>
          <w:sz w:val="20"/>
          <w:szCs w:val="20"/>
        </w:rPr>
      </w:pPr>
      <w:r>
        <w:rPr>
          <w:bCs/>
          <w:i/>
          <w:sz w:val="20"/>
          <w:szCs w:val="20"/>
        </w:rPr>
        <w:t xml:space="preserve">[O concorrente deverá apresentar a declaração de entrega </w:t>
      </w:r>
      <w:r>
        <w:rPr>
          <w:i/>
          <w:sz w:val="20"/>
          <w:szCs w:val="20"/>
        </w:rPr>
        <w:t>futura</w:t>
      </w:r>
      <w:r>
        <w:rPr>
          <w:bCs/>
          <w:i/>
          <w:sz w:val="20"/>
          <w:szCs w:val="20"/>
        </w:rPr>
        <w:t xml:space="preserve"> do Plano de Trabalho, do Plano de Garantia do Controle de Qualidade das Obras e do Atendimento às Exigências das Especificações Técnicas utilizando este formulário, segundo as instruções indicadas abaixo.]</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039"/>
        <w:gridCol w:w="2241"/>
        <w:gridCol w:w="2579"/>
      </w:tblGrid>
      <w:tr w14:paraId="1BC3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8859" w:type="dxa"/>
            <w:gridSpan w:val="3"/>
          </w:tcPr>
          <w:p w14:paraId="3374D4F1">
            <w:pPr>
              <w:rPr>
                <w:bCs/>
                <w:iCs/>
                <w:sz w:val="20"/>
                <w:szCs w:val="20"/>
              </w:rPr>
            </w:pPr>
            <w:bookmarkStart w:id="238" w:name="_Hlk139180182"/>
            <w:r>
              <w:rPr>
                <w:b/>
                <w:bCs/>
                <w:iCs/>
                <w:sz w:val="20"/>
                <w:szCs w:val="20"/>
              </w:rPr>
              <w:t>Concorrente:</w:t>
            </w:r>
            <w:r>
              <w:rPr>
                <w:bCs/>
                <w:iCs/>
                <w:sz w:val="20"/>
                <w:szCs w:val="20"/>
              </w:rPr>
              <w:t xml:space="preserve"> [indicar]</w:t>
            </w:r>
          </w:p>
        </w:tc>
      </w:tr>
      <w:tr w14:paraId="5676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4039" w:type="dxa"/>
          </w:tcPr>
          <w:p w14:paraId="2507902A">
            <w:pPr>
              <w:rPr>
                <w:bCs/>
                <w:iCs/>
                <w:sz w:val="20"/>
                <w:szCs w:val="20"/>
              </w:rPr>
            </w:pPr>
            <w:r>
              <w:rPr>
                <w:b/>
                <w:bCs/>
                <w:iCs/>
                <w:sz w:val="20"/>
                <w:szCs w:val="20"/>
              </w:rPr>
              <w:t>Concorrência – LPI Nº:</w:t>
            </w:r>
            <w:r>
              <w:rPr>
                <w:bCs/>
                <w:iCs/>
                <w:sz w:val="20"/>
                <w:szCs w:val="20"/>
              </w:rPr>
              <w:t xml:space="preserve"> [indicar]</w:t>
            </w:r>
          </w:p>
        </w:tc>
        <w:tc>
          <w:tcPr>
            <w:tcW w:w="2241" w:type="dxa"/>
          </w:tcPr>
          <w:p w14:paraId="1E1CCBB4">
            <w:pPr>
              <w:rPr>
                <w:bCs/>
                <w:iCs/>
                <w:sz w:val="20"/>
                <w:szCs w:val="20"/>
              </w:rPr>
            </w:pPr>
            <w:r>
              <w:rPr>
                <w:b/>
                <w:bCs/>
                <w:iCs/>
                <w:sz w:val="20"/>
                <w:szCs w:val="20"/>
              </w:rPr>
              <w:t>Lote Nº:</w:t>
            </w:r>
            <w:r>
              <w:rPr>
                <w:bCs/>
                <w:iCs/>
                <w:sz w:val="20"/>
                <w:szCs w:val="20"/>
              </w:rPr>
              <w:t xml:space="preserve"> [indicar]</w:t>
            </w:r>
          </w:p>
        </w:tc>
        <w:tc>
          <w:tcPr>
            <w:tcW w:w="2579" w:type="dxa"/>
          </w:tcPr>
          <w:p w14:paraId="7824D537">
            <w:pPr>
              <w:rPr>
                <w:bCs/>
                <w:iCs/>
                <w:sz w:val="20"/>
                <w:szCs w:val="20"/>
              </w:rPr>
            </w:pPr>
            <w:r>
              <w:rPr>
                <w:b/>
                <w:bCs/>
                <w:iCs/>
                <w:sz w:val="20"/>
                <w:szCs w:val="20"/>
              </w:rPr>
              <w:t>Página:</w:t>
            </w:r>
            <w:r>
              <w:rPr>
                <w:bCs/>
                <w:iCs/>
                <w:sz w:val="20"/>
                <w:szCs w:val="20"/>
              </w:rPr>
              <w:t xml:space="preserve"> [indicar] de [indicar]</w:t>
            </w:r>
          </w:p>
        </w:tc>
      </w:tr>
      <w:tr w14:paraId="3567F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8859" w:type="dxa"/>
            <w:gridSpan w:val="3"/>
          </w:tcPr>
          <w:p w14:paraId="2BF64624">
            <w:pPr>
              <w:rPr>
                <w:bCs/>
                <w:iCs/>
                <w:sz w:val="20"/>
                <w:szCs w:val="20"/>
              </w:rPr>
            </w:pPr>
            <w:r>
              <w:rPr>
                <w:b/>
                <w:bCs/>
                <w:iCs/>
                <w:sz w:val="20"/>
                <w:szCs w:val="20"/>
              </w:rPr>
              <w:t>Obra:</w:t>
            </w:r>
            <w:r>
              <w:rPr>
                <w:bCs/>
                <w:iCs/>
                <w:sz w:val="20"/>
                <w:szCs w:val="20"/>
              </w:rPr>
              <w:t xml:space="preserve"> [indicar a Obra]</w:t>
            </w:r>
          </w:p>
        </w:tc>
      </w:tr>
      <w:bookmarkEnd w:id="238"/>
    </w:tbl>
    <w:p w14:paraId="08A2AA72">
      <w:pPr>
        <w:rPr>
          <w:b/>
          <w:bCs/>
          <w:iCs/>
          <w:sz w:val="20"/>
          <w:szCs w:val="20"/>
        </w:rPr>
      </w:pPr>
    </w:p>
    <w:p w14:paraId="78905770">
      <w:pPr>
        <w:rPr>
          <w:b/>
          <w:bCs/>
          <w:iCs/>
          <w:sz w:val="20"/>
          <w:szCs w:val="20"/>
        </w:rPr>
      </w:pPr>
      <w:r>
        <w:rPr>
          <w:b/>
          <w:bCs/>
          <w:iCs/>
          <w:sz w:val="20"/>
          <w:szCs w:val="20"/>
        </w:rPr>
        <w:t>Plano de Trabalho</w:t>
      </w:r>
    </w:p>
    <w:p w14:paraId="56AF12E9">
      <w:pPr>
        <w:jc w:val="both"/>
        <w:rPr>
          <w:bCs/>
          <w:iCs/>
          <w:sz w:val="20"/>
          <w:szCs w:val="20"/>
        </w:rPr>
      </w:pPr>
      <w:r>
        <w:rPr>
          <w:bCs/>
          <w:iCs/>
          <w:sz w:val="20"/>
          <w:szCs w:val="20"/>
        </w:rPr>
        <w:t>A [indicar razão social/nome completo do concorrente] declara que entregará ao Contratante, até 15 (quinze) dias após a assinatura do contrato, o Plano de Trabalho, elaborado em consonância com:</w:t>
      </w:r>
    </w:p>
    <w:p w14:paraId="59D6089B">
      <w:pPr>
        <w:ind w:left="426"/>
        <w:jc w:val="both"/>
        <w:rPr>
          <w:bCs/>
          <w:sz w:val="20"/>
          <w:szCs w:val="20"/>
        </w:rPr>
      </w:pPr>
      <w:r>
        <w:rPr>
          <w:bCs/>
          <w:sz w:val="20"/>
          <w:szCs w:val="20"/>
        </w:rPr>
        <w:t xml:space="preserve">(a) o Cronograma Físico-Financeiro das Obras; e </w:t>
      </w:r>
    </w:p>
    <w:p w14:paraId="548412D1">
      <w:pPr>
        <w:ind w:left="426"/>
        <w:jc w:val="both"/>
        <w:rPr>
          <w:bCs/>
          <w:sz w:val="20"/>
          <w:szCs w:val="20"/>
        </w:rPr>
      </w:pPr>
      <w:r>
        <w:rPr>
          <w:bCs/>
          <w:sz w:val="20"/>
          <w:szCs w:val="20"/>
        </w:rPr>
        <w:t>(b) os caminhos críticos, que o concorrente apresenta no Formulário Modelo 17 - Cronograma de Atividades Físico-Financeiro da Seção 4, referente à Obra e/ou lote acima discriminados.</w:t>
      </w:r>
    </w:p>
    <w:p w14:paraId="5BD1A62F">
      <w:pPr>
        <w:jc w:val="both"/>
        <w:rPr>
          <w:bCs/>
          <w:iCs/>
          <w:sz w:val="20"/>
          <w:szCs w:val="20"/>
        </w:rPr>
      </w:pPr>
      <w:r>
        <w:rPr>
          <w:bCs/>
          <w:iCs/>
          <w:sz w:val="20"/>
          <w:szCs w:val="20"/>
        </w:rPr>
        <w:t xml:space="preserve">DECLARA outrossim que os referidos documentos atenderão às exigências do edital, do Projeto Executivo </w:t>
      </w:r>
      <w:r>
        <w:rPr>
          <w:bCs/>
          <w:i/>
          <w:iCs/>
          <w:sz w:val="20"/>
          <w:szCs w:val="20"/>
          <w:highlight w:val="yellow"/>
        </w:rPr>
        <w:t>[ou Básico]</w:t>
      </w:r>
      <w:r>
        <w:rPr>
          <w:bCs/>
          <w:iCs/>
          <w:sz w:val="20"/>
          <w:szCs w:val="20"/>
        </w:rPr>
        <w:t xml:space="preserve"> e das especificações técnicas para as Obras.</w:t>
      </w:r>
    </w:p>
    <w:p w14:paraId="2C3985BC">
      <w:pPr>
        <w:jc w:val="both"/>
        <w:rPr>
          <w:b/>
          <w:bCs/>
          <w:iCs/>
          <w:sz w:val="20"/>
          <w:szCs w:val="20"/>
        </w:rPr>
      </w:pPr>
      <w:r>
        <w:rPr>
          <w:b/>
          <w:bCs/>
          <w:iCs/>
          <w:sz w:val="20"/>
          <w:szCs w:val="20"/>
        </w:rPr>
        <w:t>Plano de Garantia do Controle de Qualidade das Obras</w:t>
      </w:r>
    </w:p>
    <w:p w14:paraId="7E337725">
      <w:pPr>
        <w:jc w:val="both"/>
        <w:rPr>
          <w:bCs/>
          <w:iCs/>
          <w:sz w:val="20"/>
          <w:szCs w:val="20"/>
        </w:rPr>
      </w:pPr>
      <w:r>
        <w:rPr>
          <w:bCs/>
          <w:iCs/>
          <w:sz w:val="20"/>
          <w:szCs w:val="20"/>
        </w:rPr>
        <w:t>DECLARA, outrossim, que o concorrente está ciente de que o controle de qualidade dos trabalhos referentes às Obras executadas sob regime de empreitada à preços unitários é da responsabilidade do empreiteiro contratado, e que o controle realizado pelo Contratante e/ou por consultora contratada pelo Contratante para tal finalidade não isentará o empreiteiro contratado das responsabilidades decorrentes de deficiências e anomalias de construção que lhe sejam imputáveis.</w:t>
      </w:r>
    </w:p>
    <w:p w14:paraId="3DC90D84">
      <w:pPr>
        <w:jc w:val="both"/>
        <w:rPr>
          <w:b/>
          <w:bCs/>
          <w:iCs/>
          <w:sz w:val="20"/>
          <w:szCs w:val="20"/>
        </w:rPr>
      </w:pPr>
      <w:r>
        <w:rPr>
          <w:b/>
          <w:bCs/>
          <w:iCs/>
          <w:sz w:val="20"/>
          <w:szCs w:val="20"/>
        </w:rPr>
        <w:t>Atendimento às Exigências das Especificações Técnicas</w:t>
      </w:r>
    </w:p>
    <w:p w14:paraId="3101B254">
      <w:pPr>
        <w:jc w:val="both"/>
        <w:rPr>
          <w:bCs/>
          <w:iCs/>
          <w:sz w:val="20"/>
          <w:szCs w:val="20"/>
        </w:rPr>
      </w:pPr>
      <w:r>
        <w:rPr>
          <w:bCs/>
          <w:iCs/>
          <w:sz w:val="20"/>
          <w:szCs w:val="20"/>
        </w:rPr>
        <w:t>DECLARA, para os devidos fins, que:</w:t>
      </w:r>
    </w:p>
    <w:p w14:paraId="6B1F2F93">
      <w:pPr>
        <w:jc w:val="both"/>
        <w:rPr>
          <w:bCs/>
          <w:sz w:val="20"/>
          <w:szCs w:val="20"/>
        </w:rPr>
      </w:pPr>
      <w:r>
        <w:rPr>
          <w:bCs/>
          <w:sz w:val="20"/>
          <w:szCs w:val="20"/>
        </w:rPr>
        <w:t xml:space="preserve">(a) examinou o Projeto Executivo </w:t>
      </w:r>
      <w:r>
        <w:rPr>
          <w:bCs/>
          <w:i/>
          <w:iCs/>
          <w:sz w:val="20"/>
          <w:szCs w:val="20"/>
          <w:highlight w:val="yellow"/>
        </w:rPr>
        <w:t>[ou Básico]</w:t>
      </w:r>
      <w:r>
        <w:rPr>
          <w:bCs/>
          <w:iCs/>
          <w:sz w:val="20"/>
          <w:szCs w:val="20"/>
        </w:rPr>
        <w:t xml:space="preserve"> </w:t>
      </w:r>
      <w:r>
        <w:rPr>
          <w:bCs/>
          <w:sz w:val="20"/>
          <w:szCs w:val="20"/>
        </w:rPr>
        <w:t>referente as obras as serem executadas e que tem pleno conhecimento da região, das condições existentes e de eventuais trabalhos já realizados pelo Contratante ou outras empresas em cada trecho integrante das Obras acima referidas. e</w:t>
      </w:r>
    </w:p>
    <w:p w14:paraId="19C0D318">
      <w:pPr>
        <w:jc w:val="both"/>
        <w:rPr>
          <w:bCs/>
          <w:sz w:val="20"/>
          <w:szCs w:val="20"/>
        </w:rPr>
      </w:pPr>
      <w:r>
        <w:rPr>
          <w:bCs/>
          <w:sz w:val="20"/>
          <w:szCs w:val="20"/>
        </w:rPr>
        <w:t xml:space="preserve">(b) tem pleno conhecimento </w:t>
      </w:r>
    </w:p>
    <w:p w14:paraId="1CC4CA8B">
      <w:pPr>
        <w:jc w:val="both"/>
        <w:rPr>
          <w:bCs/>
          <w:sz w:val="20"/>
          <w:szCs w:val="20"/>
        </w:rPr>
      </w:pPr>
      <w:r>
        <w:rPr>
          <w:bCs/>
          <w:sz w:val="20"/>
          <w:szCs w:val="20"/>
        </w:rPr>
        <w:t>dessas condições e informações, e não poderemos, em qualquer circunstância, invocar o desconhecimento de algum projeto, das regiões envolvidas e de eventuais trabalhos realizados previamente.</w:t>
      </w:r>
    </w:p>
    <w:p w14:paraId="69A909A3">
      <w:pPr>
        <w:jc w:val="both"/>
        <w:rPr>
          <w:bCs/>
          <w:sz w:val="20"/>
          <w:szCs w:val="20"/>
        </w:rPr>
      </w:pPr>
      <w:r>
        <w:rPr>
          <w:bCs/>
          <w:iCs/>
          <w:sz w:val="20"/>
          <w:szCs w:val="20"/>
        </w:rPr>
        <w:t>DECLARA também que se formos vencedores da licitação para as mencionadas Obras:</w:t>
      </w:r>
    </w:p>
    <w:p w14:paraId="4503FCD1">
      <w:pPr>
        <w:jc w:val="both"/>
        <w:rPr>
          <w:bCs/>
          <w:sz w:val="20"/>
          <w:szCs w:val="20"/>
        </w:rPr>
      </w:pPr>
      <w:r>
        <w:rPr>
          <w:bCs/>
          <w:sz w:val="20"/>
          <w:szCs w:val="20"/>
        </w:rPr>
        <w:t>(a) colocaremos no Local das Obras pessoal, equipe técnica e os equipamentos e veículos de sua propriedade ou locados de terceiros necessários para a perfeita execução das Obras, independentemente do mínimo que for estabelecido no Projeto ou no edital, sem que isto incorra em despesas extras para o Contratante ou seja motivo de reclamação, cumprindo os respectivos prazos para a execução das Obras, executando-as de acordo com os respectivos cronogramas físico-financeiros apresentados na proposta, ajustados, se for o caso, e aprovados pelo [indicar o Contratante]</w:t>
      </w:r>
    </w:p>
    <w:p w14:paraId="309557A4">
      <w:pPr>
        <w:jc w:val="both"/>
        <w:rPr>
          <w:bCs/>
          <w:sz w:val="20"/>
          <w:szCs w:val="20"/>
        </w:rPr>
      </w:pPr>
      <w:r>
        <w:rPr>
          <w:bCs/>
          <w:sz w:val="20"/>
          <w:szCs w:val="20"/>
        </w:rPr>
        <w:t>(b) manteremos como Responsável (is) Técnico(s) das Obras, o(s) Engenheiro(s) Civil(s) mencionado(s) nominalmente no respectivo Modelo 6 da Seção 4 - Formulários da Proposta;</w:t>
      </w:r>
    </w:p>
    <w:p w14:paraId="392E6DBA">
      <w:pPr>
        <w:jc w:val="both"/>
        <w:rPr>
          <w:bCs/>
          <w:sz w:val="20"/>
          <w:szCs w:val="20"/>
        </w:rPr>
      </w:pPr>
      <w:r>
        <w:rPr>
          <w:bCs/>
          <w:sz w:val="20"/>
          <w:szCs w:val="20"/>
        </w:rPr>
        <w:t>(c) manteremos nas Obras, como Engenheiro Residente na direção técnica dos trabalhos, o Engenheiro Civil mencionado nominalmente no respectivo Modelo 6 da Seção 4 - Formulários da Proposta, o qual não estará vinculado a qualquer outra obra, durante a execução das Obras;</w:t>
      </w:r>
    </w:p>
    <w:p w14:paraId="23393BE7">
      <w:pPr>
        <w:jc w:val="both"/>
        <w:rPr>
          <w:bCs/>
          <w:sz w:val="20"/>
          <w:szCs w:val="20"/>
        </w:rPr>
      </w:pPr>
      <w:r>
        <w:rPr>
          <w:bCs/>
          <w:sz w:val="20"/>
          <w:szCs w:val="20"/>
        </w:rPr>
        <w:t>(d) manteremos nas Obras, como Especialista em Acompanhamento das Atividades Ambientais e Sociais, o profissional mencionado nominalmente no respectivo Modelo 6 da Seção 4 - Formulários da Proposta, o qual não estará vinculado a qualquer outra obra, durante a execução das Obras;</w:t>
      </w:r>
    </w:p>
    <w:p w14:paraId="7947BFEA">
      <w:pPr>
        <w:jc w:val="both"/>
        <w:rPr>
          <w:bCs/>
          <w:sz w:val="20"/>
          <w:szCs w:val="20"/>
        </w:rPr>
      </w:pPr>
      <w:r>
        <w:rPr>
          <w:bCs/>
          <w:sz w:val="20"/>
          <w:szCs w:val="20"/>
        </w:rPr>
        <w:t>(e) manteremos nas Obras, o pessoal técnico nominado no respectivo Plano de Trabalho e apresentaremos ao Contratante, antes da assinatura do contrato, a relação nominal do pessoal que constituirá a equipe, a ser mantida nas Obras, conforme requerido e relacionado nos DDL;</w:t>
      </w:r>
    </w:p>
    <w:tbl>
      <w:tblPr>
        <w:tblStyle w:val="12"/>
        <w:tblW w:w="908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6870"/>
      </w:tblGrid>
      <w:tr w14:paraId="03A8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17" w:type="dxa"/>
          </w:tcPr>
          <w:p w14:paraId="10141C96">
            <w:pPr>
              <w:rPr>
                <w:bCs/>
                <w:iCs/>
                <w:sz w:val="20"/>
                <w:szCs w:val="20"/>
              </w:rPr>
            </w:pPr>
            <w:r>
              <w:rPr>
                <w:b/>
                <w:bCs/>
                <w:iCs/>
                <w:sz w:val="20"/>
                <w:szCs w:val="20"/>
              </w:rPr>
              <w:t>Data:</w:t>
            </w:r>
            <w:r>
              <w:rPr>
                <w:bCs/>
                <w:iCs/>
                <w:sz w:val="20"/>
                <w:szCs w:val="20"/>
              </w:rPr>
              <w:t xml:space="preserve"> [indicar]</w:t>
            </w:r>
          </w:p>
        </w:tc>
        <w:tc>
          <w:tcPr>
            <w:tcW w:w="6870" w:type="dxa"/>
          </w:tcPr>
          <w:p w14:paraId="2D66CF60">
            <w:pPr>
              <w:rPr>
                <w:bCs/>
                <w:iCs/>
                <w:sz w:val="20"/>
                <w:szCs w:val="20"/>
              </w:rPr>
            </w:pPr>
            <w:r>
              <w:rPr>
                <w:b/>
                <w:bCs/>
                <w:iCs/>
                <w:sz w:val="20"/>
                <w:szCs w:val="20"/>
              </w:rPr>
              <w:t>Assinatura:</w:t>
            </w:r>
            <w:r>
              <w:rPr>
                <w:bCs/>
                <w:iCs/>
                <w:sz w:val="20"/>
                <w:szCs w:val="20"/>
              </w:rPr>
              <w:t xml:space="preserve"> [assinar]</w:t>
            </w:r>
          </w:p>
        </w:tc>
      </w:tr>
      <w:tr w14:paraId="2465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087" w:type="dxa"/>
            <w:gridSpan w:val="2"/>
          </w:tcPr>
          <w:p w14:paraId="5671540D">
            <w:pPr>
              <w:rPr>
                <w:bCs/>
                <w:iCs/>
                <w:sz w:val="20"/>
                <w:szCs w:val="20"/>
              </w:rPr>
            </w:pPr>
            <w:r>
              <w:rPr>
                <w:b/>
                <w:bCs/>
                <w:iCs/>
                <w:sz w:val="20"/>
                <w:szCs w:val="20"/>
              </w:rPr>
              <w:t>Nome e Cargo:</w:t>
            </w:r>
            <w:r>
              <w:rPr>
                <w:bCs/>
                <w:iCs/>
                <w:sz w:val="20"/>
                <w:szCs w:val="20"/>
              </w:rPr>
              <w:t xml:space="preserve"> [indicar]</w:t>
            </w:r>
          </w:p>
          <w:p w14:paraId="0DB91F44">
            <w:pPr>
              <w:rPr>
                <w:bCs/>
                <w:iCs/>
                <w:sz w:val="20"/>
                <w:szCs w:val="20"/>
              </w:rPr>
            </w:pPr>
          </w:p>
        </w:tc>
      </w:tr>
    </w:tbl>
    <w:p w14:paraId="356298E0">
      <w:pPr>
        <w:rPr>
          <w:bCs/>
          <w:iCs/>
          <w:sz w:val="20"/>
          <w:szCs w:val="20"/>
        </w:rPr>
      </w:pPr>
      <w:r>
        <w:rPr>
          <w:bCs/>
          <w:iCs/>
          <w:sz w:val="20"/>
          <w:szCs w:val="20"/>
        </w:rPr>
        <w:br w:type="page"/>
      </w:r>
    </w:p>
    <w:p w14:paraId="4507C9B2">
      <w:pPr>
        <w:pStyle w:val="73"/>
      </w:pPr>
      <w:bookmarkStart w:id="239" w:name="_Toc401816084"/>
      <w:bookmarkStart w:id="240" w:name="_Toc113103933"/>
      <w:bookmarkStart w:id="241" w:name="_Toc138437011"/>
      <w:bookmarkStart w:id="242" w:name="_Toc174537338"/>
      <w:bookmarkStart w:id="243" w:name="_Toc153209000"/>
      <w:bookmarkStart w:id="244" w:name="_Toc88660842"/>
      <w:bookmarkStart w:id="245" w:name="_Toc168229967"/>
      <w:bookmarkStart w:id="246" w:name="_Toc99023977"/>
      <w:r>
        <w:t>MODELO 10 - DECLARAÇÃO AMBIENTAL</w:t>
      </w:r>
      <w:bookmarkEnd w:id="239"/>
      <w:r>
        <w:t xml:space="preserve"> E SOCIAL</w:t>
      </w:r>
      <w:bookmarkEnd w:id="240"/>
      <w:bookmarkEnd w:id="241"/>
      <w:bookmarkEnd w:id="242"/>
      <w:bookmarkEnd w:id="243"/>
      <w:bookmarkEnd w:id="244"/>
      <w:bookmarkEnd w:id="245"/>
      <w:bookmarkEnd w:id="246"/>
    </w:p>
    <w:p w14:paraId="582A4BEE">
      <w:pPr>
        <w:jc w:val="both"/>
        <w:rPr>
          <w:bCs/>
          <w:i/>
          <w:iCs/>
          <w:sz w:val="20"/>
          <w:szCs w:val="20"/>
        </w:rPr>
      </w:pPr>
      <w:r>
        <w:rPr>
          <w:bCs/>
          <w:i/>
          <w:iCs/>
          <w:sz w:val="20"/>
          <w:szCs w:val="20"/>
          <w:highlight w:val="yellow"/>
        </w:rPr>
        <w:t>[o Executor deverá, caso necessário, adaptar de forma adequada o modelo apresentado a seguir]</w:t>
      </w:r>
    </w:p>
    <w:p w14:paraId="40A0030B">
      <w:pPr>
        <w:jc w:val="both"/>
        <w:rPr>
          <w:i/>
          <w:iCs/>
          <w:sz w:val="20"/>
          <w:szCs w:val="20"/>
        </w:rPr>
      </w:pPr>
      <w:r>
        <w:rPr>
          <w:i/>
          <w:iCs/>
          <w:sz w:val="20"/>
          <w:szCs w:val="20"/>
        </w:rPr>
        <w:t>[O Concorrente deverá apresentar sua Declaração Ambiental e Social utilizando as instruções indicadas abaixo. Não serão permitidas alterações e não serão aceitas substituições desse formulário.]</w:t>
      </w:r>
    </w:p>
    <w:tbl>
      <w:tblPr>
        <w:tblStyle w:val="35"/>
        <w:tblpPr w:leftFromText="141" w:rightFromText="141" w:vertAnchor="text" w:horzAnchor="margin" w:tblpY="1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9"/>
        <w:gridCol w:w="2552"/>
        <w:gridCol w:w="2925"/>
      </w:tblGrid>
      <w:tr w14:paraId="16EB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3"/>
          </w:tcPr>
          <w:p w14:paraId="58570FC7">
            <w:pPr>
              <w:spacing w:after="120" w:line="259" w:lineRule="auto"/>
              <w:rPr>
                <w:b/>
                <w:sz w:val="20"/>
                <w:szCs w:val="20"/>
              </w:rPr>
            </w:pPr>
            <w:r>
              <w:rPr>
                <w:b/>
                <w:sz w:val="20"/>
                <w:szCs w:val="20"/>
              </w:rPr>
              <w:t>Concorrente: [indicar]</w:t>
            </w:r>
          </w:p>
        </w:tc>
      </w:tr>
      <w:tr w14:paraId="7DEB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539" w:type="dxa"/>
          </w:tcPr>
          <w:p w14:paraId="475A2603">
            <w:pPr>
              <w:spacing w:after="120" w:line="259" w:lineRule="auto"/>
              <w:rPr>
                <w:b/>
                <w:sz w:val="20"/>
                <w:szCs w:val="20"/>
              </w:rPr>
            </w:pPr>
            <w:r>
              <w:rPr>
                <w:b/>
                <w:sz w:val="20"/>
                <w:szCs w:val="20"/>
              </w:rPr>
              <w:t>Concorrência Eletrônica – LPN Nº: [indicar]</w:t>
            </w:r>
          </w:p>
        </w:tc>
        <w:tc>
          <w:tcPr>
            <w:tcW w:w="2552" w:type="dxa"/>
          </w:tcPr>
          <w:p w14:paraId="0E98F481">
            <w:pPr>
              <w:spacing w:after="120" w:line="259" w:lineRule="auto"/>
              <w:rPr>
                <w:b/>
                <w:sz w:val="20"/>
                <w:szCs w:val="20"/>
              </w:rPr>
            </w:pPr>
            <w:r>
              <w:rPr>
                <w:b/>
                <w:sz w:val="20"/>
                <w:szCs w:val="20"/>
              </w:rPr>
              <w:t>Lote Nº: [indicar]</w:t>
            </w:r>
          </w:p>
        </w:tc>
        <w:tc>
          <w:tcPr>
            <w:tcW w:w="2925" w:type="dxa"/>
          </w:tcPr>
          <w:p w14:paraId="6182CA37">
            <w:pPr>
              <w:spacing w:after="120" w:line="259" w:lineRule="auto"/>
              <w:rPr>
                <w:b/>
                <w:sz w:val="20"/>
                <w:szCs w:val="20"/>
              </w:rPr>
            </w:pPr>
            <w:r>
              <w:rPr>
                <w:b/>
                <w:sz w:val="20"/>
                <w:szCs w:val="20"/>
              </w:rPr>
              <w:t>Página: [indicar] de [indicar]</w:t>
            </w:r>
          </w:p>
        </w:tc>
      </w:tr>
      <w:tr w14:paraId="00C5B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3"/>
          </w:tcPr>
          <w:p w14:paraId="2BF6EB5C">
            <w:pPr>
              <w:spacing w:after="120" w:line="259" w:lineRule="auto"/>
              <w:rPr>
                <w:b/>
                <w:sz w:val="20"/>
                <w:szCs w:val="20"/>
              </w:rPr>
            </w:pPr>
            <w:r>
              <w:rPr>
                <w:b/>
                <w:bCs/>
                <w:iCs/>
                <w:sz w:val="20"/>
                <w:szCs w:val="20"/>
              </w:rPr>
              <w:t>Obra:</w:t>
            </w:r>
            <w:r>
              <w:rPr>
                <w:bCs/>
                <w:iCs/>
                <w:sz w:val="20"/>
                <w:szCs w:val="20"/>
              </w:rPr>
              <w:t xml:space="preserve"> [indicar as Obra]</w:t>
            </w:r>
          </w:p>
        </w:tc>
      </w:tr>
    </w:tbl>
    <w:p w14:paraId="706E66CA">
      <w:pPr>
        <w:spacing w:before="240"/>
        <w:jc w:val="both"/>
        <w:rPr>
          <w:sz w:val="20"/>
          <w:szCs w:val="20"/>
        </w:rPr>
      </w:pPr>
      <w:r>
        <w:rPr>
          <w:sz w:val="20"/>
          <w:szCs w:val="20"/>
        </w:rPr>
        <w:t xml:space="preserve">Nós, os abaixo assinados, comprometemo-nos a cumprir – e a assegurar que todas as empresas por nós subcontratadas cumpram – todas as leis e regulamentos laborais aplicáveis no Brasil, bem como todas as leis e regulamentos nacionais e qualquer obrigação estabelecida nas convenções internacionais e acordos multilaterais pertinentes no domínio do ambiente que sejam aplicáveis no Brasil. </w:t>
      </w:r>
    </w:p>
    <w:p w14:paraId="59672020">
      <w:pPr>
        <w:jc w:val="both"/>
        <w:rPr>
          <w:sz w:val="20"/>
          <w:szCs w:val="20"/>
        </w:rPr>
      </w:pPr>
      <w:r>
        <w:rPr>
          <w:b/>
          <w:bCs/>
          <w:sz w:val="20"/>
          <w:szCs w:val="20"/>
        </w:rPr>
        <w:t>Normas laborais.</w:t>
      </w:r>
      <w:r>
        <w:rPr>
          <w:sz w:val="20"/>
          <w:szCs w:val="20"/>
        </w:rPr>
        <w:t xml:space="preserve"> Comprometemo-nos igualmente a respeitar os princípios das oito normas fundamentais da OIT</w:t>
      </w:r>
      <w:r>
        <w:rPr>
          <w:sz w:val="20"/>
          <w:szCs w:val="20"/>
          <w:vertAlign w:val="superscript"/>
        </w:rPr>
        <w:footnoteReference w:id="1"/>
      </w:r>
      <w:r>
        <w:rPr>
          <w:sz w:val="20"/>
          <w:szCs w:val="20"/>
        </w:rPr>
        <w:t xml:space="preserve"> em matéria de: trabalho infantil, trabalho forçado, não discriminação e liberdade de associação, bem como direito de negociação coletiva. </w:t>
      </w:r>
    </w:p>
    <w:p w14:paraId="660317EE">
      <w:pPr>
        <w:jc w:val="both"/>
        <w:rPr>
          <w:sz w:val="20"/>
          <w:szCs w:val="20"/>
        </w:rPr>
      </w:pPr>
      <w:r>
        <w:rPr>
          <w:b/>
          <w:bCs/>
          <w:sz w:val="20"/>
          <w:szCs w:val="20"/>
        </w:rPr>
        <w:t>Asseguraremos</w:t>
      </w:r>
      <w:r>
        <w:rPr>
          <w:sz w:val="20"/>
          <w:szCs w:val="20"/>
        </w:rPr>
        <w:t xml:space="preserve"> </w:t>
      </w:r>
    </w:p>
    <w:p w14:paraId="2EC95B84">
      <w:pPr>
        <w:jc w:val="both"/>
        <w:rPr>
          <w:bCs/>
          <w:sz w:val="20"/>
          <w:szCs w:val="20"/>
        </w:rPr>
      </w:pPr>
      <w:r>
        <w:rPr>
          <w:bCs/>
          <w:sz w:val="20"/>
          <w:szCs w:val="20"/>
        </w:rPr>
        <w:t xml:space="preserve">(a) o pagamento de salários e benefícios e a garantia de condições de trabalho (incluindo duração do trabalho e dias de descanso) que não sejam inferiores aos estabelecidos para o comércio ou indústria no local onde os trabalhos são executados; e </w:t>
      </w:r>
    </w:p>
    <w:p w14:paraId="56AE9B7F">
      <w:pPr>
        <w:jc w:val="both"/>
        <w:rPr>
          <w:bCs/>
          <w:sz w:val="20"/>
          <w:szCs w:val="20"/>
        </w:rPr>
      </w:pPr>
      <w:r>
        <w:rPr>
          <w:bCs/>
          <w:sz w:val="20"/>
          <w:szCs w:val="20"/>
        </w:rPr>
        <w:t xml:space="preserve">(b) a manutenção de registos completos e rigorosos do emprego de trabalhadores no local. </w:t>
      </w:r>
    </w:p>
    <w:p w14:paraId="5C102553">
      <w:pPr>
        <w:jc w:val="both"/>
        <w:rPr>
          <w:sz w:val="20"/>
          <w:szCs w:val="20"/>
        </w:rPr>
      </w:pPr>
      <w:r>
        <w:rPr>
          <w:b/>
          <w:bCs/>
          <w:sz w:val="20"/>
          <w:szCs w:val="20"/>
        </w:rPr>
        <w:t xml:space="preserve">Relações com os trabalhadores. </w:t>
      </w:r>
      <w:r>
        <w:rPr>
          <w:sz w:val="20"/>
          <w:szCs w:val="20"/>
        </w:rPr>
        <w:t xml:space="preserve">Por conseguinte, comprometemo-nos a formular e a implementar uma política e procedimentos em matéria de recursos humanos, aplicáveis a todos os trabalhadores contratados para o projeto, em conformidade com o Manual Ambiental e Social do FONPLATA.  Acompanharemos regularmente a sua aplicação e manteremos o/a [inserir nome da autoridade adjudicante] informado(a) da situação, nomeadamente no que respeita às medidas corretivas que eventualmente se revelem necessárias. </w:t>
      </w:r>
    </w:p>
    <w:p w14:paraId="59A10C43">
      <w:pPr>
        <w:jc w:val="both"/>
        <w:rPr>
          <w:sz w:val="20"/>
          <w:szCs w:val="20"/>
        </w:rPr>
      </w:pPr>
      <w:r>
        <w:rPr>
          <w:b/>
          <w:bCs/>
          <w:sz w:val="20"/>
          <w:szCs w:val="20"/>
        </w:rPr>
        <w:t>Saúde pública e higiene e segurança no trabalho.</w:t>
      </w:r>
      <w:r>
        <w:rPr>
          <w:sz w:val="20"/>
          <w:szCs w:val="20"/>
        </w:rPr>
        <w:t xml:space="preserve"> Comprometemo-nos a </w:t>
      </w:r>
    </w:p>
    <w:p w14:paraId="55F7FFA9">
      <w:pPr>
        <w:numPr>
          <w:ilvl w:val="0"/>
          <w:numId w:val="37"/>
        </w:numPr>
        <w:ind w:left="426" w:hanging="284"/>
        <w:jc w:val="both"/>
        <w:rPr>
          <w:iCs/>
          <w:sz w:val="20"/>
          <w:szCs w:val="20"/>
        </w:rPr>
      </w:pPr>
      <w:r>
        <w:rPr>
          <w:iCs/>
          <w:sz w:val="20"/>
          <w:szCs w:val="20"/>
        </w:rPr>
        <w:t xml:space="preserve">cumprir todas as leis aplicáveis em matéria de saúde e segurança no trabalho no Brasil; </w:t>
      </w:r>
    </w:p>
    <w:p w14:paraId="5ADEDBB3">
      <w:pPr>
        <w:numPr>
          <w:ilvl w:val="0"/>
          <w:numId w:val="37"/>
        </w:numPr>
        <w:ind w:left="426" w:hanging="284"/>
        <w:jc w:val="both"/>
        <w:rPr>
          <w:iCs/>
          <w:sz w:val="20"/>
          <w:szCs w:val="20"/>
        </w:rPr>
      </w:pPr>
      <w:r>
        <w:rPr>
          <w:iCs/>
          <w:sz w:val="20"/>
          <w:szCs w:val="20"/>
        </w:rPr>
        <w:t xml:space="preserve"> elaborar e implementar os necessários sistemas e planos de gestão da saúde e segurança no trabalho, em conformidade com as medidas definidas no Plano de Gestão Ambiental e Social (PGAS) do projeto e com as Orientações da OIT</w:t>
      </w:r>
      <w:r>
        <w:rPr>
          <w:iCs/>
          <w:sz w:val="20"/>
          <w:szCs w:val="20"/>
          <w:vertAlign w:val="superscript"/>
          <w:lang w:val="es-CO"/>
        </w:rPr>
        <w:footnoteReference w:id="2"/>
      </w:r>
      <w:r>
        <w:rPr>
          <w:iCs/>
          <w:sz w:val="20"/>
          <w:szCs w:val="20"/>
        </w:rPr>
        <w:t>; relativas aos sistemas de gestão da saúde e segurança no trabalho;</w:t>
      </w:r>
    </w:p>
    <w:p w14:paraId="1B6E6B75">
      <w:pPr>
        <w:numPr>
          <w:ilvl w:val="0"/>
          <w:numId w:val="37"/>
        </w:numPr>
        <w:ind w:left="426" w:hanging="284"/>
        <w:jc w:val="both"/>
        <w:rPr>
          <w:iCs/>
          <w:sz w:val="20"/>
          <w:szCs w:val="20"/>
        </w:rPr>
      </w:pPr>
      <w:r>
        <w:rPr>
          <w:iCs/>
          <w:sz w:val="20"/>
          <w:szCs w:val="20"/>
        </w:rPr>
        <w:t xml:space="preserve"> conceder aos trabalhadores contratados para o projeto acesso a instalações adequadas, seguras e higiênicas, bem como alojamento em conformidade com as disposições do Manual Ambiental e Social do FONPLATA para os trabalhadores que fiquem alojados no canteiro de obras; e </w:t>
      </w:r>
    </w:p>
    <w:p w14:paraId="222AA80F">
      <w:pPr>
        <w:numPr>
          <w:ilvl w:val="0"/>
          <w:numId w:val="37"/>
        </w:numPr>
        <w:ind w:left="426" w:hanging="284"/>
        <w:jc w:val="both"/>
        <w:rPr>
          <w:iCs/>
          <w:sz w:val="20"/>
          <w:szCs w:val="20"/>
        </w:rPr>
      </w:pPr>
      <w:r>
        <w:rPr>
          <w:iCs/>
          <w:sz w:val="20"/>
          <w:szCs w:val="20"/>
        </w:rPr>
        <w:t xml:space="preserve"> adotar medidas de gestão da segurança consentâneas com os princípios e normas internacionais sobre direitos humanos, caso seja necessário adotar tais medidas para o projeto. </w:t>
      </w:r>
    </w:p>
    <w:p w14:paraId="654F3D49">
      <w:pPr>
        <w:jc w:val="both"/>
        <w:rPr>
          <w:sz w:val="20"/>
          <w:szCs w:val="20"/>
        </w:rPr>
      </w:pPr>
      <w:r>
        <w:rPr>
          <w:b/>
          <w:bCs/>
          <w:sz w:val="20"/>
          <w:szCs w:val="20"/>
        </w:rPr>
        <w:t>Proteção do ambiente.</w:t>
      </w:r>
      <w:r>
        <w:rPr>
          <w:sz w:val="20"/>
          <w:szCs w:val="20"/>
        </w:rPr>
        <w:t xml:space="preserve"> Comprometemo-nos a tomar todas as medidas razoavelmente exigíveis para proteger o ambiente no canteiro de obras e fora dele e para limitar o incomodo causado a pessoas e bens pela poluição, ruído, tráfego e outros efeitos das operações. Para tal, as emissões, descargas à superfície e efluentes resultantes das nossas atividades respeitarão os limites, as especificações ou condições definidas em [inserir nome do documento relevante]</w:t>
      </w:r>
      <w:r>
        <w:rPr>
          <w:sz w:val="20"/>
          <w:szCs w:val="20"/>
          <w:vertAlign w:val="superscript"/>
        </w:rPr>
        <w:footnoteReference w:id="3"/>
      </w:r>
      <w:r>
        <w:rPr>
          <w:sz w:val="20"/>
          <w:szCs w:val="20"/>
        </w:rPr>
        <w:t>, bem como as leis e regulamentos nacionais e internacionais aplicáveis no Brasil.</w:t>
      </w:r>
    </w:p>
    <w:p w14:paraId="3F9F5C11">
      <w:pPr>
        <w:jc w:val="both"/>
        <w:rPr>
          <w:sz w:val="20"/>
          <w:szCs w:val="20"/>
        </w:rPr>
      </w:pPr>
      <w:r>
        <w:rPr>
          <w:b/>
          <w:bCs/>
          <w:sz w:val="20"/>
          <w:szCs w:val="20"/>
        </w:rPr>
        <w:t>Desempenho ambiental e social.</w:t>
      </w:r>
      <w:r>
        <w:rPr>
          <w:sz w:val="20"/>
          <w:szCs w:val="20"/>
        </w:rPr>
        <w:t xml:space="preserve"> Comprometemo-nos a: </w:t>
      </w:r>
    </w:p>
    <w:p w14:paraId="039E1413">
      <w:pPr>
        <w:numPr>
          <w:ilvl w:val="0"/>
          <w:numId w:val="38"/>
        </w:numPr>
        <w:jc w:val="both"/>
        <w:rPr>
          <w:iCs/>
          <w:sz w:val="20"/>
          <w:szCs w:val="20"/>
        </w:rPr>
      </w:pPr>
      <w:r>
        <w:rPr>
          <w:iCs/>
          <w:sz w:val="20"/>
          <w:szCs w:val="20"/>
        </w:rPr>
        <w:t xml:space="preserve">apresentar mensalmente relatórios de monitorização ambiental e social ao/à [inserir nome da autoridade adjudicante]; e </w:t>
      </w:r>
    </w:p>
    <w:p w14:paraId="33BFE8FB">
      <w:pPr>
        <w:numPr>
          <w:ilvl w:val="0"/>
          <w:numId w:val="38"/>
        </w:numPr>
        <w:jc w:val="both"/>
        <w:rPr>
          <w:iCs/>
          <w:sz w:val="20"/>
          <w:szCs w:val="20"/>
        </w:rPr>
      </w:pPr>
      <w:r>
        <w:rPr>
          <w:iCs/>
          <w:sz w:val="20"/>
          <w:szCs w:val="20"/>
        </w:rPr>
        <w:t xml:space="preserve"> dar cumprimento às medidas que nos tenham sido impostas nas licenças ambientais [inserir nome do documento relevante, se for o caso]</w:t>
      </w:r>
      <w:r>
        <w:rPr>
          <w:iCs/>
          <w:sz w:val="20"/>
          <w:szCs w:val="20"/>
          <w:vertAlign w:val="superscript"/>
          <w:lang w:val="es-CO"/>
        </w:rPr>
        <w:footnoteReference w:id="4"/>
      </w:r>
      <w:r>
        <w:rPr>
          <w:iCs/>
          <w:sz w:val="20"/>
          <w:szCs w:val="20"/>
        </w:rPr>
        <w:t xml:space="preserve"> e a eventuais medidas corretivas ou preventivas referidas no relatório anual de monitorização ambiental e social. </w:t>
      </w:r>
    </w:p>
    <w:p w14:paraId="31241477">
      <w:pPr>
        <w:jc w:val="both"/>
        <w:rPr>
          <w:sz w:val="20"/>
          <w:szCs w:val="20"/>
        </w:rPr>
      </w:pPr>
      <w:r>
        <w:rPr>
          <w:sz w:val="20"/>
          <w:szCs w:val="20"/>
        </w:rPr>
        <w:t>Para tal, criaremos e implementaremos um sistema de gestão ambiental e social adequado à dimensão e complexidade do contrato e forneceremos ao/à [inserir nome da autoridade adjudicante] informações sobre:</w:t>
      </w:r>
    </w:p>
    <w:p w14:paraId="2875E750">
      <w:pPr>
        <w:numPr>
          <w:ilvl w:val="0"/>
          <w:numId w:val="39"/>
        </w:numPr>
        <w:jc w:val="both"/>
        <w:rPr>
          <w:bCs/>
          <w:sz w:val="20"/>
          <w:szCs w:val="20"/>
        </w:rPr>
      </w:pPr>
      <w:r>
        <w:rPr>
          <w:bCs/>
          <w:sz w:val="20"/>
          <w:szCs w:val="20"/>
        </w:rPr>
        <w:t>os planos e procedimentos;</w:t>
      </w:r>
    </w:p>
    <w:p w14:paraId="0969A7E6">
      <w:pPr>
        <w:jc w:val="both"/>
        <w:rPr>
          <w:bCs/>
          <w:sz w:val="20"/>
          <w:szCs w:val="20"/>
        </w:rPr>
      </w:pPr>
      <w:r>
        <w:rPr>
          <w:bCs/>
          <w:sz w:val="20"/>
          <w:szCs w:val="20"/>
        </w:rPr>
        <w:t>(b) as funções e responsabilidades; e</w:t>
      </w:r>
    </w:p>
    <w:p w14:paraId="2065B88A">
      <w:pPr>
        <w:jc w:val="both"/>
        <w:rPr>
          <w:bCs/>
          <w:sz w:val="20"/>
          <w:szCs w:val="20"/>
        </w:rPr>
      </w:pPr>
      <w:r>
        <w:rPr>
          <w:bCs/>
          <w:sz w:val="20"/>
          <w:szCs w:val="20"/>
        </w:rPr>
        <w:t xml:space="preserve">(c) os relatórios de análise e monitorização pertinentes. </w:t>
      </w:r>
    </w:p>
    <w:p w14:paraId="06EC6C06">
      <w:pPr>
        <w:jc w:val="both"/>
        <w:rPr>
          <w:sz w:val="20"/>
          <w:szCs w:val="20"/>
        </w:rPr>
      </w:pPr>
      <w:r>
        <w:rPr>
          <w:sz w:val="20"/>
          <w:szCs w:val="20"/>
        </w:rPr>
        <w:t>Declaramos que a nossa proposta de preço para este contrato contempla todos os custos relacionados com as nossas obrigações de desempenho ambiental e social no âmbito deste contrato. Comprometemo-nos a:</w:t>
      </w:r>
    </w:p>
    <w:p w14:paraId="3E574B0A">
      <w:pPr>
        <w:jc w:val="both"/>
        <w:rPr>
          <w:bCs/>
          <w:sz w:val="20"/>
          <w:szCs w:val="20"/>
        </w:rPr>
      </w:pPr>
      <w:r>
        <w:rPr>
          <w:bCs/>
          <w:sz w:val="20"/>
          <w:szCs w:val="20"/>
        </w:rPr>
        <w:t xml:space="preserve">(a) reavaliar, em consulta com o Contratante, quaisquer alterações à concepção do projeto suscetíveis de causar impactos ambientais ou sociais negativos; </w:t>
      </w:r>
    </w:p>
    <w:p w14:paraId="73EC6535">
      <w:pPr>
        <w:jc w:val="both"/>
        <w:rPr>
          <w:bCs/>
          <w:sz w:val="20"/>
          <w:szCs w:val="20"/>
        </w:rPr>
      </w:pPr>
      <w:r>
        <w:rPr>
          <w:bCs/>
          <w:sz w:val="20"/>
          <w:szCs w:val="20"/>
        </w:rPr>
        <w:t xml:space="preserve">(b) comunicar ao Contratante, por escrito e em tempo útil, quaisquer riscos ou impactos ambientais ou sociais imprevistos que ocorram durante a execução do contrato e do projeto, que não tenham sido anteriormente tidos em conta; e </w:t>
      </w:r>
    </w:p>
    <w:p w14:paraId="595C191D">
      <w:pPr>
        <w:jc w:val="both"/>
        <w:rPr>
          <w:bCs/>
          <w:sz w:val="20"/>
          <w:szCs w:val="20"/>
        </w:rPr>
      </w:pPr>
      <w:r>
        <w:rPr>
          <w:bCs/>
          <w:sz w:val="20"/>
          <w:szCs w:val="20"/>
        </w:rPr>
        <w:t>(c) em consulta com o Contratante, introduzir os ajustamentos necessários às medidas de monitorização e atenuação dos impactos ambientais e sociais para assegurar o cumprimento das nossas obrigações ambientais e sociais.</w:t>
      </w:r>
    </w:p>
    <w:p w14:paraId="5A60C806">
      <w:pPr>
        <w:jc w:val="both"/>
        <w:rPr>
          <w:sz w:val="20"/>
          <w:szCs w:val="20"/>
        </w:rPr>
      </w:pPr>
      <w:r>
        <w:rPr>
          <w:b/>
          <w:bCs/>
          <w:sz w:val="20"/>
          <w:szCs w:val="20"/>
        </w:rPr>
        <w:t>Pessoal responsável pelos aspetos ambientais e sociais.</w:t>
      </w:r>
      <w:r>
        <w:rPr>
          <w:sz w:val="20"/>
          <w:szCs w:val="20"/>
        </w:rPr>
        <w:t xml:space="preserve"> Facilitaremos a monitorização e supervisão contínuas, por parte do Contratante, do cumprimento das nossas obrigações ambientais e sociais acima descritas. Para este efeito, nomearemos e manteremos em funções até à conclusão do contrato uma equipe de gestão ambiental e social (adequada à dimensão e complexidade do contrato) que o Contratante e considere aceitável e à qual terá acesso pleno e imediato, que será responsável por garantir o cumprimento da presente Declaração Ambiental e Social e será dotada dos poderes necessários para este efeito. </w:t>
      </w:r>
    </w:p>
    <w:p w14:paraId="4F747DE5">
      <w:pPr>
        <w:jc w:val="both"/>
        <w:rPr>
          <w:sz w:val="20"/>
          <w:szCs w:val="20"/>
        </w:rPr>
      </w:pPr>
      <w:r>
        <w:rPr>
          <w:sz w:val="20"/>
          <w:szCs w:val="20"/>
        </w:rPr>
        <w:t>O Contratado:</w:t>
      </w:r>
    </w:p>
    <w:p w14:paraId="1E891915">
      <w:pPr>
        <w:jc w:val="both"/>
        <w:rPr>
          <w:bCs/>
          <w:sz w:val="20"/>
          <w:szCs w:val="20"/>
        </w:rPr>
      </w:pPr>
      <w:r>
        <w:rPr>
          <w:bCs/>
          <w:sz w:val="20"/>
          <w:szCs w:val="20"/>
        </w:rPr>
        <w:t xml:space="preserve">(a) se compromete a auxiliar o Contratante na obtenção das Licenças Ambientais (LP, LI, LO), das alterações nos projetos ocorridas em função de solicitações do concorrente contratado e/ou em decorrência de ações de responsabilidade do concorrente contratado, nas Obras objeto desta LPI; </w:t>
      </w:r>
    </w:p>
    <w:p w14:paraId="33B48F8A">
      <w:pPr>
        <w:jc w:val="both"/>
        <w:rPr>
          <w:bCs/>
          <w:sz w:val="20"/>
          <w:szCs w:val="20"/>
        </w:rPr>
      </w:pPr>
      <w:r>
        <w:rPr>
          <w:bCs/>
          <w:sz w:val="20"/>
          <w:szCs w:val="20"/>
        </w:rPr>
        <w:t>(b) concluídas as Obras, responsabiliza-se pela entrega, ao Contratante, do Relatório de Controle Ambiental (RCA) devidamente aprovado pelo órgão ambiental competente, bem como a execução das condicionantes ambientais para a obtenção da Licença de Operação (LO) das Obras, de cuja aprovação dependerá a liberação das cauções contratuais; e</w:t>
      </w:r>
    </w:p>
    <w:p w14:paraId="23457697">
      <w:pPr>
        <w:jc w:val="both"/>
        <w:rPr>
          <w:bCs/>
          <w:sz w:val="20"/>
          <w:szCs w:val="20"/>
        </w:rPr>
      </w:pPr>
      <w:r>
        <w:rPr>
          <w:bCs/>
          <w:sz w:val="20"/>
          <w:szCs w:val="20"/>
        </w:rPr>
        <w:t>(c) tomou conhecimento que o pagamento da última medição somente será realizado após a entrega, ao Contratante, do Relatório de Controle Ambiental (RCA) devidamente aprovado pelo órgão ambiental competente.</w:t>
      </w:r>
    </w:p>
    <w:p w14:paraId="6E697602">
      <w:pPr>
        <w:jc w:val="both"/>
        <w:rPr>
          <w:sz w:val="20"/>
          <w:szCs w:val="20"/>
        </w:rPr>
      </w:pPr>
      <w:r>
        <w:rPr>
          <w:sz w:val="20"/>
          <w:szCs w:val="20"/>
        </w:rPr>
        <w:t xml:space="preserve">Concedemos ao Contratante, ao FONPLATA e aos auditores nomeados por qualquer um deles o direito de examinarem todas as nossas contas, registros, dados eletrônicos e documentos relacionados com os aspetos ambientais e sociais do atual contrato, bem como os das empresas por nós subcontratadas. </w:t>
      </w:r>
    </w:p>
    <w:tbl>
      <w:tblPr>
        <w:tblStyle w:val="12"/>
        <w:tblW w:w="908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6870"/>
      </w:tblGrid>
      <w:tr w14:paraId="019E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17" w:type="dxa"/>
          </w:tcPr>
          <w:p w14:paraId="0FFDB19B">
            <w:pPr>
              <w:rPr>
                <w:bCs/>
                <w:iCs/>
                <w:sz w:val="20"/>
                <w:szCs w:val="20"/>
              </w:rPr>
            </w:pPr>
            <w:r>
              <w:rPr>
                <w:b/>
                <w:bCs/>
                <w:iCs/>
                <w:sz w:val="20"/>
                <w:szCs w:val="20"/>
              </w:rPr>
              <w:t>Data:</w:t>
            </w:r>
            <w:r>
              <w:rPr>
                <w:bCs/>
                <w:iCs/>
                <w:sz w:val="20"/>
                <w:szCs w:val="20"/>
              </w:rPr>
              <w:t xml:space="preserve"> [indicar]</w:t>
            </w:r>
          </w:p>
        </w:tc>
        <w:tc>
          <w:tcPr>
            <w:tcW w:w="6870" w:type="dxa"/>
          </w:tcPr>
          <w:p w14:paraId="3F9AAB58">
            <w:pPr>
              <w:jc w:val="both"/>
              <w:rPr>
                <w:bCs/>
                <w:iCs/>
                <w:sz w:val="20"/>
                <w:szCs w:val="20"/>
              </w:rPr>
            </w:pPr>
            <w:r>
              <w:rPr>
                <w:b/>
                <w:bCs/>
                <w:iCs/>
                <w:sz w:val="20"/>
                <w:szCs w:val="20"/>
              </w:rPr>
              <w:t>Assinatura (</w:t>
            </w:r>
            <w:r>
              <w:rPr>
                <w:bCs/>
                <w:iCs/>
                <w:sz w:val="20"/>
                <w:szCs w:val="20"/>
              </w:rPr>
              <w:t>Devidamente autorizado para assinar a proposta em nome do Concorrente)</w:t>
            </w:r>
            <w:r>
              <w:rPr>
                <w:b/>
                <w:bCs/>
                <w:iCs/>
                <w:sz w:val="20"/>
                <w:szCs w:val="20"/>
              </w:rPr>
              <w:t>:</w:t>
            </w:r>
            <w:r>
              <w:rPr>
                <w:bCs/>
                <w:iCs/>
                <w:sz w:val="20"/>
                <w:szCs w:val="20"/>
              </w:rPr>
              <w:t xml:space="preserve"> [assinar]</w:t>
            </w:r>
          </w:p>
        </w:tc>
      </w:tr>
      <w:tr w14:paraId="3253F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087" w:type="dxa"/>
            <w:gridSpan w:val="2"/>
          </w:tcPr>
          <w:p w14:paraId="59067301">
            <w:pPr>
              <w:rPr>
                <w:bCs/>
                <w:iCs/>
                <w:sz w:val="20"/>
                <w:szCs w:val="20"/>
              </w:rPr>
            </w:pPr>
            <w:r>
              <w:rPr>
                <w:b/>
                <w:bCs/>
                <w:iCs/>
                <w:sz w:val="20"/>
                <w:szCs w:val="20"/>
              </w:rPr>
              <w:t>Nome e Cargo:</w:t>
            </w:r>
            <w:r>
              <w:rPr>
                <w:bCs/>
                <w:iCs/>
                <w:sz w:val="20"/>
                <w:szCs w:val="20"/>
              </w:rPr>
              <w:t xml:space="preserve"> [indicar]</w:t>
            </w:r>
          </w:p>
        </w:tc>
      </w:tr>
    </w:tbl>
    <w:p w14:paraId="7346099A">
      <w:pPr>
        <w:pStyle w:val="73"/>
      </w:pPr>
      <w:bookmarkStart w:id="247" w:name="_Toc113103934"/>
      <w:bookmarkStart w:id="248" w:name="_Toc153209001"/>
      <w:bookmarkStart w:id="249" w:name="_Toc88660843"/>
      <w:bookmarkStart w:id="250" w:name="_Toc138437012"/>
      <w:bookmarkStart w:id="251" w:name="_Toc174537339"/>
      <w:bookmarkStart w:id="252" w:name="_Toc168229968"/>
      <w:bookmarkStart w:id="253" w:name="_Toc99023978"/>
    </w:p>
    <w:p w14:paraId="46BCE217">
      <w:pPr>
        <w:pStyle w:val="73"/>
      </w:pPr>
    </w:p>
    <w:p w14:paraId="6909C2FF">
      <w:pPr>
        <w:pStyle w:val="73"/>
      </w:pPr>
    </w:p>
    <w:p w14:paraId="3605BDC6">
      <w:pPr>
        <w:pStyle w:val="73"/>
      </w:pPr>
    </w:p>
    <w:p w14:paraId="179B522F">
      <w:pPr>
        <w:pStyle w:val="73"/>
      </w:pPr>
    </w:p>
    <w:p w14:paraId="604C99B4">
      <w:pPr>
        <w:pStyle w:val="73"/>
      </w:pPr>
    </w:p>
    <w:p w14:paraId="191E6E84">
      <w:pPr>
        <w:pStyle w:val="73"/>
      </w:pPr>
    </w:p>
    <w:p w14:paraId="24846416">
      <w:pPr>
        <w:pStyle w:val="73"/>
      </w:pPr>
    </w:p>
    <w:p w14:paraId="4E4DCF2D">
      <w:pPr>
        <w:pStyle w:val="73"/>
      </w:pPr>
    </w:p>
    <w:p w14:paraId="75BE1A9A">
      <w:pPr>
        <w:pStyle w:val="73"/>
      </w:pPr>
    </w:p>
    <w:p w14:paraId="05F38296">
      <w:pPr>
        <w:pStyle w:val="73"/>
      </w:pPr>
    </w:p>
    <w:p w14:paraId="56312DE9">
      <w:pPr>
        <w:pStyle w:val="73"/>
      </w:pPr>
    </w:p>
    <w:p w14:paraId="26C818AB">
      <w:pPr>
        <w:pStyle w:val="73"/>
      </w:pPr>
    </w:p>
    <w:p w14:paraId="7DDFDD27">
      <w:pPr>
        <w:pStyle w:val="73"/>
      </w:pPr>
    </w:p>
    <w:p w14:paraId="578DE847">
      <w:pPr>
        <w:pStyle w:val="73"/>
      </w:pPr>
    </w:p>
    <w:p w14:paraId="70C69BD0">
      <w:pPr>
        <w:pStyle w:val="73"/>
      </w:pPr>
    </w:p>
    <w:p w14:paraId="0E47F148">
      <w:pPr>
        <w:pStyle w:val="73"/>
      </w:pPr>
    </w:p>
    <w:p w14:paraId="7FA4327F">
      <w:pPr>
        <w:pStyle w:val="73"/>
      </w:pPr>
    </w:p>
    <w:p w14:paraId="00500C88">
      <w:pPr>
        <w:pStyle w:val="73"/>
      </w:pPr>
    </w:p>
    <w:p w14:paraId="43BBB77C">
      <w:pPr>
        <w:pStyle w:val="73"/>
      </w:pPr>
    </w:p>
    <w:p w14:paraId="4A8D7BE1">
      <w:pPr>
        <w:pStyle w:val="73"/>
      </w:pPr>
    </w:p>
    <w:p w14:paraId="44DEDF1D">
      <w:pPr>
        <w:pStyle w:val="73"/>
      </w:pPr>
    </w:p>
    <w:p w14:paraId="0A34F8FB">
      <w:pPr>
        <w:pStyle w:val="73"/>
      </w:pPr>
    </w:p>
    <w:p w14:paraId="14F2F2B2">
      <w:pPr>
        <w:pStyle w:val="73"/>
      </w:pPr>
    </w:p>
    <w:p w14:paraId="3AFE6D8F">
      <w:pPr>
        <w:pStyle w:val="73"/>
      </w:pPr>
    </w:p>
    <w:p w14:paraId="367913EE">
      <w:pPr>
        <w:pStyle w:val="73"/>
      </w:pPr>
    </w:p>
    <w:p w14:paraId="325D21A2">
      <w:pPr>
        <w:pStyle w:val="73"/>
      </w:pPr>
    </w:p>
    <w:p w14:paraId="3EEB9466">
      <w:pPr>
        <w:pStyle w:val="73"/>
      </w:pPr>
    </w:p>
    <w:p w14:paraId="41B51D70">
      <w:pPr>
        <w:pStyle w:val="73"/>
      </w:pPr>
    </w:p>
    <w:p w14:paraId="31CAA97C">
      <w:pPr>
        <w:pStyle w:val="73"/>
      </w:pPr>
    </w:p>
    <w:p w14:paraId="5831E911">
      <w:pPr>
        <w:pStyle w:val="73"/>
      </w:pPr>
    </w:p>
    <w:p w14:paraId="019E5AC4">
      <w:pPr>
        <w:pStyle w:val="73"/>
      </w:pPr>
    </w:p>
    <w:p w14:paraId="0B1FC7A3">
      <w:pPr>
        <w:pStyle w:val="73"/>
      </w:pPr>
    </w:p>
    <w:p w14:paraId="32E45EC8">
      <w:pPr>
        <w:pStyle w:val="73"/>
      </w:pPr>
      <w:r>
        <w:t>MODELO 11 - DECLARAÇÃO DE INTEGRIDADE</w:t>
      </w:r>
      <w:bookmarkEnd w:id="247"/>
      <w:bookmarkEnd w:id="248"/>
      <w:bookmarkEnd w:id="249"/>
      <w:bookmarkEnd w:id="250"/>
      <w:bookmarkEnd w:id="251"/>
      <w:bookmarkEnd w:id="252"/>
      <w:bookmarkEnd w:id="253"/>
    </w:p>
    <w:tbl>
      <w:tblPr>
        <w:tblStyle w:val="12"/>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039"/>
        <w:gridCol w:w="2241"/>
        <w:gridCol w:w="2579"/>
      </w:tblGrid>
      <w:tr w14:paraId="39F77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859" w:type="dxa"/>
            <w:gridSpan w:val="3"/>
          </w:tcPr>
          <w:p w14:paraId="5B855571">
            <w:pPr>
              <w:rPr>
                <w:bCs/>
                <w:iCs/>
                <w:sz w:val="20"/>
                <w:szCs w:val="20"/>
              </w:rPr>
            </w:pPr>
            <w:r>
              <w:rPr>
                <w:b/>
                <w:bCs/>
                <w:iCs/>
                <w:sz w:val="20"/>
                <w:szCs w:val="20"/>
              </w:rPr>
              <w:t>Concorrente:</w:t>
            </w:r>
            <w:r>
              <w:rPr>
                <w:bCs/>
                <w:iCs/>
                <w:sz w:val="20"/>
                <w:szCs w:val="20"/>
              </w:rPr>
              <w:t xml:space="preserve"> [indicar]</w:t>
            </w:r>
          </w:p>
        </w:tc>
      </w:tr>
      <w:tr w14:paraId="3987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4039" w:type="dxa"/>
          </w:tcPr>
          <w:p w14:paraId="74CA3BDE">
            <w:pPr>
              <w:rPr>
                <w:bCs/>
                <w:iCs/>
                <w:sz w:val="20"/>
                <w:szCs w:val="20"/>
              </w:rPr>
            </w:pPr>
            <w:r>
              <w:rPr>
                <w:b/>
                <w:bCs/>
                <w:iCs/>
                <w:sz w:val="20"/>
                <w:szCs w:val="20"/>
              </w:rPr>
              <w:t>Concorrência Eletrônica – LPN Nº: [indicar]</w:t>
            </w:r>
          </w:p>
        </w:tc>
        <w:tc>
          <w:tcPr>
            <w:tcW w:w="2241" w:type="dxa"/>
          </w:tcPr>
          <w:p w14:paraId="635E1069">
            <w:pPr>
              <w:rPr>
                <w:bCs/>
                <w:iCs/>
                <w:sz w:val="20"/>
                <w:szCs w:val="20"/>
              </w:rPr>
            </w:pPr>
            <w:r>
              <w:rPr>
                <w:b/>
                <w:bCs/>
                <w:iCs/>
                <w:sz w:val="20"/>
                <w:szCs w:val="20"/>
              </w:rPr>
              <w:t>Lote Nº:</w:t>
            </w:r>
            <w:r>
              <w:rPr>
                <w:bCs/>
                <w:iCs/>
                <w:sz w:val="20"/>
                <w:szCs w:val="20"/>
              </w:rPr>
              <w:t xml:space="preserve"> [indicar]</w:t>
            </w:r>
          </w:p>
        </w:tc>
        <w:tc>
          <w:tcPr>
            <w:tcW w:w="2579" w:type="dxa"/>
          </w:tcPr>
          <w:p w14:paraId="53C81CD6">
            <w:pPr>
              <w:rPr>
                <w:bCs/>
                <w:iCs/>
                <w:sz w:val="20"/>
                <w:szCs w:val="20"/>
              </w:rPr>
            </w:pPr>
            <w:r>
              <w:rPr>
                <w:b/>
                <w:bCs/>
                <w:iCs/>
                <w:sz w:val="20"/>
                <w:szCs w:val="20"/>
              </w:rPr>
              <w:t>Página:</w:t>
            </w:r>
            <w:r>
              <w:rPr>
                <w:bCs/>
                <w:iCs/>
                <w:sz w:val="20"/>
                <w:szCs w:val="20"/>
              </w:rPr>
              <w:t xml:space="preserve"> [indicar] de [indicar]</w:t>
            </w:r>
          </w:p>
        </w:tc>
      </w:tr>
      <w:tr w14:paraId="43B4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4039" w:type="dxa"/>
          </w:tcPr>
          <w:p w14:paraId="2DC54CA8">
            <w:pPr>
              <w:rPr>
                <w:b/>
                <w:bCs/>
                <w:iCs/>
                <w:sz w:val="20"/>
                <w:szCs w:val="20"/>
              </w:rPr>
            </w:pPr>
            <w:r>
              <w:rPr>
                <w:b/>
                <w:bCs/>
                <w:iCs/>
                <w:sz w:val="20"/>
                <w:szCs w:val="20"/>
              </w:rPr>
              <w:t>Data</w:t>
            </w:r>
            <w:r>
              <w:rPr>
                <w:bCs/>
                <w:iCs/>
                <w:sz w:val="20"/>
                <w:szCs w:val="20"/>
              </w:rPr>
              <w:t>: [inserir dia, mês e ano]</w:t>
            </w:r>
          </w:p>
        </w:tc>
        <w:tc>
          <w:tcPr>
            <w:tcW w:w="4820" w:type="dxa"/>
            <w:gridSpan w:val="2"/>
          </w:tcPr>
          <w:p w14:paraId="66417166">
            <w:pPr>
              <w:rPr>
                <w:b/>
                <w:bCs/>
                <w:iCs/>
                <w:sz w:val="20"/>
                <w:szCs w:val="20"/>
              </w:rPr>
            </w:pPr>
            <w:r>
              <w:rPr>
                <w:b/>
                <w:bCs/>
                <w:iCs/>
                <w:sz w:val="20"/>
                <w:szCs w:val="20"/>
              </w:rPr>
              <w:t>Referência:</w:t>
            </w:r>
            <w:r>
              <w:rPr>
                <w:bCs/>
                <w:iCs/>
                <w:sz w:val="20"/>
                <w:szCs w:val="20"/>
              </w:rPr>
              <w:t xml:space="preserve"> </w:t>
            </w:r>
            <w:r>
              <w:rPr>
                <w:bCs/>
                <w:i/>
                <w:iCs/>
                <w:sz w:val="20"/>
                <w:szCs w:val="20"/>
              </w:rPr>
              <w:t>[Empréstimo N° Indicar]</w:t>
            </w:r>
          </w:p>
        </w:tc>
      </w:tr>
      <w:tr w14:paraId="3D49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8859" w:type="dxa"/>
            <w:gridSpan w:val="3"/>
          </w:tcPr>
          <w:p w14:paraId="36D39F15">
            <w:pPr>
              <w:rPr>
                <w:bCs/>
                <w:iCs/>
                <w:sz w:val="20"/>
                <w:szCs w:val="20"/>
              </w:rPr>
            </w:pPr>
            <w:r>
              <w:rPr>
                <w:b/>
                <w:bCs/>
                <w:iCs/>
                <w:sz w:val="20"/>
                <w:szCs w:val="20"/>
              </w:rPr>
              <w:t>Obra:</w:t>
            </w:r>
            <w:r>
              <w:rPr>
                <w:bCs/>
                <w:iCs/>
                <w:sz w:val="20"/>
                <w:szCs w:val="20"/>
              </w:rPr>
              <w:t xml:space="preserve"> [indicar a Obra]</w:t>
            </w:r>
          </w:p>
        </w:tc>
      </w:tr>
    </w:tbl>
    <w:p w14:paraId="5FF9DBB3">
      <w:pPr>
        <w:rPr>
          <w:b/>
          <w:bCs/>
          <w:iCs/>
          <w:sz w:val="20"/>
          <w:szCs w:val="20"/>
        </w:rPr>
      </w:pPr>
    </w:p>
    <w:p w14:paraId="3AD95C34">
      <w:pPr>
        <w:rPr>
          <w:b/>
          <w:bCs/>
          <w:iCs/>
          <w:sz w:val="20"/>
          <w:szCs w:val="20"/>
        </w:rPr>
      </w:pPr>
      <w:r>
        <w:rPr>
          <w:b/>
          <w:bCs/>
          <w:iCs/>
          <w:sz w:val="20"/>
          <w:szCs w:val="20"/>
        </w:rPr>
        <w:t>FONPLATA</w:t>
      </w:r>
    </w:p>
    <w:p w14:paraId="3AAA3986">
      <w:pPr>
        <w:rPr>
          <w:b/>
          <w:bCs/>
          <w:iCs/>
          <w:sz w:val="20"/>
          <w:szCs w:val="20"/>
        </w:rPr>
      </w:pPr>
      <w:r>
        <w:rPr>
          <w:b/>
          <w:bCs/>
          <w:iCs/>
          <w:sz w:val="20"/>
          <w:szCs w:val="20"/>
        </w:rPr>
        <w:t>Inscrição de Empreiteira/Beneficiário de Projeto (“BP”)</w:t>
      </w:r>
    </w:p>
    <w:p w14:paraId="35BAF81F">
      <w:pPr>
        <w:rPr>
          <w:bCs/>
          <w:iCs/>
          <w:sz w:val="20"/>
          <w:szCs w:val="20"/>
        </w:rPr>
      </w:pPr>
      <w:r>
        <w:rPr>
          <w:b/>
          <w:bCs/>
          <w:iCs/>
          <w:sz w:val="20"/>
          <w:szCs w:val="20"/>
        </w:rPr>
        <w:t>Data</w:t>
      </w:r>
      <w:r>
        <w:rPr>
          <w:bCs/>
          <w:iCs/>
          <w:sz w:val="20"/>
          <w:szCs w:val="20"/>
        </w:rPr>
        <w:t>: [inserir dia, mês e ano]</w:t>
      </w:r>
    </w:p>
    <w:p w14:paraId="497A808D">
      <w:pPr>
        <w:rPr>
          <w:bCs/>
          <w:i/>
          <w:iCs/>
          <w:sz w:val="20"/>
          <w:szCs w:val="20"/>
        </w:rPr>
      </w:pPr>
      <w:r>
        <w:rPr>
          <w:b/>
          <w:bCs/>
          <w:iCs/>
          <w:sz w:val="20"/>
          <w:szCs w:val="20"/>
        </w:rPr>
        <w:t>Referência:</w:t>
      </w:r>
      <w:r>
        <w:rPr>
          <w:bCs/>
          <w:iCs/>
          <w:sz w:val="20"/>
          <w:szCs w:val="20"/>
        </w:rPr>
        <w:t xml:space="preserve"> </w:t>
      </w:r>
      <w:r>
        <w:rPr>
          <w:bCs/>
          <w:i/>
          <w:iCs/>
          <w:sz w:val="20"/>
          <w:szCs w:val="20"/>
        </w:rPr>
        <w:t>[Empréstimo N° Indicar]</w:t>
      </w:r>
    </w:p>
    <w:p w14:paraId="2614BBE3">
      <w:pPr>
        <w:jc w:val="both"/>
        <w:rPr>
          <w:b/>
          <w:sz w:val="20"/>
          <w:szCs w:val="20"/>
        </w:rPr>
      </w:pPr>
      <w:r>
        <w:rPr>
          <w:b/>
          <w:sz w:val="20"/>
          <w:szCs w:val="20"/>
        </w:rPr>
        <w:t>1. [razão social da Empreiteira ou do BP] DECLARA QUE:</w:t>
      </w:r>
    </w:p>
    <w:p w14:paraId="5DFB8772">
      <w:pPr>
        <w:jc w:val="both"/>
        <w:rPr>
          <w:sz w:val="20"/>
          <w:szCs w:val="20"/>
        </w:rPr>
      </w:pPr>
      <w:r>
        <w:rPr>
          <w:sz w:val="20"/>
          <w:szCs w:val="20"/>
        </w:rPr>
        <w:t>"Nenhum de nossos diretores, colaboradores, agentes, acionistas, parceiros de joint ventures ou subempreiteiras, se couber, atuando em nosso nome com a devida autorização ou com nosso conhecimento ou anuência, ou por nós providenciados, participaram ou irão participar de qualquer Prática Proibida (conforme definido abaixo) com relação ao processo de licitação ou na execução ou no fornecimento de qualquer obra, bem ou serviço de [especificar o contrato ou convite de licitação] (o “Contrato") e informaremos qualquer Prática Proibida de qualquer pessoa em nossa organização a quem for responsável por zelar pelo cumprimento deste Compromisso.</w:t>
      </w:r>
    </w:p>
    <w:p w14:paraId="4DADE36C">
      <w:pPr>
        <w:jc w:val="both"/>
        <w:rPr>
          <w:sz w:val="20"/>
          <w:szCs w:val="20"/>
        </w:rPr>
      </w:pPr>
      <w:r>
        <w:rPr>
          <w:sz w:val="20"/>
          <w:szCs w:val="20"/>
        </w:rPr>
        <w:t>No decurso do processo de licitação, e se nossa oferta for aceita, no período de vigência do Contrato, iremos designar e manter na empresa um colaborador com o dever e as competências necessárias para garantir o cumprimento deste Compromisso, que deverá ser pessoa razoavelmente satisfatória para vossa senhoria e à qual vossa senhoria terá acesso pleno e imediato.</w:t>
      </w:r>
    </w:p>
    <w:p w14:paraId="2CC6C980">
      <w:pPr>
        <w:jc w:val="both"/>
        <w:rPr>
          <w:sz w:val="20"/>
          <w:szCs w:val="20"/>
        </w:rPr>
      </w:pPr>
      <w:r>
        <w:rPr>
          <w:sz w:val="20"/>
          <w:szCs w:val="20"/>
        </w:rPr>
        <w:t>Além disso, no decurso do processo de licitação e, no caso de adjudicação, ao longo da vigência do Contrato informaremos qualquer situação superveniente que possa decorrer em Prática Proibida.</w:t>
      </w:r>
    </w:p>
    <w:p w14:paraId="3335F074">
      <w:pPr>
        <w:jc w:val="both"/>
        <w:rPr>
          <w:sz w:val="20"/>
          <w:szCs w:val="20"/>
        </w:rPr>
      </w:pPr>
      <w:r>
        <w:rPr>
          <w:sz w:val="20"/>
          <w:szCs w:val="20"/>
        </w:rPr>
        <w:t xml:space="preserve">Se (i) </w:t>
      </w:r>
      <w:r>
        <w:rPr>
          <w:b/>
          <w:sz w:val="20"/>
          <w:szCs w:val="20"/>
        </w:rPr>
        <w:t>[A Empreiteira-BP]</w:t>
      </w:r>
      <w:r>
        <w:rPr>
          <w:sz w:val="20"/>
          <w:szCs w:val="20"/>
        </w:rPr>
        <w:t xml:space="preserve">, ou qualquer diretor, colaborador, agente, acionista ou parceiro de joint venture, desde que exista e que atue em nosso nome conforme referido acima, for condenado em tribunal por qualquer crime que envolva uma Prática Proibida com relação a qualquer processo de licitação ou fornecimento de obras, bens ou serviços ao longo dos cinco anos imediatamente anteriores à data deste Compromisso, ou (ii) se qualquer diretor, colaborador, agente ou representante de parceiro ou acionistas de joint venture, se couber, tiver sido demitido ou tiver desistido voluntariamente de qualquer emprego por estar envolvido em qualquer Prática Proibida, ou (iii) se </w:t>
      </w:r>
      <w:r>
        <w:rPr>
          <w:b/>
          <w:sz w:val="20"/>
          <w:szCs w:val="20"/>
        </w:rPr>
        <w:t>[A Empreiteira-BP],</w:t>
      </w:r>
      <w:r>
        <w:rPr>
          <w:sz w:val="20"/>
          <w:szCs w:val="20"/>
        </w:rPr>
        <w:t xml:space="preserve"> ou quaisquer de nossos diretores, colaboradores, agentes ou parceiros de joint ventures, se couber, atuando como já foi referido acima, tiver sido excluído da participação em processo de licitação por causa de Práticas Proibidas pelas instituições da UE ou por qualquer banco importante de desenvolvimento multilateral (incluindo a Agência Francesa de Desenvolvimento, o Grupo do Banco Mundial, o Banco Africano de Desenvolvimento, o Banco Asiático de Desenvolvimento, o Banco Europeu para a Reconstrução e o Desenvolvimento, o Banco Europeu de Investimentos, o Banco Interamericano de Desenvolvimento, ou a Corporação Andina de Fomento), a seguir fornecemos detalhes sobre essa condenação, demissão ou desistência voluntária ou exclusão, junto com os detalhes das medidas que tomamos ou iremos tomar para garantir que nem esta empresa nem qualquer de nossos diretores, colaboradores ou agentes se envolva em qualquer Prática Proibida com relação ao Contrato [fornecer detalhes se for necessário].</w:t>
      </w:r>
    </w:p>
    <w:p w14:paraId="6FCA9C72">
      <w:pPr>
        <w:jc w:val="both"/>
        <w:rPr>
          <w:sz w:val="20"/>
          <w:szCs w:val="20"/>
        </w:rPr>
      </w:pPr>
      <w:r>
        <w:rPr>
          <w:sz w:val="20"/>
          <w:szCs w:val="20"/>
        </w:rPr>
        <w:t>Caso nos seja adjudicado o contrato, o Proprietário do projeto, o FONPLATA e os auditores por qualquer um deles designados, bem como qualquer outra autoridade dos países-membros do FONPLATA, ou qualquer banco de desenvolvimento multilateral importante terão acesso a nossos registros e aos de nossas subempreiteiras para fiscalização nos termos do Contrato. Aceitamos manter esses registros de acordo com a legislação aplicável, no entanto, em todo caso, por um período mínimo de seis anos contados a partir da data do cumprimento substancial do contrato."</w:t>
      </w:r>
    </w:p>
    <w:p w14:paraId="13F22013">
      <w:pPr>
        <w:jc w:val="both"/>
        <w:rPr>
          <w:sz w:val="20"/>
          <w:szCs w:val="20"/>
        </w:rPr>
      </w:pPr>
      <w:r>
        <w:rPr>
          <w:sz w:val="20"/>
          <w:szCs w:val="20"/>
        </w:rPr>
        <w:t>Para os efeitos deste Compromisso, as Práticas Proibidas abrangem:</w:t>
      </w:r>
    </w:p>
    <w:p w14:paraId="694B5795">
      <w:pPr>
        <w:jc w:val="both"/>
        <w:rPr>
          <w:i/>
          <w:iCs/>
          <w:sz w:val="20"/>
          <w:szCs w:val="20"/>
        </w:rPr>
      </w:pPr>
      <w:r>
        <w:rPr>
          <w:i/>
          <w:iCs/>
          <w:sz w:val="20"/>
          <w:szCs w:val="20"/>
        </w:rPr>
        <w:t xml:space="preserve">(i) Práticas corruptas: </w:t>
      </w:r>
      <w:r>
        <w:rPr>
          <w:iCs/>
          <w:sz w:val="20"/>
          <w:szCs w:val="20"/>
        </w:rPr>
        <w:t>consistem em oferecer, dar, receber ou solicitar, direta ou indiretamente, qualquer coisa de valor para influenciar as ações de outra parte.</w:t>
      </w:r>
    </w:p>
    <w:p w14:paraId="58056E3E">
      <w:pPr>
        <w:jc w:val="both"/>
        <w:rPr>
          <w:i/>
          <w:iCs/>
          <w:sz w:val="20"/>
          <w:szCs w:val="20"/>
        </w:rPr>
      </w:pPr>
      <w:r>
        <w:rPr>
          <w:i/>
          <w:iCs/>
          <w:sz w:val="20"/>
          <w:szCs w:val="20"/>
        </w:rPr>
        <w:t xml:space="preserve">(ii) Práticas fraudulentas: </w:t>
      </w:r>
      <w:r>
        <w:rPr>
          <w:iCs/>
          <w:sz w:val="20"/>
          <w:szCs w:val="20"/>
        </w:rPr>
        <w:t>são qualquer ato ou omissão, incluindo a desvirtuação de fatos e circunstâncias, que enganem ou tentem enganar uma parte para obter qualquer benefício financeiro ou de outra natureza, ou para evadir uma obrigação.</w:t>
      </w:r>
    </w:p>
    <w:p w14:paraId="16E8F99C">
      <w:pPr>
        <w:jc w:val="both"/>
        <w:rPr>
          <w:i/>
          <w:iCs/>
          <w:sz w:val="20"/>
          <w:szCs w:val="20"/>
        </w:rPr>
      </w:pPr>
      <w:r>
        <w:rPr>
          <w:i/>
          <w:iCs/>
          <w:sz w:val="20"/>
          <w:szCs w:val="20"/>
        </w:rPr>
        <w:t xml:space="preserve">(iii) Práticas coercitivas: </w:t>
      </w:r>
      <w:r>
        <w:rPr>
          <w:iCs/>
          <w:sz w:val="20"/>
          <w:szCs w:val="20"/>
        </w:rPr>
        <w:t>consistem em prejudicar ou causar danos ou ameaçar prejudicar ou causar danos, direta ou indiretamente, a qualquer parte ou a seus bens para influenciar as ações de uma parte.</w:t>
      </w:r>
    </w:p>
    <w:p w14:paraId="24A542ED">
      <w:pPr>
        <w:jc w:val="both"/>
        <w:rPr>
          <w:i/>
          <w:iCs/>
          <w:sz w:val="20"/>
          <w:szCs w:val="20"/>
        </w:rPr>
      </w:pPr>
      <w:r>
        <w:rPr>
          <w:i/>
          <w:iCs/>
          <w:sz w:val="20"/>
          <w:szCs w:val="20"/>
        </w:rPr>
        <w:t xml:space="preserve">(iv) Práticas colusivas: </w:t>
      </w:r>
      <w:r>
        <w:rPr>
          <w:iCs/>
          <w:sz w:val="20"/>
          <w:szCs w:val="20"/>
        </w:rPr>
        <w:t>são um acordo estabelecido entre duas ou mais partes com o intuito de atingir um objetivo inapropriado, incluindo influenciar de forma inapropriada as ações de outra parte.</w:t>
      </w:r>
    </w:p>
    <w:p w14:paraId="05E54682">
      <w:pPr>
        <w:jc w:val="both"/>
        <w:rPr>
          <w:i/>
          <w:iCs/>
          <w:sz w:val="20"/>
          <w:szCs w:val="20"/>
        </w:rPr>
      </w:pPr>
      <w:r>
        <w:rPr>
          <w:i/>
          <w:iCs/>
          <w:sz w:val="20"/>
          <w:szCs w:val="20"/>
        </w:rPr>
        <w:t>(v) Práticas obstrutivas</w:t>
      </w:r>
      <w:r>
        <w:rPr>
          <w:iCs/>
          <w:sz w:val="20"/>
          <w:szCs w:val="20"/>
        </w:rPr>
        <w:t>: consistem em: (i) destruir, falsificar, alterar ou ocultar deliberadamente evidência significativa para a investigação, ou fazer declarações falsas aos investigadores para impedir materialmente uma investigação sobre denúncias de uma prática corrupta, fraudulenta, coercitiva ou colusiva; e/ou ameaçar, assediar ou intimidar qualquer parte para impedir que divulgue seu conhecimento de assuntos que são importantes para a investigação ou para sua prossecução; ou (ii) todo ato voltado para impedir materialmente o exercício de inspeção do FONPLATA e dos direitos de auditoria.</w:t>
      </w:r>
    </w:p>
    <w:p w14:paraId="68B84659">
      <w:pPr>
        <w:jc w:val="both"/>
        <w:rPr>
          <w:iCs/>
          <w:sz w:val="20"/>
          <w:szCs w:val="20"/>
        </w:rPr>
      </w:pPr>
      <w:r>
        <w:rPr>
          <w:i/>
          <w:iCs/>
          <w:sz w:val="20"/>
          <w:szCs w:val="20"/>
        </w:rPr>
        <w:t>(vi) Crimes graves</w:t>
      </w:r>
      <w:r>
        <w:rPr>
          <w:iCs/>
          <w:sz w:val="20"/>
          <w:szCs w:val="20"/>
        </w:rPr>
        <w:t>: incluindo a lavagem de ativos e o financiamento do terrorismo.</w:t>
      </w:r>
    </w:p>
    <w:p w14:paraId="75C1B551">
      <w:pPr>
        <w:jc w:val="both"/>
        <w:rPr>
          <w:iCs/>
          <w:sz w:val="20"/>
          <w:szCs w:val="20"/>
        </w:rPr>
      </w:pPr>
    </w:p>
    <w:tbl>
      <w:tblPr>
        <w:tblStyle w:val="12"/>
        <w:tblW w:w="908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6870"/>
      </w:tblGrid>
      <w:tr w14:paraId="5DAD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217" w:type="dxa"/>
          </w:tcPr>
          <w:p w14:paraId="70084F4B">
            <w:pPr>
              <w:rPr>
                <w:bCs/>
                <w:iCs/>
                <w:sz w:val="20"/>
                <w:szCs w:val="20"/>
              </w:rPr>
            </w:pPr>
            <w:r>
              <w:rPr>
                <w:b/>
                <w:bCs/>
                <w:iCs/>
                <w:sz w:val="20"/>
                <w:szCs w:val="20"/>
              </w:rPr>
              <w:t>Data:</w:t>
            </w:r>
            <w:r>
              <w:rPr>
                <w:bCs/>
                <w:iCs/>
                <w:sz w:val="20"/>
                <w:szCs w:val="20"/>
              </w:rPr>
              <w:t xml:space="preserve"> [indicar]</w:t>
            </w:r>
          </w:p>
        </w:tc>
        <w:tc>
          <w:tcPr>
            <w:tcW w:w="6870" w:type="dxa"/>
          </w:tcPr>
          <w:p w14:paraId="4F43D9D0">
            <w:pPr>
              <w:jc w:val="both"/>
              <w:rPr>
                <w:bCs/>
                <w:iCs/>
                <w:sz w:val="20"/>
                <w:szCs w:val="20"/>
              </w:rPr>
            </w:pPr>
            <w:r>
              <w:rPr>
                <w:b/>
                <w:bCs/>
                <w:iCs/>
                <w:sz w:val="20"/>
                <w:szCs w:val="20"/>
              </w:rPr>
              <w:t>Assinatura (</w:t>
            </w:r>
            <w:r>
              <w:rPr>
                <w:bCs/>
                <w:iCs/>
                <w:sz w:val="20"/>
                <w:szCs w:val="20"/>
              </w:rPr>
              <w:t>Devidamente autorizado para assinar a proposta em nome do Concorrente)</w:t>
            </w:r>
            <w:r>
              <w:rPr>
                <w:b/>
                <w:bCs/>
                <w:iCs/>
                <w:sz w:val="20"/>
                <w:szCs w:val="20"/>
              </w:rPr>
              <w:t>:</w:t>
            </w:r>
            <w:r>
              <w:rPr>
                <w:bCs/>
                <w:iCs/>
                <w:sz w:val="20"/>
                <w:szCs w:val="20"/>
              </w:rPr>
              <w:t xml:space="preserve"> [assinar]</w:t>
            </w:r>
          </w:p>
        </w:tc>
      </w:tr>
      <w:tr w14:paraId="68A5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087" w:type="dxa"/>
            <w:gridSpan w:val="2"/>
          </w:tcPr>
          <w:p w14:paraId="655CFFB3">
            <w:pPr>
              <w:rPr>
                <w:bCs/>
                <w:iCs/>
                <w:sz w:val="20"/>
                <w:szCs w:val="20"/>
              </w:rPr>
            </w:pPr>
            <w:r>
              <w:rPr>
                <w:b/>
                <w:bCs/>
                <w:iCs/>
                <w:sz w:val="20"/>
                <w:szCs w:val="20"/>
              </w:rPr>
              <w:t>Nome e Cargo:</w:t>
            </w:r>
            <w:r>
              <w:rPr>
                <w:bCs/>
                <w:iCs/>
                <w:sz w:val="20"/>
                <w:szCs w:val="20"/>
              </w:rPr>
              <w:t xml:space="preserve"> [indicar]</w:t>
            </w:r>
          </w:p>
        </w:tc>
      </w:tr>
    </w:tbl>
    <w:p w14:paraId="5A040590">
      <w:pPr>
        <w:jc w:val="both"/>
        <w:rPr>
          <w:iCs/>
          <w:sz w:val="20"/>
          <w:szCs w:val="20"/>
        </w:rPr>
      </w:pPr>
    </w:p>
    <w:p w14:paraId="586B684B">
      <w:pPr>
        <w:rPr>
          <w:bCs/>
          <w:i/>
          <w:iCs/>
          <w:sz w:val="20"/>
          <w:szCs w:val="20"/>
        </w:rPr>
      </w:pPr>
      <w:r>
        <w:rPr>
          <w:bCs/>
          <w:i/>
          <w:iCs/>
          <w:sz w:val="20"/>
          <w:szCs w:val="20"/>
        </w:rPr>
        <w:br w:type="page"/>
      </w:r>
    </w:p>
    <w:p w14:paraId="7176E019">
      <w:pPr>
        <w:pStyle w:val="73"/>
      </w:pPr>
      <w:bookmarkStart w:id="254" w:name="_Toc88660844"/>
      <w:bookmarkStart w:id="255" w:name="_Toc113103935"/>
      <w:bookmarkStart w:id="256" w:name="_Toc138437013"/>
      <w:bookmarkStart w:id="257" w:name="_Toc99023979"/>
      <w:bookmarkStart w:id="258" w:name="_Toc401816085"/>
      <w:bookmarkStart w:id="259" w:name="_Toc168229969"/>
      <w:bookmarkStart w:id="260" w:name="_Toc153209002"/>
      <w:bookmarkStart w:id="261" w:name="_Toc174537340"/>
      <w:r>
        <w:t>MODELO 12 - DECLARAÇÃO SOBRE TRABALHO DE MENOR</w:t>
      </w:r>
      <w:bookmarkEnd w:id="254"/>
      <w:bookmarkEnd w:id="255"/>
      <w:bookmarkEnd w:id="256"/>
      <w:bookmarkEnd w:id="257"/>
      <w:bookmarkEnd w:id="258"/>
      <w:bookmarkEnd w:id="259"/>
      <w:bookmarkEnd w:id="260"/>
      <w:bookmarkEnd w:id="261"/>
    </w:p>
    <w:p w14:paraId="7967D83F">
      <w:pPr>
        <w:jc w:val="center"/>
        <w:rPr>
          <w:b/>
          <w:bCs/>
          <w:sz w:val="20"/>
          <w:szCs w:val="20"/>
        </w:rPr>
      </w:pPr>
      <w:r>
        <w:rPr>
          <w:b/>
          <w:bCs/>
          <w:sz w:val="20"/>
          <w:szCs w:val="20"/>
        </w:rPr>
        <w:t>DECLARAÇÃO DE OBSERVÂNCIA DAS VEDAÇÕES ESTABELECIDAS NO ARTIGO 7º, INCISO XXXIII DA CONSTITUIÇÃO FEDERAL</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039"/>
        <w:gridCol w:w="2241"/>
        <w:gridCol w:w="2579"/>
      </w:tblGrid>
      <w:tr w14:paraId="007D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0" w:hRule="atLeast"/>
        </w:trPr>
        <w:tc>
          <w:tcPr>
            <w:tcW w:w="8859" w:type="dxa"/>
            <w:gridSpan w:val="3"/>
            <w:vAlign w:val="center"/>
          </w:tcPr>
          <w:p w14:paraId="3D0470CD">
            <w:pPr>
              <w:rPr>
                <w:b/>
                <w:bCs/>
                <w:sz w:val="20"/>
                <w:szCs w:val="20"/>
              </w:rPr>
            </w:pPr>
            <w:r>
              <w:rPr>
                <w:b/>
                <w:bCs/>
                <w:sz w:val="20"/>
                <w:szCs w:val="20"/>
              </w:rPr>
              <w:t xml:space="preserve">Concorrente: </w:t>
            </w:r>
            <w:r>
              <w:rPr>
                <w:sz w:val="20"/>
                <w:szCs w:val="20"/>
              </w:rPr>
              <w:t>[indicar]</w:t>
            </w:r>
          </w:p>
        </w:tc>
      </w:tr>
      <w:tr w14:paraId="5C00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23" w:hRule="atLeast"/>
        </w:trPr>
        <w:tc>
          <w:tcPr>
            <w:tcW w:w="4039" w:type="dxa"/>
            <w:vAlign w:val="center"/>
          </w:tcPr>
          <w:p w14:paraId="557068B4">
            <w:pPr>
              <w:rPr>
                <w:b/>
                <w:bCs/>
                <w:sz w:val="20"/>
                <w:szCs w:val="20"/>
              </w:rPr>
            </w:pPr>
            <w:r>
              <w:rPr>
                <w:b/>
                <w:bCs/>
                <w:sz w:val="20"/>
                <w:szCs w:val="20"/>
              </w:rPr>
              <w:t xml:space="preserve">Concorrência Eletrônica– LPN: </w:t>
            </w:r>
            <w:r>
              <w:rPr>
                <w:sz w:val="20"/>
                <w:szCs w:val="20"/>
              </w:rPr>
              <w:t>[indicar]</w:t>
            </w:r>
          </w:p>
        </w:tc>
        <w:tc>
          <w:tcPr>
            <w:tcW w:w="2241" w:type="dxa"/>
            <w:vAlign w:val="center"/>
          </w:tcPr>
          <w:p w14:paraId="03035BCE">
            <w:pPr>
              <w:rPr>
                <w:b/>
                <w:bCs/>
                <w:sz w:val="20"/>
                <w:szCs w:val="20"/>
              </w:rPr>
            </w:pPr>
            <w:r>
              <w:rPr>
                <w:b/>
                <w:bCs/>
                <w:sz w:val="20"/>
                <w:szCs w:val="20"/>
              </w:rPr>
              <w:t xml:space="preserve">Lote Nº: </w:t>
            </w:r>
            <w:r>
              <w:rPr>
                <w:sz w:val="20"/>
                <w:szCs w:val="20"/>
              </w:rPr>
              <w:t>[indicar]</w:t>
            </w:r>
          </w:p>
        </w:tc>
        <w:tc>
          <w:tcPr>
            <w:tcW w:w="2579" w:type="dxa"/>
            <w:vAlign w:val="center"/>
          </w:tcPr>
          <w:p w14:paraId="78602CCA">
            <w:pPr>
              <w:rPr>
                <w:b/>
                <w:bCs/>
                <w:sz w:val="20"/>
                <w:szCs w:val="20"/>
              </w:rPr>
            </w:pPr>
            <w:r>
              <w:rPr>
                <w:b/>
                <w:bCs/>
                <w:sz w:val="20"/>
                <w:szCs w:val="20"/>
              </w:rPr>
              <w:t xml:space="preserve">Página: </w:t>
            </w:r>
            <w:r>
              <w:rPr>
                <w:sz w:val="20"/>
                <w:szCs w:val="20"/>
              </w:rPr>
              <w:t>[indicar]</w:t>
            </w:r>
            <w:r>
              <w:rPr>
                <w:b/>
                <w:bCs/>
                <w:sz w:val="20"/>
                <w:szCs w:val="20"/>
              </w:rPr>
              <w:t xml:space="preserve"> de </w:t>
            </w:r>
            <w:r>
              <w:rPr>
                <w:sz w:val="20"/>
                <w:szCs w:val="20"/>
              </w:rPr>
              <w:t>[indicar]</w:t>
            </w:r>
          </w:p>
        </w:tc>
      </w:tr>
      <w:tr w14:paraId="430F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23" w:hRule="atLeast"/>
        </w:trPr>
        <w:tc>
          <w:tcPr>
            <w:tcW w:w="8859" w:type="dxa"/>
            <w:gridSpan w:val="3"/>
            <w:vAlign w:val="center"/>
          </w:tcPr>
          <w:p w14:paraId="48CF1DDE">
            <w:pPr>
              <w:rPr>
                <w:b/>
                <w:bCs/>
                <w:sz w:val="20"/>
                <w:szCs w:val="20"/>
              </w:rPr>
            </w:pPr>
            <w:r>
              <w:rPr>
                <w:b/>
                <w:bCs/>
                <w:sz w:val="20"/>
                <w:szCs w:val="20"/>
              </w:rPr>
              <w:t xml:space="preserve">Obra: </w:t>
            </w:r>
            <w:r>
              <w:rPr>
                <w:sz w:val="20"/>
                <w:szCs w:val="20"/>
              </w:rPr>
              <w:t>[indicar]</w:t>
            </w:r>
          </w:p>
        </w:tc>
      </w:tr>
    </w:tbl>
    <w:p w14:paraId="02DBC075">
      <w:pPr>
        <w:rPr>
          <w:bCs/>
          <w:iCs/>
          <w:sz w:val="20"/>
          <w:szCs w:val="20"/>
        </w:rPr>
      </w:pPr>
    </w:p>
    <w:p w14:paraId="0C1BD6F9">
      <w:pPr>
        <w:rPr>
          <w:bCs/>
          <w:i/>
          <w:iCs/>
          <w:sz w:val="20"/>
          <w:szCs w:val="20"/>
        </w:rPr>
      </w:pPr>
      <w:r>
        <w:rPr>
          <w:bCs/>
          <w:iCs/>
          <w:sz w:val="20"/>
          <w:szCs w:val="20"/>
        </w:rPr>
        <w:t>[Local e data]</w:t>
      </w:r>
    </w:p>
    <w:p w14:paraId="04889AB7">
      <w:pPr>
        <w:rPr>
          <w:bCs/>
          <w:i/>
          <w:iCs/>
          <w:sz w:val="20"/>
          <w:szCs w:val="20"/>
        </w:rPr>
      </w:pPr>
      <w:r>
        <w:rPr>
          <w:bCs/>
          <w:iCs/>
          <w:sz w:val="20"/>
          <w:szCs w:val="20"/>
        </w:rPr>
        <w:t>Ao [Indicar o Contratante]</w:t>
      </w:r>
    </w:p>
    <w:p w14:paraId="785B2B02">
      <w:pPr>
        <w:jc w:val="both"/>
        <w:rPr>
          <w:bCs/>
          <w:i/>
          <w:iCs/>
          <w:sz w:val="20"/>
          <w:szCs w:val="20"/>
        </w:rPr>
      </w:pPr>
      <w:r>
        <w:rPr>
          <w:bCs/>
          <w:iCs/>
          <w:sz w:val="20"/>
          <w:szCs w:val="20"/>
        </w:rPr>
        <w:t>Eu (Nós) [inserir nome completo], representante(s) legal(is) da empresa [nome do Concorrente], interessado em participar da licitação em referência, declaro(amos), sob as penas da lei, que, nos termos do Inciso V do Artigo 27 da Lei n° 8666/93,na sua nova redação conferida pela Lei n° 9854/99a [Inserir nome do Concorrente] encontra-se em situação regular perante o Ministério do Trabalho, no que se refere à observância do disposto no inciso XXXIII do Artigo 7º da Constituição Federal de 1988, que não possui em seu quadro de pessoal empregado(s) menor (es) de 18 (dezoito) anos em trabalho noturno, perigoso ou insalubre e de 16 (dezesseis) anos em qualquer trabalho, salvo na condição de aprendiz, a partir dos 14 (quatorze) anos.</w:t>
      </w:r>
    </w:p>
    <w:p w14:paraId="5EE1A790">
      <w:pPr>
        <w:rPr>
          <w:bCs/>
          <w:iCs/>
          <w:sz w:val="20"/>
          <w:szCs w:val="20"/>
        </w:rPr>
      </w:pPr>
    </w:p>
    <w:tbl>
      <w:tblPr>
        <w:tblStyle w:val="12"/>
        <w:tblW w:w="908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6870"/>
      </w:tblGrid>
      <w:tr w14:paraId="11F6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1" w:hRule="atLeast"/>
        </w:trPr>
        <w:tc>
          <w:tcPr>
            <w:tcW w:w="2217" w:type="dxa"/>
          </w:tcPr>
          <w:p w14:paraId="02ABDD22">
            <w:pPr>
              <w:rPr>
                <w:bCs/>
                <w:iCs/>
                <w:sz w:val="20"/>
                <w:szCs w:val="20"/>
              </w:rPr>
            </w:pPr>
            <w:r>
              <w:rPr>
                <w:b/>
                <w:bCs/>
                <w:iCs/>
                <w:sz w:val="20"/>
                <w:szCs w:val="20"/>
              </w:rPr>
              <w:t>Data:</w:t>
            </w:r>
            <w:r>
              <w:rPr>
                <w:bCs/>
                <w:iCs/>
                <w:sz w:val="20"/>
                <w:szCs w:val="20"/>
              </w:rPr>
              <w:t xml:space="preserve"> [indicar]</w:t>
            </w:r>
          </w:p>
        </w:tc>
        <w:tc>
          <w:tcPr>
            <w:tcW w:w="6870" w:type="dxa"/>
          </w:tcPr>
          <w:p w14:paraId="79951DCF">
            <w:pPr>
              <w:jc w:val="both"/>
              <w:rPr>
                <w:bCs/>
                <w:iCs/>
                <w:sz w:val="20"/>
                <w:szCs w:val="20"/>
              </w:rPr>
            </w:pPr>
            <w:r>
              <w:rPr>
                <w:b/>
                <w:bCs/>
                <w:iCs/>
                <w:sz w:val="20"/>
                <w:szCs w:val="20"/>
              </w:rPr>
              <w:t>Assinatura (</w:t>
            </w:r>
            <w:r>
              <w:rPr>
                <w:bCs/>
                <w:iCs/>
                <w:sz w:val="20"/>
                <w:szCs w:val="20"/>
              </w:rPr>
              <w:t>Devidamente autorizado para assinar a proposta em nome do Concorrente)</w:t>
            </w:r>
            <w:r>
              <w:rPr>
                <w:b/>
                <w:bCs/>
                <w:iCs/>
                <w:sz w:val="20"/>
                <w:szCs w:val="20"/>
              </w:rPr>
              <w:t>:</w:t>
            </w:r>
            <w:r>
              <w:rPr>
                <w:bCs/>
                <w:iCs/>
                <w:sz w:val="20"/>
                <w:szCs w:val="20"/>
              </w:rPr>
              <w:t xml:space="preserve"> [assinar]</w:t>
            </w:r>
          </w:p>
        </w:tc>
      </w:tr>
      <w:tr w14:paraId="1B90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087" w:type="dxa"/>
            <w:gridSpan w:val="2"/>
          </w:tcPr>
          <w:p w14:paraId="7D24ECAB">
            <w:pPr>
              <w:rPr>
                <w:bCs/>
                <w:iCs/>
                <w:sz w:val="20"/>
                <w:szCs w:val="20"/>
              </w:rPr>
            </w:pPr>
            <w:r>
              <w:rPr>
                <w:b/>
                <w:bCs/>
                <w:iCs/>
                <w:sz w:val="20"/>
                <w:szCs w:val="20"/>
              </w:rPr>
              <w:t>Nome e Cargo:</w:t>
            </w:r>
            <w:r>
              <w:rPr>
                <w:bCs/>
                <w:iCs/>
                <w:sz w:val="20"/>
                <w:szCs w:val="20"/>
              </w:rPr>
              <w:t xml:space="preserve"> [indicar]</w:t>
            </w:r>
          </w:p>
        </w:tc>
      </w:tr>
    </w:tbl>
    <w:p w14:paraId="5725D647">
      <w:pPr>
        <w:rPr>
          <w:bCs/>
          <w:iCs/>
          <w:sz w:val="20"/>
          <w:szCs w:val="20"/>
        </w:rPr>
      </w:pPr>
      <w:r>
        <w:rPr>
          <w:bCs/>
          <w:iCs/>
          <w:sz w:val="20"/>
          <w:szCs w:val="20"/>
        </w:rPr>
        <w:br w:type="page"/>
      </w:r>
    </w:p>
    <w:p w14:paraId="0B22807E">
      <w:pPr>
        <w:pStyle w:val="73"/>
      </w:pPr>
      <w:bookmarkStart w:id="262" w:name="_Toc174537341"/>
      <w:bookmarkStart w:id="263" w:name="_Toc140319279"/>
      <w:bookmarkStart w:id="264" w:name="_Toc69712490"/>
      <w:bookmarkStart w:id="265" w:name="_Toc168229970"/>
      <w:bookmarkStart w:id="266" w:name="_Toc157091782"/>
      <w:bookmarkStart w:id="267" w:name="_Toc69714581"/>
      <w:bookmarkStart w:id="268" w:name="_Toc143677851"/>
      <w:r>
        <w:t>MODELO 13 - DECLARAÇÃO DE BENEFICIÁRIO EFETIVO OU FINAL</w:t>
      </w:r>
      <w:bookmarkEnd w:id="262"/>
      <w:bookmarkEnd w:id="263"/>
      <w:bookmarkEnd w:id="264"/>
      <w:bookmarkEnd w:id="265"/>
      <w:bookmarkEnd w:id="266"/>
      <w:bookmarkEnd w:id="267"/>
      <w:bookmarkEnd w:id="268"/>
    </w:p>
    <w:p w14:paraId="70B49156">
      <w:pPr>
        <w:jc w:val="both"/>
        <w:rPr>
          <w:bCs/>
          <w:iCs/>
          <w:sz w:val="20"/>
          <w:szCs w:val="20"/>
        </w:rPr>
      </w:pPr>
      <w:r>
        <w:rPr>
          <w:bCs/>
          <w:iCs/>
          <w:sz w:val="20"/>
          <w:szCs w:val="20"/>
        </w:rPr>
        <w:t>Local e data: [indicar]</w:t>
      </w:r>
    </w:p>
    <w:p w14:paraId="356DCEC0">
      <w:pPr>
        <w:jc w:val="both"/>
        <w:rPr>
          <w:bCs/>
          <w:iCs/>
          <w:sz w:val="20"/>
          <w:szCs w:val="20"/>
        </w:rPr>
      </w:pPr>
      <w:r>
        <w:rPr>
          <w:bCs/>
          <w:iCs/>
          <w:sz w:val="20"/>
          <w:szCs w:val="20"/>
        </w:rPr>
        <w:t xml:space="preserve">Nome e cargo dos principais contatos: </w:t>
      </w:r>
    </w:p>
    <w:p w14:paraId="46F9A841">
      <w:pPr>
        <w:jc w:val="both"/>
        <w:rPr>
          <w:bCs/>
          <w:iCs/>
          <w:sz w:val="20"/>
          <w:szCs w:val="20"/>
        </w:rPr>
      </w:pPr>
      <w:r>
        <w:rPr>
          <w:bCs/>
          <w:iCs/>
          <w:sz w:val="20"/>
          <w:szCs w:val="20"/>
        </w:rPr>
        <w:t>Nome: [indicar]</w:t>
      </w:r>
    </w:p>
    <w:p w14:paraId="6FEBCD17">
      <w:pPr>
        <w:jc w:val="both"/>
        <w:rPr>
          <w:bCs/>
          <w:iCs/>
          <w:sz w:val="20"/>
          <w:szCs w:val="20"/>
        </w:rPr>
      </w:pPr>
      <w:r>
        <w:rPr>
          <w:bCs/>
          <w:iCs/>
          <w:sz w:val="20"/>
          <w:szCs w:val="20"/>
        </w:rPr>
        <w:t>Cargo: [indicar]</w:t>
      </w:r>
    </w:p>
    <w:p w14:paraId="32FD5858">
      <w:pPr>
        <w:jc w:val="both"/>
        <w:rPr>
          <w:bCs/>
          <w:iCs/>
          <w:sz w:val="20"/>
          <w:szCs w:val="20"/>
        </w:rPr>
      </w:pPr>
      <w:r>
        <w:rPr>
          <w:bCs/>
          <w:iCs/>
          <w:sz w:val="20"/>
          <w:szCs w:val="20"/>
        </w:rPr>
        <w:t>Nome Comercial e endereço da empresa: [indicar]</w:t>
      </w:r>
    </w:p>
    <w:p w14:paraId="2A09C0EC">
      <w:pPr>
        <w:jc w:val="both"/>
        <w:rPr>
          <w:bCs/>
          <w:iCs/>
          <w:sz w:val="20"/>
          <w:szCs w:val="20"/>
        </w:rPr>
      </w:pPr>
      <w:r>
        <w:rPr>
          <w:bCs/>
          <w:iCs/>
          <w:sz w:val="20"/>
          <w:szCs w:val="20"/>
        </w:rPr>
        <w:t>Endereço: [indicar]</w:t>
      </w:r>
    </w:p>
    <w:p w14:paraId="092896B5">
      <w:pPr>
        <w:jc w:val="both"/>
        <w:rPr>
          <w:bCs/>
          <w:iCs/>
          <w:sz w:val="20"/>
          <w:szCs w:val="20"/>
        </w:rPr>
      </w:pPr>
      <w:r>
        <w:rPr>
          <w:bCs/>
          <w:iCs/>
          <w:sz w:val="20"/>
          <w:szCs w:val="20"/>
        </w:rPr>
        <w:t>De acordo com o Grupo de Ação Financeira Internacional (GAFI), o beneficiário efetivo ou final é definido da seguinte forma:</w:t>
      </w:r>
    </w:p>
    <w:p w14:paraId="638A41BA">
      <w:pPr>
        <w:jc w:val="both"/>
        <w:rPr>
          <w:bCs/>
          <w:iCs/>
          <w:sz w:val="20"/>
          <w:szCs w:val="20"/>
        </w:rPr>
      </w:pPr>
      <w:r>
        <w:rPr>
          <w:bCs/>
          <w:iCs/>
          <w:sz w:val="20"/>
          <w:szCs w:val="20"/>
        </w:rPr>
        <w:t>“Beneficiário efetivo é a pessoa natural que, em última instância, possui ou controla um cliente e/ou a pessoa natural sob cujo nome é realizada uma transação.  Inclui, ainda, as pessoas que exercem o controle efetivo final sobre uma pessoa jurídica.</w:t>
      </w:r>
    </w:p>
    <w:p w14:paraId="12D151B7">
      <w:pPr>
        <w:jc w:val="both"/>
        <w:rPr>
          <w:bCs/>
          <w:iCs/>
          <w:sz w:val="20"/>
          <w:szCs w:val="20"/>
        </w:rPr>
      </w:pPr>
      <w:r>
        <w:rPr>
          <w:bCs/>
          <w:iCs/>
          <w:sz w:val="20"/>
          <w:szCs w:val="20"/>
        </w:rPr>
        <w:t>A referência a "em última instância, possui ou controla" e "o controle efetivo final" referem-se as situações nas quais a propriedade/controle é exercida (o) por meio de uma cadeia de propriedade ou por qualquer outro meio que não seja o controle direto.”</w:t>
      </w:r>
    </w:p>
    <w:p w14:paraId="1A3B2FF1">
      <w:pPr>
        <w:jc w:val="both"/>
        <w:rPr>
          <w:bCs/>
          <w:iCs/>
          <w:sz w:val="20"/>
          <w:szCs w:val="20"/>
        </w:rPr>
      </w:pPr>
      <w:r>
        <w:rPr>
          <w:bCs/>
          <w:iCs/>
          <w:sz w:val="20"/>
          <w:szCs w:val="20"/>
        </w:rPr>
        <w:t>Com base nessa definição, os beneficiários efetivos da empresa referida nesta declaração são:</w:t>
      </w:r>
    </w:p>
    <w:tbl>
      <w:tblPr>
        <w:tblStyle w:val="1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11"/>
        <w:gridCol w:w="1701"/>
        <w:gridCol w:w="2268"/>
        <w:gridCol w:w="1865"/>
        <w:gridCol w:w="1527"/>
      </w:tblGrid>
      <w:tr w14:paraId="649EB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0" w:hRule="atLeast"/>
          <w:jc w:val="center"/>
        </w:trPr>
        <w:tc>
          <w:tcPr>
            <w:tcW w:w="1711" w:type="dxa"/>
            <w:shd w:val="clear" w:color="auto" w:fill="auto"/>
            <w:vAlign w:val="center"/>
          </w:tcPr>
          <w:p w14:paraId="66E55DDB">
            <w:pPr>
              <w:jc w:val="center"/>
              <w:rPr>
                <w:b/>
                <w:iCs/>
                <w:sz w:val="20"/>
                <w:szCs w:val="20"/>
              </w:rPr>
            </w:pPr>
            <w:r>
              <w:rPr>
                <w:b/>
                <w:iCs/>
                <w:sz w:val="20"/>
                <w:szCs w:val="20"/>
              </w:rPr>
              <w:t>Nome Beneficiário Efetivo</w:t>
            </w:r>
          </w:p>
        </w:tc>
        <w:tc>
          <w:tcPr>
            <w:tcW w:w="1701" w:type="dxa"/>
            <w:shd w:val="clear" w:color="auto" w:fill="auto"/>
            <w:vAlign w:val="center"/>
          </w:tcPr>
          <w:p w14:paraId="3E610EB1">
            <w:pPr>
              <w:jc w:val="center"/>
              <w:rPr>
                <w:b/>
                <w:iCs/>
                <w:sz w:val="20"/>
                <w:szCs w:val="20"/>
              </w:rPr>
            </w:pPr>
            <w:r>
              <w:rPr>
                <w:b/>
                <w:iCs/>
                <w:sz w:val="20"/>
                <w:szCs w:val="20"/>
              </w:rPr>
              <w:t>Data de Nascimento</w:t>
            </w:r>
          </w:p>
        </w:tc>
        <w:tc>
          <w:tcPr>
            <w:tcW w:w="2268" w:type="dxa"/>
            <w:shd w:val="clear" w:color="auto" w:fill="auto"/>
            <w:vAlign w:val="center"/>
          </w:tcPr>
          <w:p w14:paraId="3FC40D28">
            <w:pPr>
              <w:jc w:val="center"/>
              <w:rPr>
                <w:b/>
                <w:iCs/>
                <w:sz w:val="20"/>
                <w:szCs w:val="20"/>
              </w:rPr>
            </w:pPr>
            <w:r>
              <w:rPr>
                <w:b/>
                <w:iCs/>
                <w:sz w:val="20"/>
                <w:szCs w:val="20"/>
              </w:rPr>
              <w:t>Endereço</w:t>
            </w:r>
          </w:p>
        </w:tc>
        <w:tc>
          <w:tcPr>
            <w:tcW w:w="1865" w:type="dxa"/>
            <w:shd w:val="clear" w:color="auto" w:fill="auto"/>
            <w:vAlign w:val="center"/>
          </w:tcPr>
          <w:p w14:paraId="32EA1F1F">
            <w:pPr>
              <w:jc w:val="center"/>
              <w:rPr>
                <w:b/>
                <w:iCs/>
                <w:sz w:val="20"/>
                <w:szCs w:val="20"/>
              </w:rPr>
            </w:pPr>
            <w:r>
              <w:rPr>
                <w:b/>
                <w:iCs/>
                <w:sz w:val="20"/>
                <w:szCs w:val="20"/>
              </w:rPr>
              <w:t>Número de documento de Identidade</w:t>
            </w:r>
          </w:p>
        </w:tc>
        <w:tc>
          <w:tcPr>
            <w:tcW w:w="1527" w:type="dxa"/>
            <w:vAlign w:val="center"/>
          </w:tcPr>
          <w:p w14:paraId="4D5FA416">
            <w:pPr>
              <w:jc w:val="center"/>
              <w:rPr>
                <w:b/>
                <w:iCs/>
                <w:sz w:val="20"/>
                <w:szCs w:val="20"/>
              </w:rPr>
            </w:pPr>
            <w:r>
              <w:rPr>
                <w:b/>
                <w:iCs/>
                <w:sz w:val="20"/>
                <w:szCs w:val="20"/>
              </w:rPr>
              <w:t>Nacionalidade</w:t>
            </w:r>
          </w:p>
        </w:tc>
      </w:tr>
      <w:tr w14:paraId="1E11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1711" w:type="dxa"/>
            <w:shd w:val="clear" w:color="auto" w:fill="auto"/>
            <w:vAlign w:val="center"/>
          </w:tcPr>
          <w:p w14:paraId="400707F4">
            <w:pPr>
              <w:rPr>
                <w:bCs/>
                <w:iCs/>
                <w:sz w:val="20"/>
                <w:szCs w:val="20"/>
              </w:rPr>
            </w:pPr>
          </w:p>
        </w:tc>
        <w:tc>
          <w:tcPr>
            <w:tcW w:w="1701" w:type="dxa"/>
            <w:shd w:val="clear" w:color="auto" w:fill="auto"/>
            <w:vAlign w:val="center"/>
          </w:tcPr>
          <w:p w14:paraId="7E9D5039">
            <w:pPr>
              <w:rPr>
                <w:bCs/>
                <w:iCs/>
                <w:sz w:val="20"/>
                <w:szCs w:val="20"/>
              </w:rPr>
            </w:pPr>
          </w:p>
        </w:tc>
        <w:tc>
          <w:tcPr>
            <w:tcW w:w="2268" w:type="dxa"/>
            <w:shd w:val="clear" w:color="auto" w:fill="auto"/>
            <w:vAlign w:val="center"/>
          </w:tcPr>
          <w:p w14:paraId="007B20EB">
            <w:pPr>
              <w:rPr>
                <w:bCs/>
                <w:iCs/>
                <w:sz w:val="20"/>
                <w:szCs w:val="20"/>
              </w:rPr>
            </w:pPr>
          </w:p>
        </w:tc>
        <w:tc>
          <w:tcPr>
            <w:tcW w:w="1865" w:type="dxa"/>
            <w:shd w:val="clear" w:color="auto" w:fill="auto"/>
            <w:vAlign w:val="center"/>
          </w:tcPr>
          <w:p w14:paraId="0DEB0653">
            <w:pPr>
              <w:rPr>
                <w:bCs/>
                <w:iCs/>
                <w:sz w:val="20"/>
                <w:szCs w:val="20"/>
              </w:rPr>
            </w:pPr>
          </w:p>
        </w:tc>
        <w:tc>
          <w:tcPr>
            <w:tcW w:w="1527" w:type="dxa"/>
            <w:vAlign w:val="center"/>
          </w:tcPr>
          <w:p w14:paraId="1F80A868">
            <w:pPr>
              <w:rPr>
                <w:bCs/>
                <w:iCs/>
                <w:sz w:val="20"/>
                <w:szCs w:val="20"/>
              </w:rPr>
            </w:pPr>
          </w:p>
        </w:tc>
      </w:tr>
      <w:tr w14:paraId="0496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 w:hRule="atLeast"/>
          <w:jc w:val="center"/>
        </w:trPr>
        <w:tc>
          <w:tcPr>
            <w:tcW w:w="1711" w:type="dxa"/>
            <w:shd w:val="clear" w:color="auto" w:fill="auto"/>
            <w:vAlign w:val="center"/>
          </w:tcPr>
          <w:p w14:paraId="59AFDE03">
            <w:pPr>
              <w:rPr>
                <w:bCs/>
                <w:iCs/>
                <w:sz w:val="20"/>
                <w:szCs w:val="20"/>
              </w:rPr>
            </w:pPr>
          </w:p>
        </w:tc>
        <w:tc>
          <w:tcPr>
            <w:tcW w:w="1701" w:type="dxa"/>
            <w:shd w:val="clear" w:color="auto" w:fill="auto"/>
            <w:vAlign w:val="center"/>
          </w:tcPr>
          <w:p w14:paraId="702F0EC3">
            <w:pPr>
              <w:rPr>
                <w:bCs/>
                <w:iCs/>
                <w:sz w:val="20"/>
                <w:szCs w:val="20"/>
              </w:rPr>
            </w:pPr>
          </w:p>
        </w:tc>
        <w:tc>
          <w:tcPr>
            <w:tcW w:w="2268" w:type="dxa"/>
            <w:shd w:val="clear" w:color="auto" w:fill="auto"/>
            <w:vAlign w:val="center"/>
          </w:tcPr>
          <w:p w14:paraId="2069B1D1">
            <w:pPr>
              <w:rPr>
                <w:bCs/>
                <w:iCs/>
                <w:sz w:val="20"/>
                <w:szCs w:val="20"/>
              </w:rPr>
            </w:pPr>
          </w:p>
        </w:tc>
        <w:tc>
          <w:tcPr>
            <w:tcW w:w="1865" w:type="dxa"/>
            <w:shd w:val="clear" w:color="auto" w:fill="auto"/>
            <w:vAlign w:val="center"/>
          </w:tcPr>
          <w:p w14:paraId="2DE5457A">
            <w:pPr>
              <w:rPr>
                <w:bCs/>
                <w:iCs/>
                <w:sz w:val="20"/>
                <w:szCs w:val="20"/>
              </w:rPr>
            </w:pPr>
          </w:p>
        </w:tc>
        <w:tc>
          <w:tcPr>
            <w:tcW w:w="1527" w:type="dxa"/>
            <w:vAlign w:val="center"/>
          </w:tcPr>
          <w:p w14:paraId="601A4EFD">
            <w:pPr>
              <w:rPr>
                <w:bCs/>
                <w:iCs/>
                <w:sz w:val="20"/>
                <w:szCs w:val="20"/>
              </w:rPr>
            </w:pPr>
          </w:p>
        </w:tc>
      </w:tr>
    </w:tbl>
    <w:p w14:paraId="12B12656">
      <w:pPr>
        <w:rPr>
          <w:bCs/>
          <w:iCs/>
          <w:sz w:val="20"/>
          <w:szCs w:val="20"/>
        </w:rPr>
      </w:pPr>
    </w:p>
    <w:p w14:paraId="5CB5465C">
      <w:pPr>
        <w:rPr>
          <w:bCs/>
          <w:iCs/>
          <w:sz w:val="20"/>
          <w:szCs w:val="20"/>
        </w:rPr>
      </w:pPr>
    </w:p>
    <w:tbl>
      <w:tblPr>
        <w:tblStyle w:val="12"/>
        <w:tblW w:w="9062" w:type="dxa"/>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132"/>
        <w:gridCol w:w="6930"/>
      </w:tblGrid>
      <w:tr w14:paraId="792A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2" w:type="dxa"/>
          </w:tcPr>
          <w:p w14:paraId="3CDF292E">
            <w:pPr>
              <w:rPr>
                <w:bCs/>
                <w:iCs/>
                <w:sz w:val="20"/>
                <w:szCs w:val="20"/>
              </w:rPr>
            </w:pPr>
            <w:r>
              <w:rPr>
                <w:b/>
                <w:bCs/>
                <w:iCs/>
                <w:sz w:val="20"/>
                <w:szCs w:val="20"/>
              </w:rPr>
              <w:t>Data:</w:t>
            </w:r>
            <w:r>
              <w:rPr>
                <w:bCs/>
                <w:iCs/>
                <w:sz w:val="20"/>
                <w:szCs w:val="20"/>
              </w:rPr>
              <w:t xml:space="preserve"> [indicar]</w:t>
            </w:r>
          </w:p>
        </w:tc>
        <w:tc>
          <w:tcPr>
            <w:tcW w:w="6930" w:type="dxa"/>
          </w:tcPr>
          <w:p w14:paraId="690C2383">
            <w:pPr>
              <w:rPr>
                <w:bCs/>
                <w:iCs/>
                <w:sz w:val="20"/>
                <w:szCs w:val="20"/>
              </w:rPr>
            </w:pPr>
            <w:r>
              <w:rPr>
                <w:b/>
                <w:bCs/>
                <w:iCs/>
                <w:sz w:val="20"/>
                <w:szCs w:val="20"/>
              </w:rPr>
              <w:t>Assinatura:</w:t>
            </w:r>
            <w:r>
              <w:rPr>
                <w:bCs/>
                <w:iCs/>
                <w:sz w:val="20"/>
                <w:szCs w:val="20"/>
              </w:rPr>
              <w:t xml:space="preserve"> [assinar]</w:t>
            </w:r>
          </w:p>
        </w:tc>
      </w:tr>
      <w:tr w14:paraId="0BE8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062" w:type="dxa"/>
            <w:gridSpan w:val="2"/>
          </w:tcPr>
          <w:p w14:paraId="5D6EF409">
            <w:pPr>
              <w:rPr>
                <w:bCs/>
                <w:iCs/>
                <w:sz w:val="20"/>
                <w:szCs w:val="20"/>
              </w:rPr>
            </w:pPr>
            <w:r>
              <w:rPr>
                <w:b/>
                <w:bCs/>
                <w:iCs/>
                <w:sz w:val="20"/>
                <w:szCs w:val="20"/>
              </w:rPr>
              <w:t>Nome e Cargo:</w:t>
            </w:r>
            <w:r>
              <w:rPr>
                <w:bCs/>
                <w:iCs/>
                <w:sz w:val="20"/>
                <w:szCs w:val="20"/>
              </w:rPr>
              <w:t xml:space="preserve"> [indicar]</w:t>
            </w:r>
          </w:p>
        </w:tc>
      </w:tr>
    </w:tbl>
    <w:p w14:paraId="2B4AC307">
      <w:pPr>
        <w:rPr>
          <w:bCs/>
          <w:iCs/>
          <w:sz w:val="20"/>
          <w:szCs w:val="20"/>
        </w:rPr>
      </w:pPr>
    </w:p>
    <w:p w14:paraId="0F683A52">
      <w:pPr>
        <w:pStyle w:val="73"/>
        <w:rPr>
          <w:bCs w:val="0"/>
          <w:iCs/>
        </w:rPr>
      </w:pPr>
      <w:r>
        <w:rPr>
          <w:iCs/>
        </w:rPr>
        <w:br w:type="page"/>
      </w:r>
    </w:p>
    <w:p w14:paraId="1DFC34BB">
      <w:pPr>
        <w:pStyle w:val="73"/>
        <w:rPr>
          <w:color w:val="auto"/>
        </w:rPr>
      </w:pPr>
      <w:bookmarkStart w:id="269" w:name="_Toc174537343"/>
      <w:r>
        <w:rPr>
          <w:color w:val="auto"/>
        </w:rPr>
        <w:t>MODELO 15 - QUADRO RESUMO DE PREÇOS</w:t>
      </w:r>
      <w:bookmarkEnd w:id="269"/>
    </w:p>
    <w:p w14:paraId="5962D8E1">
      <w:pPr>
        <w:rPr>
          <w:i/>
          <w:iCs/>
          <w:color w:val="auto"/>
        </w:rPr>
      </w:pPr>
      <w:r>
        <w:rPr>
          <w:bCs/>
          <w:i/>
          <w:iCs/>
          <w:color w:val="auto"/>
          <w:sz w:val="20"/>
          <w:szCs w:val="20"/>
          <w:highlight w:val="yellow"/>
        </w:rPr>
        <w:t>[deverá ser utilizado o modelo de planilha fornecida por meio eletrônico pelo Contratante]</w:t>
      </w:r>
    </w:p>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197"/>
        <w:gridCol w:w="907"/>
        <w:gridCol w:w="935"/>
        <w:gridCol w:w="1343"/>
        <w:gridCol w:w="898"/>
        <w:gridCol w:w="2787"/>
      </w:tblGrid>
      <w:tr w14:paraId="02DA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51" w:hRule="atLeast"/>
        </w:trPr>
        <w:tc>
          <w:tcPr>
            <w:tcW w:w="9067" w:type="dxa"/>
            <w:gridSpan w:val="6"/>
          </w:tcPr>
          <w:p w14:paraId="5469B1A9">
            <w:pPr>
              <w:rPr>
                <w:bCs/>
                <w:iCs/>
                <w:color w:val="auto"/>
                <w:sz w:val="20"/>
                <w:szCs w:val="20"/>
              </w:rPr>
            </w:pPr>
            <w:r>
              <w:rPr>
                <w:b/>
                <w:bCs/>
                <w:iCs/>
                <w:color w:val="auto"/>
                <w:sz w:val="20"/>
                <w:szCs w:val="20"/>
              </w:rPr>
              <w:t>Concorrente:</w:t>
            </w:r>
            <w:r>
              <w:rPr>
                <w:bCs/>
                <w:iCs/>
                <w:color w:val="auto"/>
                <w:sz w:val="20"/>
                <w:szCs w:val="20"/>
              </w:rPr>
              <w:t xml:space="preserve"> [indicar]</w:t>
            </w:r>
          </w:p>
        </w:tc>
      </w:tr>
      <w:tr w14:paraId="1806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4039" w:type="dxa"/>
            <w:gridSpan w:val="3"/>
          </w:tcPr>
          <w:p w14:paraId="15403918">
            <w:pPr>
              <w:rPr>
                <w:bCs/>
                <w:iCs/>
                <w:color w:val="auto"/>
                <w:sz w:val="20"/>
                <w:szCs w:val="20"/>
              </w:rPr>
            </w:pPr>
            <w:r>
              <w:rPr>
                <w:b/>
                <w:bCs/>
                <w:iCs/>
                <w:color w:val="auto"/>
                <w:sz w:val="20"/>
                <w:szCs w:val="20"/>
              </w:rPr>
              <w:t xml:space="preserve">Concorrência Eletrônica– LPN Nº: </w:t>
            </w:r>
            <w:r>
              <w:rPr>
                <w:iCs/>
                <w:color w:val="auto"/>
                <w:sz w:val="20"/>
                <w:szCs w:val="20"/>
              </w:rPr>
              <w:t>[indicar]</w:t>
            </w:r>
          </w:p>
        </w:tc>
        <w:tc>
          <w:tcPr>
            <w:tcW w:w="2241" w:type="dxa"/>
            <w:gridSpan w:val="2"/>
          </w:tcPr>
          <w:p w14:paraId="10E79A78">
            <w:pPr>
              <w:rPr>
                <w:bCs/>
                <w:iCs/>
                <w:color w:val="auto"/>
                <w:sz w:val="20"/>
                <w:szCs w:val="20"/>
              </w:rPr>
            </w:pPr>
            <w:r>
              <w:rPr>
                <w:b/>
                <w:bCs/>
                <w:iCs/>
                <w:color w:val="auto"/>
                <w:sz w:val="20"/>
                <w:szCs w:val="20"/>
              </w:rPr>
              <w:t>Lote Nº:</w:t>
            </w:r>
            <w:r>
              <w:rPr>
                <w:bCs/>
                <w:iCs/>
                <w:color w:val="auto"/>
                <w:sz w:val="20"/>
                <w:szCs w:val="20"/>
              </w:rPr>
              <w:t xml:space="preserve"> [indicar]</w:t>
            </w:r>
          </w:p>
        </w:tc>
        <w:tc>
          <w:tcPr>
            <w:tcW w:w="2787" w:type="dxa"/>
          </w:tcPr>
          <w:p w14:paraId="2D6198A3">
            <w:pPr>
              <w:rPr>
                <w:bCs/>
                <w:iCs/>
                <w:color w:val="auto"/>
                <w:sz w:val="20"/>
                <w:szCs w:val="20"/>
              </w:rPr>
            </w:pPr>
            <w:r>
              <w:rPr>
                <w:b/>
                <w:bCs/>
                <w:iCs/>
                <w:color w:val="auto"/>
                <w:sz w:val="20"/>
                <w:szCs w:val="20"/>
              </w:rPr>
              <w:t>Página:</w:t>
            </w:r>
            <w:r>
              <w:rPr>
                <w:bCs/>
                <w:iCs/>
                <w:color w:val="auto"/>
                <w:sz w:val="20"/>
                <w:szCs w:val="20"/>
              </w:rPr>
              <w:t xml:space="preserve"> [indicar] de [indicar]</w:t>
            </w:r>
          </w:p>
        </w:tc>
      </w:tr>
      <w:tr w14:paraId="7B5F4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9067" w:type="dxa"/>
            <w:gridSpan w:val="6"/>
          </w:tcPr>
          <w:p w14:paraId="423B26E5">
            <w:pPr>
              <w:rPr>
                <w:bCs/>
                <w:iCs/>
                <w:color w:val="auto"/>
                <w:sz w:val="20"/>
                <w:szCs w:val="20"/>
              </w:rPr>
            </w:pPr>
            <w:r>
              <w:rPr>
                <w:b/>
                <w:bCs/>
                <w:iCs/>
                <w:color w:val="auto"/>
                <w:sz w:val="20"/>
                <w:szCs w:val="20"/>
              </w:rPr>
              <w:t>Obra:</w:t>
            </w:r>
            <w:r>
              <w:rPr>
                <w:bCs/>
                <w:iCs/>
                <w:color w:val="auto"/>
                <w:sz w:val="20"/>
                <w:szCs w:val="20"/>
              </w:rPr>
              <w:t xml:space="preserve"> [indicar as Obra]</w:t>
            </w:r>
          </w:p>
        </w:tc>
      </w:tr>
      <w:tr w14:paraId="03E2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0" w:hRule="atLeast"/>
        </w:trPr>
        <w:tc>
          <w:tcPr>
            <w:tcW w:w="3104" w:type="dxa"/>
            <w:gridSpan w:val="2"/>
            <w:vMerge w:val="restart"/>
            <w:vAlign w:val="center"/>
          </w:tcPr>
          <w:p w14:paraId="1E92C634">
            <w:pPr>
              <w:spacing w:before="120" w:after="120"/>
              <w:jc w:val="center"/>
              <w:rPr>
                <w:b/>
                <w:bCs/>
                <w:i/>
                <w:iCs/>
                <w:color w:val="auto"/>
                <w:sz w:val="20"/>
                <w:szCs w:val="20"/>
              </w:rPr>
            </w:pPr>
            <w:r>
              <w:rPr>
                <w:b/>
                <w:bCs/>
                <w:iCs/>
                <w:color w:val="auto"/>
                <w:sz w:val="20"/>
                <w:szCs w:val="20"/>
              </w:rPr>
              <w:t>GRUPOS DE SERVIÇOS/ITEM</w:t>
            </w:r>
          </w:p>
        </w:tc>
        <w:tc>
          <w:tcPr>
            <w:tcW w:w="5963" w:type="dxa"/>
            <w:gridSpan w:val="4"/>
            <w:vAlign w:val="center"/>
          </w:tcPr>
          <w:p w14:paraId="08619CBF">
            <w:pPr>
              <w:spacing w:before="120" w:after="120"/>
              <w:jc w:val="center"/>
              <w:rPr>
                <w:b/>
                <w:bCs/>
                <w:i/>
                <w:iCs/>
                <w:color w:val="auto"/>
                <w:sz w:val="20"/>
                <w:szCs w:val="20"/>
              </w:rPr>
            </w:pPr>
            <w:r>
              <w:rPr>
                <w:b/>
                <w:bCs/>
                <w:iCs/>
                <w:color w:val="auto"/>
                <w:sz w:val="20"/>
                <w:szCs w:val="20"/>
              </w:rPr>
              <w:t>VALOR DOS SERVIÇOS</w:t>
            </w:r>
          </w:p>
        </w:tc>
      </w:tr>
      <w:tr w14:paraId="09FF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0" w:hRule="atLeast"/>
        </w:trPr>
        <w:tc>
          <w:tcPr>
            <w:tcW w:w="3104" w:type="dxa"/>
            <w:gridSpan w:val="2"/>
            <w:vMerge w:val="continue"/>
            <w:vAlign w:val="center"/>
          </w:tcPr>
          <w:p w14:paraId="0104FB36">
            <w:pPr>
              <w:spacing w:before="120" w:after="120"/>
              <w:jc w:val="center"/>
              <w:rPr>
                <w:b/>
                <w:bCs/>
                <w:iCs/>
                <w:color w:val="auto"/>
                <w:sz w:val="20"/>
                <w:szCs w:val="20"/>
              </w:rPr>
            </w:pPr>
          </w:p>
        </w:tc>
        <w:tc>
          <w:tcPr>
            <w:tcW w:w="2278" w:type="dxa"/>
            <w:gridSpan w:val="2"/>
            <w:vAlign w:val="center"/>
          </w:tcPr>
          <w:p w14:paraId="451063ED">
            <w:pPr>
              <w:spacing w:before="120" w:after="120"/>
              <w:jc w:val="center"/>
              <w:rPr>
                <w:b/>
                <w:bCs/>
                <w:i/>
                <w:iCs/>
                <w:color w:val="auto"/>
                <w:sz w:val="20"/>
                <w:szCs w:val="20"/>
              </w:rPr>
            </w:pPr>
            <w:r>
              <w:rPr>
                <w:b/>
                <w:bCs/>
                <w:iCs/>
                <w:color w:val="auto"/>
                <w:sz w:val="20"/>
                <w:szCs w:val="20"/>
              </w:rPr>
              <w:t>VALOR EM CIFRAS (R$)</w:t>
            </w:r>
          </w:p>
        </w:tc>
        <w:tc>
          <w:tcPr>
            <w:tcW w:w="3685" w:type="dxa"/>
            <w:gridSpan w:val="2"/>
            <w:vAlign w:val="center"/>
          </w:tcPr>
          <w:p w14:paraId="100DB9C1">
            <w:pPr>
              <w:spacing w:before="120" w:after="120"/>
              <w:jc w:val="center"/>
              <w:rPr>
                <w:b/>
                <w:bCs/>
                <w:i/>
                <w:iCs/>
                <w:color w:val="auto"/>
                <w:sz w:val="20"/>
                <w:szCs w:val="20"/>
              </w:rPr>
            </w:pPr>
            <w:r>
              <w:rPr>
                <w:b/>
                <w:bCs/>
                <w:iCs/>
                <w:color w:val="auto"/>
                <w:sz w:val="20"/>
                <w:szCs w:val="20"/>
              </w:rPr>
              <w:t>VALOR POR EXTENSO</w:t>
            </w:r>
          </w:p>
        </w:tc>
      </w:tr>
      <w:tr w14:paraId="62CB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75" w:hRule="atLeast"/>
        </w:trPr>
        <w:tc>
          <w:tcPr>
            <w:tcW w:w="3104" w:type="dxa"/>
            <w:gridSpan w:val="2"/>
            <w:vAlign w:val="center"/>
          </w:tcPr>
          <w:p w14:paraId="3A14B22F">
            <w:pPr>
              <w:rPr>
                <w:bCs/>
                <w:iCs/>
                <w:color w:val="FF0000"/>
                <w:sz w:val="20"/>
                <w:szCs w:val="20"/>
              </w:rPr>
            </w:pPr>
          </w:p>
        </w:tc>
        <w:tc>
          <w:tcPr>
            <w:tcW w:w="2278" w:type="dxa"/>
            <w:gridSpan w:val="2"/>
            <w:vAlign w:val="center"/>
          </w:tcPr>
          <w:p w14:paraId="4319BBDC">
            <w:pPr>
              <w:rPr>
                <w:bCs/>
                <w:iCs/>
                <w:sz w:val="20"/>
                <w:szCs w:val="20"/>
              </w:rPr>
            </w:pPr>
          </w:p>
        </w:tc>
        <w:tc>
          <w:tcPr>
            <w:tcW w:w="3685" w:type="dxa"/>
            <w:gridSpan w:val="2"/>
            <w:vAlign w:val="center"/>
          </w:tcPr>
          <w:p w14:paraId="5C0346B4">
            <w:pPr>
              <w:rPr>
                <w:bCs/>
                <w:iCs/>
                <w:sz w:val="20"/>
                <w:szCs w:val="20"/>
              </w:rPr>
            </w:pPr>
          </w:p>
        </w:tc>
      </w:tr>
      <w:tr w14:paraId="5E4E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1A3D1652">
            <w:pPr>
              <w:rPr>
                <w:bCs/>
                <w:iCs/>
                <w:color w:val="FF0000"/>
                <w:sz w:val="20"/>
                <w:szCs w:val="20"/>
              </w:rPr>
            </w:pPr>
          </w:p>
        </w:tc>
        <w:tc>
          <w:tcPr>
            <w:tcW w:w="2278" w:type="dxa"/>
            <w:gridSpan w:val="2"/>
            <w:vAlign w:val="center"/>
          </w:tcPr>
          <w:p w14:paraId="71A8D91A">
            <w:pPr>
              <w:rPr>
                <w:bCs/>
                <w:iCs/>
                <w:sz w:val="20"/>
                <w:szCs w:val="20"/>
              </w:rPr>
            </w:pPr>
          </w:p>
        </w:tc>
        <w:tc>
          <w:tcPr>
            <w:tcW w:w="3685" w:type="dxa"/>
            <w:gridSpan w:val="2"/>
            <w:vAlign w:val="center"/>
          </w:tcPr>
          <w:p w14:paraId="38B311D1">
            <w:pPr>
              <w:rPr>
                <w:bCs/>
                <w:iCs/>
                <w:sz w:val="20"/>
                <w:szCs w:val="20"/>
              </w:rPr>
            </w:pPr>
          </w:p>
        </w:tc>
      </w:tr>
      <w:tr w14:paraId="3BE5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40549351">
            <w:pPr>
              <w:rPr>
                <w:bCs/>
                <w:iCs/>
                <w:color w:val="FF0000"/>
                <w:sz w:val="20"/>
                <w:szCs w:val="20"/>
              </w:rPr>
            </w:pPr>
          </w:p>
        </w:tc>
        <w:tc>
          <w:tcPr>
            <w:tcW w:w="2278" w:type="dxa"/>
            <w:gridSpan w:val="2"/>
            <w:vAlign w:val="center"/>
          </w:tcPr>
          <w:p w14:paraId="53E4AE4C">
            <w:pPr>
              <w:rPr>
                <w:bCs/>
                <w:iCs/>
                <w:sz w:val="20"/>
                <w:szCs w:val="20"/>
              </w:rPr>
            </w:pPr>
          </w:p>
        </w:tc>
        <w:tc>
          <w:tcPr>
            <w:tcW w:w="3685" w:type="dxa"/>
            <w:gridSpan w:val="2"/>
            <w:vAlign w:val="center"/>
          </w:tcPr>
          <w:p w14:paraId="506CD614">
            <w:pPr>
              <w:rPr>
                <w:bCs/>
                <w:iCs/>
                <w:sz w:val="20"/>
                <w:szCs w:val="20"/>
              </w:rPr>
            </w:pPr>
          </w:p>
        </w:tc>
      </w:tr>
      <w:tr w14:paraId="6846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151FFBA4">
            <w:pPr>
              <w:rPr>
                <w:bCs/>
                <w:iCs/>
                <w:color w:val="FF0000"/>
                <w:sz w:val="20"/>
                <w:szCs w:val="20"/>
              </w:rPr>
            </w:pPr>
          </w:p>
        </w:tc>
        <w:tc>
          <w:tcPr>
            <w:tcW w:w="2278" w:type="dxa"/>
            <w:gridSpan w:val="2"/>
            <w:vAlign w:val="center"/>
          </w:tcPr>
          <w:p w14:paraId="16E2B7D9">
            <w:pPr>
              <w:rPr>
                <w:bCs/>
                <w:iCs/>
                <w:sz w:val="20"/>
                <w:szCs w:val="20"/>
              </w:rPr>
            </w:pPr>
          </w:p>
        </w:tc>
        <w:tc>
          <w:tcPr>
            <w:tcW w:w="3685" w:type="dxa"/>
            <w:gridSpan w:val="2"/>
            <w:vAlign w:val="center"/>
          </w:tcPr>
          <w:p w14:paraId="6872EECD">
            <w:pPr>
              <w:rPr>
                <w:bCs/>
                <w:iCs/>
                <w:sz w:val="20"/>
                <w:szCs w:val="20"/>
              </w:rPr>
            </w:pPr>
          </w:p>
        </w:tc>
      </w:tr>
      <w:tr w14:paraId="43CA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2909E82C">
            <w:pPr>
              <w:rPr>
                <w:bCs/>
                <w:iCs/>
                <w:color w:val="FF0000"/>
                <w:sz w:val="20"/>
                <w:szCs w:val="20"/>
              </w:rPr>
            </w:pPr>
          </w:p>
        </w:tc>
        <w:tc>
          <w:tcPr>
            <w:tcW w:w="2278" w:type="dxa"/>
            <w:gridSpan w:val="2"/>
            <w:vAlign w:val="center"/>
          </w:tcPr>
          <w:p w14:paraId="282CB7AC">
            <w:pPr>
              <w:rPr>
                <w:bCs/>
                <w:iCs/>
                <w:sz w:val="20"/>
                <w:szCs w:val="20"/>
              </w:rPr>
            </w:pPr>
          </w:p>
        </w:tc>
        <w:tc>
          <w:tcPr>
            <w:tcW w:w="3685" w:type="dxa"/>
            <w:gridSpan w:val="2"/>
            <w:vAlign w:val="center"/>
          </w:tcPr>
          <w:p w14:paraId="74A0EF3E">
            <w:pPr>
              <w:rPr>
                <w:bCs/>
                <w:iCs/>
                <w:sz w:val="20"/>
                <w:szCs w:val="20"/>
              </w:rPr>
            </w:pPr>
          </w:p>
        </w:tc>
      </w:tr>
      <w:tr w14:paraId="26FE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63B8AEC4">
            <w:pPr>
              <w:rPr>
                <w:bCs/>
                <w:iCs/>
                <w:color w:val="FF0000"/>
                <w:sz w:val="20"/>
                <w:szCs w:val="20"/>
              </w:rPr>
            </w:pPr>
          </w:p>
        </w:tc>
        <w:tc>
          <w:tcPr>
            <w:tcW w:w="2278" w:type="dxa"/>
            <w:gridSpan w:val="2"/>
            <w:vAlign w:val="center"/>
          </w:tcPr>
          <w:p w14:paraId="6EB288C7">
            <w:pPr>
              <w:rPr>
                <w:bCs/>
                <w:iCs/>
                <w:sz w:val="20"/>
                <w:szCs w:val="20"/>
              </w:rPr>
            </w:pPr>
          </w:p>
        </w:tc>
        <w:tc>
          <w:tcPr>
            <w:tcW w:w="3685" w:type="dxa"/>
            <w:gridSpan w:val="2"/>
            <w:vAlign w:val="center"/>
          </w:tcPr>
          <w:p w14:paraId="034BA036">
            <w:pPr>
              <w:rPr>
                <w:bCs/>
                <w:iCs/>
                <w:sz w:val="20"/>
                <w:szCs w:val="20"/>
              </w:rPr>
            </w:pPr>
          </w:p>
        </w:tc>
      </w:tr>
      <w:tr w14:paraId="7772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3347B282">
            <w:pPr>
              <w:rPr>
                <w:bCs/>
                <w:iCs/>
                <w:color w:val="FF0000"/>
                <w:sz w:val="20"/>
                <w:szCs w:val="20"/>
              </w:rPr>
            </w:pPr>
          </w:p>
        </w:tc>
        <w:tc>
          <w:tcPr>
            <w:tcW w:w="2278" w:type="dxa"/>
            <w:gridSpan w:val="2"/>
            <w:vAlign w:val="center"/>
          </w:tcPr>
          <w:p w14:paraId="73E1D940">
            <w:pPr>
              <w:rPr>
                <w:bCs/>
                <w:iCs/>
                <w:sz w:val="20"/>
                <w:szCs w:val="20"/>
              </w:rPr>
            </w:pPr>
          </w:p>
        </w:tc>
        <w:tc>
          <w:tcPr>
            <w:tcW w:w="3685" w:type="dxa"/>
            <w:gridSpan w:val="2"/>
            <w:vAlign w:val="center"/>
          </w:tcPr>
          <w:p w14:paraId="301BB1D6">
            <w:pPr>
              <w:rPr>
                <w:bCs/>
                <w:iCs/>
                <w:sz w:val="20"/>
                <w:szCs w:val="20"/>
              </w:rPr>
            </w:pPr>
          </w:p>
        </w:tc>
      </w:tr>
      <w:tr w14:paraId="694F4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3EEAD970">
            <w:pPr>
              <w:rPr>
                <w:bCs/>
                <w:iCs/>
                <w:color w:val="FF0000"/>
                <w:sz w:val="20"/>
                <w:szCs w:val="20"/>
              </w:rPr>
            </w:pPr>
          </w:p>
        </w:tc>
        <w:tc>
          <w:tcPr>
            <w:tcW w:w="2278" w:type="dxa"/>
            <w:gridSpan w:val="2"/>
            <w:vAlign w:val="center"/>
          </w:tcPr>
          <w:p w14:paraId="02087849">
            <w:pPr>
              <w:rPr>
                <w:bCs/>
                <w:iCs/>
                <w:sz w:val="20"/>
                <w:szCs w:val="20"/>
              </w:rPr>
            </w:pPr>
          </w:p>
        </w:tc>
        <w:tc>
          <w:tcPr>
            <w:tcW w:w="3685" w:type="dxa"/>
            <w:gridSpan w:val="2"/>
            <w:vAlign w:val="center"/>
          </w:tcPr>
          <w:p w14:paraId="22549D4C">
            <w:pPr>
              <w:rPr>
                <w:bCs/>
                <w:iCs/>
                <w:sz w:val="20"/>
                <w:szCs w:val="20"/>
              </w:rPr>
            </w:pPr>
          </w:p>
        </w:tc>
      </w:tr>
      <w:tr w14:paraId="553B1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7A9BA671">
            <w:pPr>
              <w:rPr>
                <w:bCs/>
                <w:iCs/>
                <w:color w:val="FF0000"/>
                <w:sz w:val="20"/>
                <w:szCs w:val="20"/>
              </w:rPr>
            </w:pPr>
          </w:p>
        </w:tc>
        <w:tc>
          <w:tcPr>
            <w:tcW w:w="2278" w:type="dxa"/>
            <w:gridSpan w:val="2"/>
            <w:vAlign w:val="center"/>
          </w:tcPr>
          <w:p w14:paraId="0FF03B4A">
            <w:pPr>
              <w:rPr>
                <w:bCs/>
                <w:iCs/>
                <w:sz w:val="20"/>
                <w:szCs w:val="20"/>
              </w:rPr>
            </w:pPr>
          </w:p>
        </w:tc>
        <w:tc>
          <w:tcPr>
            <w:tcW w:w="3685" w:type="dxa"/>
            <w:gridSpan w:val="2"/>
            <w:vAlign w:val="center"/>
          </w:tcPr>
          <w:p w14:paraId="19EFBEE5">
            <w:pPr>
              <w:rPr>
                <w:bCs/>
                <w:iCs/>
                <w:sz w:val="20"/>
                <w:szCs w:val="20"/>
              </w:rPr>
            </w:pPr>
          </w:p>
        </w:tc>
      </w:tr>
      <w:tr w14:paraId="7AC5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0" w:hRule="atLeast"/>
        </w:trPr>
        <w:tc>
          <w:tcPr>
            <w:tcW w:w="3104" w:type="dxa"/>
            <w:gridSpan w:val="2"/>
            <w:vAlign w:val="center"/>
          </w:tcPr>
          <w:p w14:paraId="3072A4F9">
            <w:pPr>
              <w:rPr>
                <w:bCs/>
                <w:iCs/>
                <w:color w:val="FF0000"/>
                <w:sz w:val="20"/>
                <w:szCs w:val="20"/>
              </w:rPr>
            </w:pPr>
          </w:p>
        </w:tc>
        <w:tc>
          <w:tcPr>
            <w:tcW w:w="2278" w:type="dxa"/>
            <w:gridSpan w:val="2"/>
            <w:vAlign w:val="center"/>
          </w:tcPr>
          <w:p w14:paraId="5060BC46">
            <w:pPr>
              <w:rPr>
                <w:bCs/>
                <w:iCs/>
                <w:sz w:val="20"/>
                <w:szCs w:val="20"/>
              </w:rPr>
            </w:pPr>
          </w:p>
        </w:tc>
        <w:tc>
          <w:tcPr>
            <w:tcW w:w="3685" w:type="dxa"/>
            <w:gridSpan w:val="2"/>
            <w:vAlign w:val="center"/>
          </w:tcPr>
          <w:p w14:paraId="1F9BE26C">
            <w:pPr>
              <w:rPr>
                <w:bCs/>
                <w:iCs/>
                <w:sz w:val="20"/>
                <w:szCs w:val="20"/>
              </w:rPr>
            </w:pPr>
          </w:p>
        </w:tc>
      </w:tr>
      <w:tr w14:paraId="59B55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38" w:hRule="atLeast"/>
        </w:trPr>
        <w:tc>
          <w:tcPr>
            <w:tcW w:w="3104" w:type="dxa"/>
            <w:gridSpan w:val="2"/>
            <w:vAlign w:val="center"/>
          </w:tcPr>
          <w:p w14:paraId="6582A347">
            <w:pPr>
              <w:jc w:val="both"/>
              <w:rPr>
                <w:b/>
                <w:bCs/>
                <w:iCs/>
                <w:color w:val="FF0000"/>
                <w:sz w:val="20"/>
                <w:szCs w:val="20"/>
              </w:rPr>
            </w:pPr>
            <w:r>
              <w:rPr>
                <w:b/>
                <w:bCs/>
                <w:iCs/>
                <w:color w:val="auto"/>
                <w:sz w:val="20"/>
                <w:szCs w:val="20"/>
              </w:rPr>
              <w:t>Total: Valor do Contrato Proposto (Transferir para o Modelo 4– Carta de Apresentação da Proposta)</w:t>
            </w:r>
          </w:p>
        </w:tc>
        <w:tc>
          <w:tcPr>
            <w:tcW w:w="2278" w:type="dxa"/>
            <w:gridSpan w:val="2"/>
            <w:vAlign w:val="center"/>
          </w:tcPr>
          <w:p w14:paraId="622E5FCD">
            <w:pPr>
              <w:rPr>
                <w:bCs/>
                <w:iCs/>
                <w:sz w:val="20"/>
                <w:szCs w:val="20"/>
              </w:rPr>
            </w:pPr>
          </w:p>
        </w:tc>
        <w:tc>
          <w:tcPr>
            <w:tcW w:w="3685" w:type="dxa"/>
            <w:gridSpan w:val="2"/>
            <w:vAlign w:val="center"/>
          </w:tcPr>
          <w:p w14:paraId="7F0E92C7">
            <w:pPr>
              <w:rPr>
                <w:bCs/>
                <w:iCs/>
                <w:sz w:val="20"/>
                <w:szCs w:val="20"/>
              </w:rPr>
            </w:pPr>
          </w:p>
        </w:tc>
      </w:tr>
      <w:tr w14:paraId="47DE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197" w:type="dxa"/>
            <w:vAlign w:val="center"/>
          </w:tcPr>
          <w:p w14:paraId="300D271E">
            <w:pPr>
              <w:rPr>
                <w:b/>
                <w:bCs/>
                <w:iCs/>
                <w:sz w:val="20"/>
                <w:szCs w:val="20"/>
              </w:rPr>
            </w:pPr>
            <w:r>
              <w:rPr>
                <w:b/>
                <w:bCs/>
                <w:iCs/>
                <w:sz w:val="20"/>
                <w:szCs w:val="20"/>
              </w:rPr>
              <w:t>Data:</w:t>
            </w:r>
          </w:p>
        </w:tc>
        <w:tc>
          <w:tcPr>
            <w:tcW w:w="6870" w:type="dxa"/>
            <w:gridSpan w:val="5"/>
            <w:vAlign w:val="center"/>
          </w:tcPr>
          <w:p w14:paraId="509FDBD1">
            <w:pPr>
              <w:rPr>
                <w:b/>
                <w:bCs/>
                <w:iCs/>
                <w:sz w:val="20"/>
                <w:szCs w:val="20"/>
              </w:rPr>
            </w:pPr>
            <w:r>
              <w:rPr>
                <w:b/>
                <w:bCs/>
                <w:iCs/>
                <w:sz w:val="20"/>
                <w:szCs w:val="20"/>
              </w:rPr>
              <w:t>Assinatura:</w:t>
            </w:r>
          </w:p>
        </w:tc>
      </w:tr>
      <w:tr w14:paraId="4BEA4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067" w:type="dxa"/>
            <w:gridSpan w:val="6"/>
            <w:vAlign w:val="center"/>
          </w:tcPr>
          <w:p w14:paraId="6B8C3596">
            <w:pPr>
              <w:rPr>
                <w:b/>
                <w:bCs/>
                <w:iCs/>
                <w:sz w:val="20"/>
                <w:szCs w:val="20"/>
              </w:rPr>
            </w:pPr>
            <w:r>
              <w:rPr>
                <w:b/>
                <w:bCs/>
                <w:iCs/>
                <w:sz w:val="20"/>
                <w:szCs w:val="20"/>
              </w:rPr>
              <w:t>Nome e Cargo:</w:t>
            </w:r>
          </w:p>
        </w:tc>
      </w:tr>
    </w:tbl>
    <w:p w14:paraId="5E3E6645">
      <w:pPr>
        <w:rPr>
          <w:bCs/>
          <w:iCs/>
          <w:sz w:val="20"/>
          <w:szCs w:val="20"/>
        </w:rPr>
        <w:sectPr>
          <w:headerReference r:id="rId15"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4881A7DC">
      <w:pPr>
        <w:pStyle w:val="73"/>
      </w:pPr>
      <w:bookmarkStart w:id="270" w:name="_Toc174537344"/>
      <w:bookmarkStart w:id="271" w:name="_Toc153209003"/>
      <w:bookmarkStart w:id="272" w:name="_Toc168229973"/>
      <w:r>
        <w:t>MODELO 16 - PLANILHA DE QUANTIDADES</w:t>
      </w:r>
      <w:bookmarkEnd w:id="270"/>
      <w:bookmarkEnd w:id="271"/>
      <w:bookmarkEnd w:id="272"/>
    </w:p>
    <w:tbl>
      <w:tblPr>
        <w:tblStyle w:val="12"/>
        <w:tblW w:w="141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748"/>
        <w:gridCol w:w="3543"/>
        <w:gridCol w:w="3884"/>
      </w:tblGrid>
      <w:tr w14:paraId="2F32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14175" w:type="dxa"/>
            <w:gridSpan w:val="3"/>
          </w:tcPr>
          <w:p w14:paraId="101FD8B6">
            <w:pPr>
              <w:rPr>
                <w:bCs/>
                <w:iCs/>
                <w:sz w:val="20"/>
                <w:szCs w:val="20"/>
              </w:rPr>
            </w:pPr>
            <w:r>
              <w:rPr>
                <w:b/>
                <w:bCs/>
                <w:iCs/>
                <w:sz w:val="20"/>
                <w:szCs w:val="20"/>
              </w:rPr>
              <w:t>Concorrente:</w:t>
            </w:r>
            <w:r>
              <w:rPr>
                <w:bCs/>
                <w:iCs/>
                <w:sz w:val="20"/>
                <w:szCs w:val="20"/>
              </w:rPr>
              <w:t xml:space="preserve"> [indicar]</w:t>
            </w:r>
          </w:p>
        </w:tc>
      </w:tr>
      <w:tr w14:paraId="6457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71" w:hRule="atLeast"/>
        </w:trPr>
        <w:tc>
          <w:tcPr>
            <w:tcW w:w="6748" w:type="dxa"/>
          </w:tcPr>
          <w:p w14:paraId="7D7091E4">
            <w:pPr>
              <w:rPr>
                <w:bCs/>
                <w:iCs/>
                <w:sz w:val="20"/>
                <w:szCs w:val="20"/>
              </w:rPr>
            </w:pPr>
            <w:r>
              <w:rPr>
                <w:b/>
                <w:bCs/>
                <w:iCs/>
                <w:sz w:val="20"/>
                <w:szCs w:val="20"/>
              </w:rPr>
              <w:t>Concorrência Eletrônica– LPN ou LPI Nº:</w:t>
            </w:r>
            <w:r>
              <w:rPr>
                <w:bCs/>
                <w:iCs/>
                <w:sz w:val="20"/>
                <w:szCs w:val="20"/>
              </w:rPr>
              <w:t xml:space="preserve"> [indicar]</w:t>
            </w:r>
          </w:p>
        </w:tc>
        <w:tc>
          <w:tcPr>
            <w:tcW w:w="3543" w:type="dxa"/>
          </w:tcPr>
          <w:p w14:paraId="2CBAC6B8">
            <w:pPr>
              <w:rPr>
                <w:bCs/>
                <w:iCs/>
                <w:sz w:val="20"/>
                <w:szCs w:val="20"/>
              </w:rPr>
            </w:pPr>
            <w:r>
              <w:rPr>
                <w:b/>
                <w:bCs/>
                <w:iCs/>
                <w:sz w:val="20"/>
                <w:szCs w:val="20"/>
              </w:rPr>
              <w:t>Lote Nº:</w:t>
            </w:r>
            <w:r>
              <w:rPr>
                <w:bCs/>
                <w:iCs/>
                <w:sz w:val="20"/>
                <w:szCs w:val="20"/>
              </w:rPr>
              <w:t xml:space="preserve"> [indicar]</w:t>
            </w:r>
          </w:p>
        </w:tc>
        <w:tc>
          <w:tcPr>
            <w:tcW w:w="3884" w:type="dxa"/>
          </w:tcPr>
          <w:p w14:paraId="2FBC781A">
            <w:pPr>
              <w:rPr>
                <w:bCs/>
                <w:iCs/>
                <w:sz w:val="20"/>
                <w:szCs w:val="20"/>
              </w:rPr>
            </w:pPr>
            <w:r>
              <w:rPr>
                <w:b/>
                <w:bCs/>
                <w:iCs/>
                <w:sz w:val="20"/>
                <w:szCs w:val="20"/>
              </w:rPr>
              <w:t>Página:</w:t>
            </w:r>
            <w:r>
              <w:rPr>
                <w:bCs/>
                <w:iCs/>
                <w:sz w:val="20"/>
                <w:szCs w:val="20"/>
              </w:rPr>
              <w:t xml:space="preserve"> [indicar] de [indicar]</w:t>
            </w:r>
          </w:p>
        </w:tc>
      </w:tr>
      <w:tr w14:paraId="1B1A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14175" w:type="dxa"/>
            <w:gridSpan w:val="3"/>
          </w:tcPr>
          <w:p w14:paraId="3A251949">
            <w:pPr>
              <w:rPr>
                <w:bCs/>
                <w:iCs/>
                <w:sz w:val="20"/>
                <w:szCs w:val="20"/>
              </w:rPr>
            </w:pPr>
            <w:r>
              <w:rPr>
                <w:b/>
                <w:bCs/>
                <w:iCs/>
                <w:sz w:val="20"/>
                <w:szCs w:val="20"/>
              </w:rPr>
              <w:t>Obra:</w:t>
            </w:r>
            <w:r>
              <w:rPr>
                <w:bCs/>
                <w:iCs/>
                <w:sz w:val="20"/>
                <w:szCs w:val="20"/>
              </w:rPr>
              <w:t xml:space="preserve"> [indicar as Obra]</w:t>
            </w:r>
          </w:p>
        </w:tc>
      </w:tr>
    </w:tbl>
    <w:p w14:paraId="2DD5E58C">
      <w:pPr>
        <w:rPr>
          <w:bCs/>
          <w:i/>
          <w:iCs/>
          <w:sz w:val="20"/>
          <w:szCs w:val="20"/>
          <w:highlight w:val="yellow"/>
        </w:rPr>
      </w:pPr>
    </w:p>
    <w:p w14:paraId="6770A441">
      <w:pPr>
        <w:rPr>
          <w:bCs/>
          <w:i/>
          <w:iCs/>
          <w:sz w:val="20"/>
          <w:szCs w:val="20"/>
        </w:rPr>
      </w:pPr>
      <w:r>
        <w:rPr>
          <w:bCs/>
          <w:i/>
          <w:iCs/>
          <w:sz w:val="20"/>
          <w:szCs w:val="20"/>
          <w:highlight w:val="yellow"/>
        </w:rPr>
        <w:t>[deverá ser utilizado o modelo de planilha de quantidades fornecida por meio eletrônico pelo Contratante]</w:t>
      </w:r>
    </w:p>
    <w:tbl>
      <w:tblPr>
        <w:tblStyle w:val="12"/>
        <w:tblW w:w="141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123"/>
        <w:gridCol w:w="1228"/>
        <w:gridCol w:w="4099"/>
        <w:gridCol w:w="1432"/>
        <w:gridCol w:w="1334"/>
        <w:gridCol w:w="2341"/>
        <w:gridCol w:w="2587"/>
      </w:tblGrid>
      <w:tr w14:paraId="5E746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827" w:hRule="atLeast"/>
        </w:trPr>
        <w:tc>
          <w:tcPr>
            <w:tcW w:w="1123" w:type="dxa"/>
            <w:vAlign w:val="center"/>
          </w:tcPr>
          <w:p w14:paraId="4017A68E">
            <w:pPr>
              <w:spacing w:before="120" w:after="120"/>
              <w:jc w:val="center"/>
              <w:rPr>
                <w:b/>
                <w:bCs/>
                <w:iCs/>
                <w:sz w:val="20"/>
                <w:szCs w:val="20"/>
              </w:rPr>
            </w:pPr>
            <w:bookmarkStart w:id="273" w:name="_Toc266861369"/>
            <w:bookmarkStart w:id="274" w:name="_Toc266861765"/>
            <w:r>
              <w:rPr>
                <w:b/>
                <w:bCs/>
                <w:iCs/>
                <w:sz w:val="20"/>
                <w:szCs w:val="20"/>
              </w:rPr>
              <w:t>ITEM</w:t>
            </w:r>
            <w:bookmarkEnd w:id="273"/>
            <w:bookmarkEnd w:id="274"/>
          </w:p>
          <w:p w14:paraId="3AD44747">
            <w:pPr>
              <w:spacing w:before="120" w:after="120"/>
              <w:jc w:val="center"/>
              <w:rPr>
                <w:b/>
                <w:bCs/>
                <w:iCs/>
                <w:sz w:val="20"/>
                <w:szCs w:val="20"/>
              </w:rPr>
            </w:pPr>
            <w:bookmarkStart w:id="275" w:name="_Toc266861370"/>
            <w:bookmarkStart w:id="276" w:name="_Toc266861766"/>
            <w:r>
              <w:rPr>
                <w:b/>
                <w:bCs/>
                <w:iCs/>
                <w:sz w:val="20"/>
                <w:szCs w:val="20"/>
              </w:rPr>
              <w:t>(1)</w:t>
            </w:r>
            <w:bookmarkEnd w:id="275"/>
            <w:bookmarkEnd w:id="276"/>
          </w:p>
        </w:tc>
        <w:tc>
          <w:tcPr>
            <w:tcW w:w="1228" w:type="dxa"/>
            <w:vAlign w:val="center"/>
          </w:tcPr>
          <w:p w14:paraId="3351D8E2">
            <w:pPr>
              <w:spacing w:before="120" w:after="120"/>
              <w:jc w:val="center"/>
              <w:rPr>
                <w:b/>
                <w:bCs/>
                <w:iCs/>
                <w:sz w:val="20"/>
                <w:szCs w:val="20"/>
              </w:rPr>
            </w:pPr>
            <w:bookmarkStart w:id="277" w:name="_Toc266861767"/>
            <w:bookmarkStart w:id="278" w:name="_Toc266861371"/>
            <w:r>
              <w:rPr>
                <w:b/>
                <w:bCs/>
                <w:iCs/>
                <w:sz w:val="20"/>
                <w:szCs w:val="20"/>
              </w:rPr>
              <w:t>SUB-ITEM</w:t>
            </w:r>
            <w:bookmarkEnd w:id="277"/>
            <w:bookmarkEnd w:id="278"/>
          </w:p>
          <w:p w14:paraId="63FCB136">
            <w:pPr>
              <w:spacing w:before="120" w:after="120"/>
              <w:jc w:val="center"/>
              <w:rPr>
                <w:b/>
                <w:bCs/>
                <w:iCs/>
                <w:sz w:val="20"/>
                <w:szCs w:val="20"/>
              </w:rPr>
            </w:pPr>
            <w:bookmarkStart w:id="279" w:name="_Toc266861768"/>
            <w:bookmarkStart w:id="280" w:name="_Toc266861372"/>
            <w:r>
              <w:rPr>
                <w:b/>
                <w:bCs/>
                <w:iCs/>
                <w:sz w:val="20"/>
                <w:szCs w:val="20"/>
              </w:rPr>
              <w:t>(2)</w:t>
            </w:r>
            <w:bookmarkEnd w:id="279"/>
            <w:bookmarkEnd w:id="280"/>
          </w:p>
        </w:tc>
        <w:tc>
          <w:tcPr>
            <w:tcW w:w="4099" w:type="dxa"/>
            <w:vAlign w:val="center"/>
          </w:tcPr>
          <w:p w14:paraId="11ABBCF0">
            <w:pPr>
              <w:spacing w:before="120" w:after="120"/>
              <w:jc w:val="center"/>
              <w:rPr>
                <w:b/>
                <w:bCs/>
                <w:iCs/>
                <w:sz w:val="20"/>
                <w:szCs w:val="20"/>
              </w:rPr>
            </w:pPr>
            <w:bookmarkStart w:id="281" w:name="_Toc266861769"/>
            <w:bookmarkStart w:id="282" w:name="_Toc266861373"/>
            <w:r>
              <w:rPr>
                <w:b/>
                <w:bCs/>
                <w:iCs/>
                <w:sz w:val="20"/>
                <w:szCs w:val="20"/>
              </w:rPr>
              <w:t>DISCRIMINAÇÃO</w:t>
            </w:r>
            <w:bookmarkEnd w:id="281"/>
            <w:bookmarkEnd w:id="282"/>
          </w:p>
          <w:p w14:paraId="0B16C590">
            <w:pPr>
              <w:spacing w:before="120" w:after="120"/>
              <w:jc w:val="center"/>
              <w:rPr>
                <w:b/>
                <w:bCs/>
                <w:iCs/>
                <w:sz w:val="20"/>
                <w:szCs w:val="20"/>
              </w:rPr>
            </w:pPr>
            <w:bookmarkStart w:id="283" w:name="_Toc266861770"/>
            <w:bookmarkStart w:id="284" w:name="_Toc266861374"/>
            <w:r>
              <w:rPr>
                <w:b/>
                <w:bCs/>
                <w:iCs/>
                <w:sz w:val="20"/>
                <w:szCs w:val="20"/>
              </w:rPr>
              <w:t>(3)</w:t>
            </w:r>
            <w:bookmarkEnd w:id="283"/>
            <w:bookmarkEnd w:id="284"/>
          </w:p>
        </w:tc>
        <w:tc>
          <w:tcPr>
            <w:tcW w:w="1432" w:type="dxa"/>
            <w:vAlign w:val="center"/>
          </w:tcPr>
          <w:p w14:paraId="55884BF2">
            <w:pPr>
              <w:spacing w:before="120" w:after="120"/>
              <w:jc w:val="center"/>
              <w:rPr>
                <w:b/>
                <w:bCs/>
                <w:iCs/>
                <w:sz w:val="20"/>
                <w:szCs w:val="20"/>
              </w:rPr>
            </w:pPr>
            <w:bookmarkStart w:id="285" w:name="_Toc266861771"/>
            <w:bookmarkStart w:id="286" w:name="_Toc266861375"/>
            <w:r>
              <w:rPr>
                <w:b/>
                <w:bCs/>
                <w:iCs/>
                <w:sz w:val="20"/>
                <w:szCs w:val="20"/>
              </w:rPr>
              <w:t>UNID.</w:t>
            </w:r>
            <w:bookmarkEnd w:id="285"/>
            <w:bookmarkEnd w:id="286"/>
          </w:p>
          <w:p w14:paraId="278957BA">
            <w:pPr>
              <w:spacing w:before="120" w:after="120"/>
              <w:jc w:val="center"/>
              <w:rPr>
                <w:b/>
                <w:bCs/>
                <w:iCs/>
                <w:sz w:val="20"/>
                <w:szCs w:val="20"/>
              </w:rPr>
            </w:pPr>
            <w:bookmarkStart w:id="287" w:name="_Toc266861772"/>
            <w:bookmarkStart w:id="288" w:name="_Toc266861376"/>
            <w:r>
              <w:rPr>
                <w:b/>
                <w:bCs/>
                <w:iCs/>
                <w:sz w:val="20"/>
                <w:szCs w:val="20"/>
              </w:rPr>
              <w:t>(4)</w:t>
            </w:r>
            <w:bookmarkEnd w:id="287"/>
            <w:bookmarkEnd w:id="288"/>
          </w:p>
        </w:tc>
        <w:tc>
          <w:tcPr>
            <w:tcW w:w="1334" w:type="dxa"/>
            <w:vAlign w:val="center"/>
          </w:tcPr>
          <w:p w14:paraId="5CF9FB45">
            <w:pPr>
              <w:spacing w:before="120" w:after="120"/>
              <w:jc w:val="center"/>
              <w:rPr>
                <w:b/>
                <w:bCs/>
                <w:iCs/>
                <w:sz w:val="20"/>
                <w:szCs w:val="20"/>
              </w:rPr>
            </w:pPr>
            <w:bookmarkStart w:id="289" w:name="_Toc266861377"/>
            <w:bookmarkStart w:id="290" w:name="_Toc266861773"/>
            <w:r>
              <w:rPr>
                <w:b/>
                <w:bCs/>
                <w:iCs/>
                <w:sz w:val="20"/>
                <w:szCs w:val="20"/>
              </w:rPr>
              <w:t>QTD.</w:t>
            </w:r>
            <w:bookmarkEnd w:id="289"/>
            <w:bookmarkEnd w:id="290"/>
          </w:p>
          <w:p w14:paraId="4CA6B79B">
            <w:pPr>
              <w:spacing w:before="120" w:after="120"/>
              <w:jc w:val="center"/>
              <w:rPr>
                <w:b/>
                <w:bCs/>
                <w:iCs/>
                <w:sz w:val="20"/>
                <w:szCs w:val="20"/>
              </w:rPr>
            </w:pPr>
            <w:bookmarkStart w:id="291" w:name="_Toc266861378"/>
            <w:bookmarkStart w:id="292" w:name="_Toc266861774"/>
            <w:r>
              <w:rPr>
                <w:b/>
                <w:bCs/>
                <w:iCs/>
                <w:sz w:val="20"/>
                <w:szCs w:val="20"/>
              </w:rPr>
              <w:t>(5)</w:t>
            </w:r>
            <w:bookmarkEnd w:id="291"/>
            <w:bookmarkEnd w:id="292"/>
          </w:p>
        </w:tc>
        <w:tc>
          <w:tcPr>
            <w:tcW w:w="2341" w:type="dxa"/>
            <w:vAlign w:val="center"/>
          </w:tcPr>
          <w:p w14:paraId="06102700">
            <w:pPr>
              <w:spacing w:before="120" w:after="120"/>
              <w:jc w:val="center"/>
              <w:rPr>
                <w:b/>
                <w:bCs/>
                <w:iCs/>
                <w:sz w:val="20"/>
                <w:szCs w:val="20"/>
              </w:rPr>
            </w:pPr>
            <w:bookmarkStart w:id="293" w:name="_Toc266861775"/>
            <w:bookmarkStart w:id="294" w:name="_Toc266861379"/>
            <w:r>
              <w:rPr>
                <w:b/>
                <w:bCs/>
                <w:iCs/>
                <w:sz w:val="20"/>
                <w:szCs w:val="20"/>
              </w:rPr>
              <w:t>PREÇO UNITÁRIO (R$)</w:t>
            </w:r>
            <w:bookmarkEnd w:id="293"/>
            <w:bookmarkEnd w:id="294"/>
          </w:p>
          <w:p w14:paraId="2A7B52E6">
            <w:pPr>
              <w:spacing w:before="120" w:after="120"/>
              <w:jc w:val="center"/>
              <w:rPr>
                <w:b/>
                <w:bCs/>
                <w:iCs/>
                <w:sz w:val="20"/>
                <w:szCs w:val="20"/>
              </w:rPr>
            </w:pPr>
            <w:bookmarkStart w:id="295" w:name="_Toc266861380"/>
            <w:bookmarkStart w:id="296" w:name="_Toc266861776"/>
            <w:r>
              <w:rPr>
                <w:b/>
                <w:bCs/>
                <w:iCs/>
                <w:sz w:val="20"/>
                <w:szCs w:val="20"/>
              </w:rPr>
              <w:t>(6)</w:t>
            </w:r>
            <w:bookmarkEnd w:id="295"/>
            <w:bookmarkEnd w:id="296"/>
          </w:p>
        </w:tc>
        <w:tc>
          <w:tcPr>
            <w:tcW w:w="2587" w:type="dxa"/>
            <w:vAlign w:val="center"/>
          </w:tcPr>
          <w:p w14:paraId="3713F9F6">
            <w:pPr>
              <w:spacing w:before="120" w:after="120"/>
              <w:jc w:val="center"/>
              <w:rPr>
                <w:b/>
                <w:bCs/>
                <w:iCs/>
                <w:sz w:val="20"/>
                <w:szCs w:val="20"/>
              </w:rPr>
            </w:pPr>
            <w:bookmarkStart w:id="297" w:name="_Toc266861777"/>
            <w:bookmarkStart w:id="298" w:name="_Toc266861381"/>
            <w:r>
              <w:rPr>
                <w:b/>
                <w:bCs/>
                <w:iCs/>
                <w:sz w:val="20"/>
                <w:szCs w:val="20"/>
              </w:rPr>
              <w:t>PREÇO TOTAL (R$)</w:t>
            </w:r>
            <w:bookmarkEnd w:id="297"/>
            <w:bookmarkEnd w:id="298"/>
          </w:p>
          <w:p w14:paraId="5FD87EDA">
            <w:pPr>
              <w:spacing w:before="120" w:after="120"/>
              <w:jc w:val="center"/>
              <w:rPr>
                <w:b/>
                <w:bCs/>
                <w:iCs/>
                <w:sz w:val="20"/>
                <w:szCs w:val="20"/>
              </w:rPr>
            </w:pPr>
            <w:bookmarkStart w:id="299" w:name="_Toc266861382"/>
            <w:bookmarkStart w:id="300" w:name="_Toc266861778"/>
            <w:r>
              <w:rPr>
                <w:b/>
                <w:bCs/>
                <w:iCs/>
                <w:sz w:val="20"/>
                <w:szCs w:val="20"/>
              </w:rPr>
              <w:t>(7)</w:t>
            </w:r>
            <w:bookmarkEnd w:id="299"/>
            <w:bookmarkEnd w:id="300"/>
          </w:p>
        </w:tc>
      </w:tr>
      <w:tr w14:paraId="2774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1" w:hRule="atLeast"/>
        </w:trPr>
        <w:tc>
          <w:tcPr>
            <w:tcW w:w="1123" w:type="dxa"/>
          </w:tcPr>
          <w:p w14:paraId="18EBA8C2">
            <w:pPr>
              <w:spacing w:before="120" w:after="120"/>
              <w:rPr>
                <w:bCs/>
                <w:iCs/>
                <w:sz w:val="20"/>
                <w:szCs w:val="20"/>
              </w:rPr>
            </w:pPr>
          </w:p>
        </w:tc>
        <w:tc>
          <w:tcPr>
            <w:tcW w:w="1228" w:type="dxa"/>
          </w:tcPr>
          <w:p w14:paraId="18BC5F75">
            <w:pPr>
              <w:spacing w:before="120" w:after="120"/>
              <w:rPr>
                <w:bCs/>
                <w:iCs/>
                <w:sz w:val="20"/>
                <w:szCs w:val="20"/>
              </w:rPr>
            </w:pPr>
          </w:p>
        </w:tc>
        <w:tc>
          <w:tcPr>
            <w:tcW w:w="4099" w:type="dxa"/>
          </w:tcPr>
          <w:p w14:paraId="49A0243D">
            <w:pPr>
              <w:spacing w:before="120" w:after="120"/>
              <w:rPr>
                <w:bCs/>
                <w:iCs/>
                <w:sz w:val="20"/>
                <w:szCs w:val="20"/>
              </w:rPr>
            </w:pPr>
          </w:p>
        </w:tc>
        <w:tc>
          <w:tcPr>
            <w:tcW w:w="1432" w:type="dxa"/>
          </w:tcPr>
          <w:p w14:paraId="3341D03B">
            <w:pPr>
              <w:spacing w:before="120" w:after="120"/>
              <w:rPr>
                <w:bCs/>
                <w:iCs/>
                <w:sz w:val="20"/>
                <w:szCs w:val="20"/>
              </w:rPr>
            </w:pPr>
          </w:p>
        </w:tc>
        <w:tc>
          <w:tcPr>
            <w:tcW w:w="1334" w:type="dxa"/>
          </w:tcPr>
          <w:p w14:paraId="67550D33">
            <w:pPr>
              <w:spacing w:before="120" w:after="120"/>
              <w:rPr>
                <w:bCs/>
                <w:iCs/>
                <w:sz w:val="20"/>
                <w:szCs w:val="20"/>
              </w:rPr>
            </w:pPr>
          </w:p>
        </w:tc>
        <w:tc>
          <w:tcPr>
            <w:tcW w:w="2341" w:type="dxa"/>
          </w:tcPr>
          <w:p w14:paraId="3FA0CE38">
            <w:pPr>
              <w:spacing w:before="120" w:after="120"/>
              <w:rPr>
                <w:bCs/>
                <w:iCs/>
                <w:sz w:val="20"/>
                <w:szCs w:val="20"/>
              </w:rPr>
            </w:pPr>
          </w:p>
        </w:tc>
        <w:tc>
          <w:tcPr>
            <w:tcW w:w="2587" w:type="dxa"/>
          </w:tcPr>
          <w:p w14:paraId="51C3594F">
            <w:pPr>
              <w:spacing w:before="120" w:after="120"/>
              <w:rPr>
                <w:bCs/>
                <w:iCs/>
                <w:sz w:val="20"/>
                <w:szCs w:val="20"/>
              </w:rPr>
            </w:pPr>
          </w:p>
        </w:tc>
      </w:tr>
      <w:tr w14:paraId="38205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1" w:hRule="atLeast"/>
        </w:trPr>
        <w:tc>
          <w:tcPr>
            <w:tcW w:w="1123" w:type="dxa"/>
          </w:tcPr>
          <w:p w14:paraId="78222D95">
            <w:pPr>
              <w:spacing w:before="120" w:after="120"/>
              <w:rPr>
                <w:bCs/>
                <w:iCs/>
                <w:sz w:val="20"/>
                <w:szCs w:val="20"/>
              </w:rPr>
            </w:pPr>
          </w:p>
        </w:tc>
        <w:tc>
          <w:tcPr>
            <w:tcW w:w="1228" w:type="dxa"/>
          </w:tcPr>
          <w:p w14:paraId="7D6C4C6F">
            <w:pPr>
              <w:spacing w:before="120" w:after="120"/>
              <w:rPr>
                <w:bCs/>
                <w:iCs/>
                <w:sz w:val="20"/>
                <w:szCs w:val="20"/>
              </w:rPr>
            </w:pPr>
          </w:p>
        </w:tc>
        <w:tc>
          <w:tcPr>
            <w:tcW w:w="4099" w:type="dxa"/>
          </w:tcPr>
          <w:p w14:paraId="45B01749">
            <w:pPr>
              <w:spacing w:before="120" w:after="120"/>
              <w:rPr>
                <w:bCs/>
                <w:iCs/>
                <w:sz w:val="20"/>
                <w:szCs w:val="20"/>
              </w:rPr>
            </w:pPr>
          </w:p>
        </w:tc>
        <w:tc>
          <w:tcPr>
            <w:tcW w:w="1432" w:type="dxa"/>
          </w:tcPr>
          <w:p w14:paraId="51C63A9B">
            <w:pPr>
              <w:spacing w:before="120" w:after="120"/>
              <w:rPr>
                <w:bCs/>
                <w:iCs/>
                <w:sz w:val="20"/>
                <w:szCs w:val="20"/>
              </w:rPr>
            </w:pPr>
          </w:p>
        </w:tc>
        <w:tc>
          <w:tcPr>
            <w:tcW w:w="1334" w:type="dxa"/>
          </w:tcPr>
          <w:p w14:paraId="5C226B11">
            <w:pPr>
              <w:spacing w:before="120" w:after="120"/>
              <w:rPr>
                <w:bCs/>
                <w:iCs/>
                <w:sz w:val="20"/>
                <w:szCs w:val="20"/>
              </w:rPr>
            </w:pPr>
          </w:p>
        </w:tc>
        <w:tc>
          <w:tcPr>
            <w:tcW w:w="2341" w:type="dxa"/>
          </w:tcPr>
          <w:p w14:paraId="4198D804">
            <w:pPr>
              <w:spacing w:before="120" w:after="120"/>
              <w:rPr>
                <w:bCs/>
                <w:iCs/>
                <w:sz w:val="20"/>
                <w:szCs w:val="20"/>
              </w:rPr>
            </w:pPr>
          </w:p>
        </w:tc>
        <w:tc>
          <w:tcPr>
            <w:tcW w:w="2587" w:type="dxa"/>
          </w:tcPr>
          <w:p w14:paraId="7B46F9E5">
            <w:pPr>
              <w:spacing w:before="120" w:after="120"/>
              <w:rPr>
                <w:bCs/>
                <w:iCs/>
                <w:sz w:val="20"/>
                <w:szCs w:val="20"/>
              </w:rPr>
            </w:pPr>
          </w:p>
        </w:tc>
      </w:tr>
      <w:tr w14:paraId="0CEC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91" w:hRule="atLeast"/>
        </w:trPr>
        <w:tc>
          <w:tcPr>
            <w:tcW w:w="1123" w:type="dxa"/>
          </w:tcPr>
          <w:p w14:paraId="3E339679">
            <w:pPr>
              <w:spacing w:before="120" w:after="120"/>
              <w:rPr>
                <w:bCs/>
                <w:iCs/>
                <w:sz w:val="20"/>
                <w:szCs w:val="20"/>
              </w:rPr>
            </w:pPr>
          </w:p>
        </w:tc>
        <w:tc>
          <w:tcPr>
            <w:tcW w:w="1228" w:type="dxa"/>
          </w:tcPr>
          <w:p w14:paraId="6CB9886D">
            <w:pPr>
              <w:spacing w:before="120" w:after="120"/>
              <w:rPr>
                <w:bCs/>
                <w:iCs/>
                <w:sz w:val="20"/>
                <w:szCs w:val="20"/>
              </w:rPr>
            </w:pPr>
          </w:p>
        </w:tc>
        <w:tc>
          <w:tcPr>
            <w:tcW w:w="4099" w:type="dxa"/>
          </w:tcPr>
          <w:p w14:paraId="2992DDBA">
            <w:pPr>
              <w:spacing w:before="120" w:after="120"/>
              <w:rPr>
                <w:bCs/>
                <w:iCs/>
                <w:sz w:val="20"/>
                <w:szCs w:val="20"/>
              </w:rPr>
            </w:pPr>
          </w:p>
        </w:tc>
        <w:tc>
          <w:tcPr>
            <w:tcW w:w="1432" w:type="dxa"/>
          </w:tcPr>
          <w:p w14:paraId="4F5987E9">
            <w:pPr>
              <w:spacing w:before="120" w:after="120"/>
              <w:rPr>
                <w:bCs/>
                <w:iCs/>
                <w:sz w:val="20"/>
                <w:szCs w:val="20"/>
              </w:rPr>
            </w:pPr>
          </w:p>
        </w:tc>
        <w:tc>
          <w:tcPr>
            <w:tcW w:w="1334" w:type="dxa"/>
          </w:tcPr>
          <w:p w14:paraId="3FFFAC7C">
            <w:pPr>
              <w:spacing w:before="120" w:after="120"/>
              <w:rPr>
                <w:bCs/>
                <w:iCs/>
                <w:sz w:val="20"/>
                <w:szCs w:val="20"/>
              </w:rPr>
            </w:pPr>
          </w:p>
        </w:tc>
        <w:tc>
          <w:tcPr>
            <w:tcW w:w="2341" w:type="dxa"/>
          </w:tcPr>
          <w:p w14:paraId="65FA52D4">
            <w:pPr>
              <w:spacing w:before="120" w:after="120"/>
              <w:rPr>
                <w:bCs/>
                <w:iCs/>
                <w:sz w:val="20"/>
                <w:szCs w:val="20"/>
              </w:rPr>
            </w:pPr>
          </w:p>
        </w:tc>
        <w:tc>
          <w:tcPr>
            <w:tcW w:w="2587" w:type="dxa"/>
          </w:tcPr>
          <w:p w14:paraId="01B9000C">
            <w:pPr>
              <w:spacing w:before="120" w:after="120"/>
              <w:rPr>
                <w:bCs/>
                <w:iCs/>
                <w:sz w:val="20"/>
                <w:szCs w:val="20"/>
              </w:rPr>
            </w:pPr>
          </w:p>
        </w:tc>
      </w:tr>
      <w:tr w14:paraId="6957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01" w:hRule="atLeast"/>
        </w:trPr>
        <w:tc>
          <w:tcPr>
            <w:tcW w:w="9216" w:type="dxa"/>
            <w:gridSpan w:val="5"/>
          </w:tcPr>
          <w:p w14:paraId="505A315C">
            <w:pPr>
              <w:spacing w:before="120" w:after="120"/>
              <w:rPr>
                <w:b/>
                <w:bCs/>
                <w:iCs/>
                <w:sz w:val="20"/>
                <w:szCs w:val="20"/>
              </w:rPr>
            </w:pPr>
            <w:r>
              <w:rPr>
                <w:b/>
                <w:bCs/>
                <w:iCs/>
                <w:sz w:val="20"/>
                <w:szCs w:val="20"/>
              </w:rPr>
              <w:t>SUBTOTAL (R$)</w:t>
            </w:r>
            <w:r>
              <w:rPr>
                <w:b/>
                <w:bCs/>
                <w:iCs/>
                <w:sz w:val="20"/>
                <w:szCs w:val="20"/>
                <w:vertAlign w:val="superscript"/>
              </w:rPr>
              <w:footnoteReference w:id="5"/>
            </w:r>
          </w:p>
        </w:tc>
        <w:tc>
          <w:tcPr>
            <w:tcW w:w="4928" w:type="dxa"/>
            <w:gridSpan w:val="2"/>
            <w:shd w:val="clear" w:color="auto" w:fill="auto"/>
          </w:tcPr>
          <w:p w14:paraId="36EA3FDC">
            <w:pPr>
              <w:spacing w:before="120" w:after="120"/>
              <w:rPr>
                <w:bCs/>
                <w:iCs/>
                <w:sz w:val="20"/>
                <w:szCs w:val="20"/>
              </w:rPr>
            </w:pPr>
          </w:p>
        </w:tc>
      </w:tr>
      <w:tr w14:paraId="049E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69" w:hRule="atLeast"/>
        </w:trPr>
        <w:tc>
          <w:tcPr>
            <w:tcW w:w="9216" w:type="dxa"/>
            <w:gridSpan w:val="5"/>
          </w:tcPr>
          <w:p w14:paraId="2229C5BD">
            <w:pPr>
              <w:spacing w:before="120" w:after="120"/>
              <w:rPr>
                <w:b/>
                <w:bCs/>
                <w:iCs/>
                <w:sz w:val="20"/>
                <w:szCs w:val="20"/>
              </w:rPr>
            </w:pPr>
            <w:r>
              <w:rPr>
                <w:b/>
                <w:bCs/>
                <w:iCs/>
                <w:sz w:val="20"/>
                <w:szCs w:val="20"/>
              </w:rPr>
              <w:t xml:space="preserve">PREÇO TOTAL (R$) (Transferir para a Modelo 4 – Carta de Apresentação da </w:t>
            </w:r>
            <w:r>
              <w:rPr>
                <w:bCs/>
                <w:iCs/>
                <w:sz w:val="20"/>
                <w:szCs w:val="20"/>
              </w:rPr>
              <w:t>Proposta</w:t>
            </w:r>
            <w:r>
              <w:rPr>
                <w:b/>
                <w:bCs/>
                <w:iCs/>
                <w:sz w:val="20"/>
                <w:szCs w:val="20"/>
              </w:rPr>
              <w:t>):</w:t>
            </w:r>
          </w:p>
        </w:tc>
        <w:tc>
          <w:tcPr>
            <w:tcW w:w="4928" w:type="dxa"/>
            <w:gridSpan w:val="2"/>
            <w:shd w:val="clear" w:color="auto" w:fill="auto"/>
          </w:tcPr>
          <w:p w14:paraId="211120F7">
            <w:pPr>
              <w:spacing w:before="120" w:after="120"/>
              <w:rPr>
                <w:bCs/>
                <w:iCs/>
                <w:sz w:val="20"/>
                <w:szCs w:val="20"/>
              </w:rPr>
            </w:pPr>
          </w:p>
        </w:tc>
      </w:tr>
      <w:tr w14:paraId="33FE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01" w:hRule="atLeast"/>
        </w:trPr>
        <w:tc>
          <w:tcPr>
            <w:tcW w:w="14144" w:type="dxa"/>
            <w:gridSpan w:val="7"/>
          </w:tcPr>
          <w:p w14:paraId="5591E214">
            <w:pPr>
              <w:spacing w:before="120" w:after="120"/>
              <w:rPr>
                <w:b/>
                <w:bCs/>
                <w:iCs/>
                <w:sz w:val="20"/>
                <w:szCs w:val="20"/>
              </w:rPr>
            </w:pPr>
            <w:r>
              <w:rPr>
                <w:b/>
                <w:bCs/>
                <w:iCs/>
                <w:sz w:val="20"/>
                <w:szCs w:val="20"/>
              </w:rPr>
              <w:t xml:space="preserve">VALOR POR EXTENSO </w:t>
            </w:r>
          </w:p>
        </w:tc>
      </w:tr>
    </w:tbl>
    <w:p w14:paraId="06536827">
      <w:pPr>
        <w:rPr>
          <w:bCs/>
          <w:iCs/>
          <w:sz w:val="20"/>
          <w:szCs w:val="20"/>
        </w:rPr>
      </w:pPr>
    </w:p>
    <w:tbl>
      <w:tblPr>
        <w:tblStyle w:val="12"/>
        <w:tblW w:w="141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2"/>
        <w:gridCol w:w="11963"/>
      </w:tblGrid>
      <w:tr w14:paraId="699A3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212" w:type="dxa"/>
          </w:tcPr>
          <w:p w14:paraId="3458BDFA">
            <w:r>
              <w:rPr>
                <w:b/>
                <w:bCs/>
              </w:rPr>
              <w:t>Data:</w:t>
            </w:r>
            <w:r>
              <w:t xml:space="preserve"> [indicar]</w:t>
            </w:r>
          </w:p>
        </w:tc>
        <w:tc>
          <w:tcPr>
            <w:tcW w:w="11963" w:type="dxa"/>
          </w:tcPr>
          <w:p w14:paraId="66240780">
            <w:r>
              <w:rPr>
                <w:b/>
                <w:bCs/>
              </w:rPr>
              <w:t>Assinatura:</w:t>
            </w:r>
            <w:r>
              <w:t xml:space="preserve"> [assinar]</w:t>
            </w:r>
          </w:p>
        </w:tc>
      </w:tr>
      <w:tr w14:paraId="76BF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14175" w:type="dxa"/>
            <w:gridSpan w:val="2"/>
          </w:tcPr>
          <w:p w14:paraId="75D665E8">
            <w:r>
              <w:rPr>
                <w:b/>
                <w:bCs/>
              </w:rPr>
              <w:t>Nome e Cargo:</w:t>
            </w:r>
            <w:r>
              <w:t xml:space="preserve"> [indicar]</w:t>
            </w:r>
          </w:p>
        </w:tc>
      </w:tr>
    </w:tbl>
    <w:p w14:paraId="4A49F60D">
      <w:pPr>
        <w:spacing w:before="120" w:after="0"/>
        <w:rPr>
          <w:bCs/>
          <w:iCs/>
          <w:sz w:val="20"/>
          <w:szCs w:val="20"/>
        </w:rPr>
      </w:pPr>
      <w:r>
        <w:rPr>
          <w:rFonts w:cs="Times New Roman"/>
          <w:b/>
          <w:bCs/>
          <w:iCs/>
          <w:szCs w:val="24"/>
        </w:rPr>
        <w:t>Nota:</w:t>
      </w:r>
      <w:r>
        <w:rPr>
          <w:rFonts w:cs="Times New Roman"/>
          <w:bCs/>
          <w:iCs/>
          <w:szCs w:val="24"/>
        </w:rPr>
        <w:t xml:space="preserve"> Os custos dos serviços de controle ambiental e social [incluindo as atividades contidas no Plano de Gestão Ambiental e Social (PGAS)] necessários estão embutidos nos preços dos itens da planilha de quantidades.</w:t>
      </w:r>
    </w:p>
    <w:p w14:paraId="3CADD010">
      <w:pPr>
        <w:rPr>
          <w:bCs/>
          <w:iCs/>
          <w:sz w:val="20"/>
          <w:szCs w:val="20"/>
        </w:rPr>
        <w:sectPr>
          <w:endnotePr>
            <w:numFmt w:val="decimal"/>
          </w:endnotePr>
          <w:pgSz w:w="16840" w:h="11907" w:orient="landscape"/>
          <w:pgMar w:top="1276" w:right="1134" w:bottom="1134" w:left="1701" w:header="720" w:footer="720" w:gutter="0"/>
          <w:pgBorders>
            <w:top w:val="none" w:sz="0" w:space="0"/>
            <w:left w:val="none" w:sz="0" w:space="0"/>
            <w:bottom w:val="none" w:sz="0" w:space="0"/>
            <w:right w:val="none" w:sz="0" w:space="0"/>
          </w:pgBorders>
          <w:cols w:space="720" w:num="1"/>
          <w:docGrid w:linePitch="326" w:charSpace="0"/>
        </w:sectPr>
      </w:pPr>
    </w:p>
    <w:p w14:paraId="22B2EC09">
      <w:pPr>
        <w:pStyle w:val="73"/>
        <w:rPr>
          <w:color w:val="auto"/>
        </w:rPr>
      </w:pPr>
      <w:bookmarkStart w:id="301" w:name="_Toc88660847"/>
      <w:bookmarkStart w:id="302" w:name="_Toc153209004"/>
      <w:bookmarkStart w:id="303" w:name="_Toc113103938"/>
      <w:bookmarkStart w:id="304" w:name="_Toc168229974"/>
      <w:bookmarkStart w:id="305" w:name="_Toc400971598"/>
      <w:bookmarkStart w:id="306" w:name="_Toc99023982"/>
      <w:bookmarkStart w:id="307" w:name="_Toc174537345"/>
      <w:bookmarkStart w:id="308" w:name="_Toc138437016"/>
      <w:r>
        <w:rPr>
          <w:color w:val="auto"/>
        </w:rPr>
        <w:t>MODELO 17 - CRONOGRAMA DE ATIVIDADES (FÍSICO-FINANCEIRO)</w:t>
      </w:r>
      <w:bookmarkEnd w:id="301"/>
      <w:bookmarkEnd w:id="302"/>
      <w:bookmarkEnd w:id="303"/>
      <w:bookmarkEnd w:id="304"/>
      <w:bookmarkEnd w:id="305"/>
      <w:bookmarkEnd w:id="306"/>
      <w:bookmarkEnd w:id="307"/>
      <w:bookmarkEnd w:id="308"/>
    </w:p>
    <w:tbl>
      <w:tblPr>
        <w:tblStyle w:val="12"/>
        <w:tblW w:w="14042"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729"/>
        <w:gridCol w:w="3540"/>
        <w:gridCol w:w="3773"/>
      </w:tblGrid>
      <w:tr w14:paraId="7640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14042" w:type="dxa"/>
            <w:gridSpan w:val="3"/>
          </w:tcPr>
          <w:p w14:paraId="1BD639EE">
            <w:pPr>
              <w:rPr>
                <w:bCs/>
                <w:iCs/>
                <w:color w:val="auto"/>
                <w:sz w:val="20"/>
                <w:szCs w:val="20"/>
              </w:rPr>
            </w:pPr>
            <w:r>
              <w:rPr>
                <w:b/>
                <w:bCs/>
                <w:iCs/>
                <w:color w:val="auto"/>
                <w:sz w:val="20"/>
                <w:szCs w:val="20"/>
              </w:rPr>
              <w:t>Concorrente:</w:t>
            </w:r>
            <w:r>
              <w:rPr>
                <w:bCs/>
                <w:iCs/>
                <w:color w:val="auto"/>
                <w:sz w:val="20"/>
                <w:szCs w:val="20"/>
              </w:rPr>
              <w:t xml:space="preserve"> [indicar]</w:t>
            </w:r>
          </w:p>
        </w:tc>
      </w:tr>
      <w:tr w14:paraId="3466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75" w:hRule="atLeast"/>
        </w:trPr>
        <w:tc>
          <w:tcPr>
            <w:tcW w:w="6729" w:type="dxa"/>
            <w:vAlign w:val="center"/>
          </w:tcPr>
          <w:p w14:paraId="2DE8A4C8">
            <w:pPr>
              <w:rPr>
                <w:bCs/>
                <w:iCs/>
                <w:color w:val="auto"/>
                <w:sz w:val="20"/>
                <w:szCs w:val="20"/>
              </w:rPr>
            </w:pPr>
            <w:r>
              <w:rPr>
                <w:b/>
                <w:bCs/>
                <w:iCs/>
                <w:color w:val="auto"/>
                <w:sz w:val="20"/>
                <w:szCs w:val="20"/>
              </w:rPr>
              <w:t xml:space="preserve">Concorrência Eletrônica– LPN: </w:t>
            </w:r>
            <w:r>
              <w:rPr>
                <w:iCs/>
                <w:color w:val="auto"/>
                <w:sz w:val="20"/>
                <w:szCs w:val="20"/>
              </w:rPr>
              <w:t>[indicar]</w:t>
            </w:r>
          </w:p>
        </w:tc>
        <w:tc>
          <w:tcPr>
            <w:tcW w:w="3540" w:type="dxa"/>
          </w:tcPr>
          <w:p w14:paraId="77E09AE2">
            <w:pPr>
              <w:rPr>
                <w:bCs/>
                <w:iCs/>
                <w:color w:val="auto"/>
                <w:sz w:val="20"/>
                <w:szCs w:val="20"/>
              </w:rPr>
            </w:pPr>
            <w:r>
              <w:rPr>
                <w:b/>
                <w:bCs/>
                <w:iCs/>
                <w:color w:val="auto"/>
                <w:sz w:val="20"/>
                <w:szCs w:val="20"/>
              </w:rPr>
              <w:t>Lote Nº:</w:t>
            </w:r>
            <w:r>
              <w:rPr>
                <w:bCs/>
                <w:iCs/>
                <w:color w:val="auto"/>
                <w:sz w:val="20"/>
                <w:szCs w:val="20"/>
              </w:rPr>
              <w:t xml:space="preserve"> [indicar]</w:t>
            </w:r>
          </w:p>
        </w:tc>
        <w:tc>
          <w:tcPr>
            <w:tcW w:w="3773" w:type="dxa"/>
          </w:tcPr>
          <w:p w14:paraId="08BCF819">
            <w:pPr>
              <w:rPr>
                <w:bCs/>
                <w:iCs/>
                <w:color w:val="auto"/>
                <w:sz w:val="20"/>
                <w:szCs w:val="20"/>
              </w:rPr>
            </w:pPr>
            <w:r>
              <w:rPr>
                <w:b/>
                <w:bCs/>
                <w:iCs/>
                <w:color w:val="auto"/>
                <w:sz w:val="20"/>
                <w:szCs w:val="20"/>
              </w:rPr>
              <w:t>Página:</w:t>
            </w:r>
            <w:r>
              <w:rPr>
                <w:bCs/>
                <w:iCs/>
                <w:color w:val="auto"/>
                <w:sz w:val="20"/>
                <w:szCs w:val="20"/>
              </w:rPr>
              <w:t xml:space="preserve"> [indicar] de [indicar]</w:t>
            </w:r>
          </w:p>
        </w:tc>
      </w:tr>
      <w:tr w14:paraId="54BF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14042" w:type="dxa"/>
            <w:gridSpan w:val="3"/>
          </w:tcPr>
          <w:p w14:paraId="683C8908">
            <w:pPr>
              <w:rPr>
                <w:bCs/>
                <w:iCs/>
                <w:color w:val="auto"/>
                <w:sz w:val="20"/>
                <w:szCs w:val="20"/>
              </w:rPr>
            </w:pPr>
            <w:r>
              <w:rPr>
                <w:b/>
                <w:bCs/>
                <w:iCs/>
                <w:color w:val="auto"/>
                <w:sz w:val="20"/>
                <w:szCs w:val="20"/>
              </w:rPr>
              <w:t>Obra:</w:t>
            </w:r>
            <w:r>
              <w:rPr>
                <w:bCs/>
                <w:iCs/>
                <w:color w:val="auto"/>
                <w:sz w:val="20"/>
                <w:szCs w:val="20"/>
              </w:rPr>
              <w:t xml:space="preserve"> [indicar as Obra]</w:t>
            </w:r>
          </w:p>
        </w:tc>
      </w:tr>
    </w:tbl>
    <w:p w14:paraId="557E0EAF">
      <w:pPr>
        <w:spacing w:before="120" w:after="120"/>
        <w:rPr>
          <w:i/>
          <w:iCs/>
          <w:color w:val="auto"/>
          <w:sz w:val="20"/>
          <w:szCs w:val="20"/>
          <w:highlight w:val="yellow"/>
        </w:rPr>
      </w:pPr>
      <w:r>
        <w:rPr>
          <w:i/>
          <w:iCs/>
          <w:color w:val="auto"/>
          <w:sz w:val="20"/>
          <w:szCs w:val="20"/>
          <w:highlight w:val="yellow"/>
        </w:rPr>
        <w:t>[este modelo, devidamente preenchido (sem os preços, os quais serão preenchidos pelos Concorrentes), deverá ser incluído no edital a ser distribuído aos Concorrentes.]</w:t>
      </w:r>
    </w:p>
    <w:p w14:paraId="6A58213D">
      <w:pPr>
        <w:rPr>
          <w:i/>
          <w:iCs/>
          <w:color w:val="auto"/>
          <w:sz w:val="20"/>
          <w:szCs w:val="20"/>
          <w:highlight w:val="yellow"/>
        </w:rPr>
      </w:pPr>
      <w:r>
        <w:rPr>
          <w:i/>
          <w:iCs/>
          <w:color w:val="auto"/>
          <w:sz w:val="20"/>
          <w:szCs w:val="20"/>
          <w:highlight w:val="yellow"/>
        </w:rPr>
        <w:t>[deverá ser utilizado o modelo de cronograma de atividade (físico-financeiro) fornecido por meio eletrônico pelo Contratante]</w:t>
      </w:r>
    </w:p>
    <w:p w14:paraId="60AE839C">
      <w:pPr>
        <w:rPr>
          <w:i/>
          <w:iCs/>
          <w:color w:val="auto"/>
          <w:sz w:val="20"/>
          <w:szCs w:val="20"/>
        </w:rPr>
      </w:pPr>
      <w:r>
        <w:rPr>
          <w:i/>
          <w:iCs/>
          <w:color w:val="auto"/>
          <w:sz w:val="20"/>
          <w:szCs w:val="20"/>
          <w:highlight w:val="yellow"/>
        </w:rPr>
        <w:t>[um exemplo é dado a seguir. Adaptar]</w:t>
      </w:r>
    </w:p>
    <w:tbl>
      <w:tblPr>
        <w:tblStyle w:val="12"/>
        <w:tblW w:w="14042"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6"/>
        <w:gridCol w:w="830"/>
        <w:gridCol w:w="1218"/>
        <w:gridCol w:w="1217"/>
        <w:gridCol w:w="1248"/>
        <w:gridCol w:w="1218"/>
        <w:gridCol w:w="1218"/>
        <w:gridCol w:w="1217"/>
        <w:gridCol w:w="1218"/>
        <w:gridCol w:w="1218"/>
        <w:gridCol w:w="1224"/>
      </w:tblGrid>
      <w:tr w14:paraId="2FA8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0" w:hRule="atLeast"/>
          <w:tblHeader/>
        </w:trPr>
        <w:tc>
          <w:tcPr>
            <w:tcW w:w="3046" w:type="dxa"/>
            <w:gridSpan w:val="2"/>
            <w:vMerge w:val="restart"/>
            <w:vAlign w:val="center"/>
          </w:tcPr>
          <w:p w14:paraId="5C4389CC">
            <w:pPr>
              <w:spacing w:before="60" w:after="60"/>
              <w:rPr>
                <w:b/>
                <w:bCs/>
                <w:i/>
                <w:iCs/>
                <w:color w:val="auto"/>
                <w:sz w:val="20"/>
                <w:szCs w:val="20"/>
              </w:rPr>
            </w:pPr>
            <w:r>
              <w:rPr>
                <w:b/>
                <w:bCs/>
                <w:iCs/>
                <w:color w:val="auto"/>
                <w:sz w:val="20"/>
                <w:szCs w:val="20"/>
              </w:rPr>
              <w:t>GRUPOS DE SERVIÇOS/ITEM</w:t>
            </w:r>
          </w:p>
        </w:tc>
        <w:tc>
          <w:tcPr>
            <w:tcW w:w="10996" w:type="dxa"/>
            <w:gridSpan w:val="9"/>
            <w:vAlign w:val="center"/>
          </w:tcPr>
          <w:p w14:paraId="5D0264E3">
            <w:pPr>
              <w:spacing w:before="60" w:after="60"/>
              <w:jc w:val="center"/>
              <w:rPr>
                <w:b/>
                <w:bCs/>
                <w:i/>
                <w:iCs/>
                <w:color w:val="auto"/>
                <w:sz w:val="20"/>
                <w:szCs w:val="20"/>
              </w:rPr>
            </w:pPr>
            <w:r>
              <w:rPr>
                <w:b/>
                <w:bCs/>
                <w:iCs/>
                <w:color w:val="auto"/>
                <w:sz w:val="20"/>
                <w:szCs w:val="20"/>
              </w:rPr>
              <w:t>MESES</w:t>
            </w:r>
          </w:p>
        </w:tc>
      </w:tr>
      <w:tr w14:paraId="07EA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blHeader/>
        </w:trPr>
        <w:tc>
          <w:tcPr>
            <w:tcW w:w="3046" w:type="dxa"/>
            <w:gridSpan w:val="2"/>
            <w:vMerge w:val="continue"/>
            <w:vAlign w:val="center"/>
          </w:tcPr>
          <w:p w14:paraId="297AA22E">
            <w:pPr>
              <w:spacing w:before="60" w:after="60"/>
              <w:rPr>
                <w:b/>
                <w:bCs/>
                <w:iCs/>
                <w:color w:val="auto"/>
                <w:sz w:val="20"/>
                <w:szCs w:val="20"/>
              </w:rPr>
            </w:pPr>
          </w:p>
        </w:tc>
        <w:tc>
          <w:tcPr>
            <w:tcW w:w="1218" w:type="dxa"/>
            <w:vAlign w:val="center"/>
          </w:tcPr>
          <w:p w14:paraId="72F5A246">
            <w:pPr>
              <w:spacing w:before="60" w:after="60"/>
              <w:jc w:val="center"/>
              <w:rPr>
                <w:b/>
                <w:bCs/>
                <w:i/>
                <w:iCs/>
                <w:color w:val="auto"/>
                <w:sz w:val="20"/>
                <w:szCs w:val="20"/>
              </w:rPr>
            </w:pPr>
            <w:r>
              <w:rPr>
                <w:b/>
                <w:bCs/>
                <w:iCs/>
                <w:color w:val="auto"/>
                <w:sz w:val="20"/>
                <w:szCs w:val="20"/>
              </w:rPr>
              <w:t>1</w:t>
            </w:r>
          </w:p>
        </w:tc>
        <w:tc>
          <w:tcPr>
            <w:tcW w:w="1217" w:type="dxa"/>
            <w:vAlign w:val="center"/>
          </w:tcPr>
          <w:p w14:paraId="2C3872AB">
            <w:pPr>
              <w:spacing w:before="60" w:after="60"/>
              <w:jc w:val="center"/>
              <w:rPr>
                <w:b/>
                <w:bCs/>
                <w:i/>
                <w:iCs/>
                <w:color w:val="auto"/>
                <w:sz w:val="20"/>
                <w:szCs w:val="20"/>
              </w:rPr>
            </w:pPr>
            <w:r>
              <w:rPr>
                <w:b/>
                <w:bCs/>
                <w:iCs/>
                <w:color w:val="auto"/>
                <w:sz w:val="20"/>
                <w:szCs w:val="20"/>
              </w:rPr>
              <w:t>2</w:t>
            </w:r>
          </w:p>
        </w:tc>
        <w:tc>
          <w:tcPr>
            <w:tcW w:w="1248" w:type="dxa"/>
            <w:vAlign w:val="center"/>
          </w:tcPr>
          <w:p w14:paraId="36FE4C2A">
            <w:pPr>
              <w:spacing w:before="60" w:after="60"/>
              <w:jc w:val="center"/>
              <w:rPr>
                <w:b/>
                <w:bCs/>
                <w:i/>
                <w:iCs/>
                <w:color w:val="auto"/>
                <w:sz w:val="20"/>
                <w:szCs w:val="20"/>
              </w:rPr>
            </w:pPr>
            <w:r>
              <w:rPr>
                <w:b/>
                <w:bCs/>
                <w:iCs/>
                <w:color w:val="auto"/>
                <w:sz w:val="20"/>
                <w:szCs w:val="20"/>
              </w:rPr>
              <w:t>3</w:t>
            </w:r>
          </w:p>
        </w:tc>
        <w:tc>
          <w:tcPr>
            <w:tcW w:w="1218" w:type="dxa"/>
            <w:vAlign w:val="center"/>
          </w:tcPr>
          <w:p w14:paraId="12C470AA">
            <w:pPr>
              <w:spacing w:before="60" w:after="60"/>
              <w:jc w:val="center"/>
              <w:rPr>
                <w:b/>
                <w:bCs/>
                <w:i/>
                <w:iCs/>
                <w:color w:val="auto"/>
                <w:sz w:val="20"/>
                <w:szCs w:val="20"/>
              </w:rPr>
            </w:pPr>
            <w:r>
              <w:rPr>
                <w:b/>
                <w:bCs/>
                <w:iCs/>
                <w:color w:val="auto"/>
                <w:sz w:val="20"/>
                <w:szCs w:val="20"/>
              </w:rPr>
              <w:t>...</w:t>
            </w:r>
          </w:p>
        </w:tc>
        <w:tc>
          <w:tcPr>
            <w:tcW w:w="1218" w:type="dxa"/>
            <w:vAlign w:val="center"/>
          </w:tcPr>
          <w:p w14:paraId="4469434D">
            <w:pPr>
              <w:spacing w:before="60" w:after="60"/>
              <w:jc w:val="center"/>
              <w:rPr>
                <w:b/>
                <w:bCs/>
                <w:i/>
                <w:iCs/>
                <w:color w:val="auto"/>
                <w:sz w:val="20"/>
                <w:szCs w:val="20"/>
              </w:rPr>
            </w:pPr>
            <w:r>
              <w:rPr>
                <w:b/>
                <w:bCs/>
                <w:iCs/>
                <w:color w:val="auto"/>
                <w:sz w:val="20"/>
                <w:szCs w:val="20"/>
              </w:rPr>
              <w:t>...</w:t>
            </w:r>
          </w:p>
        </w:tc>
        <w:tc>
          <w:tcPr>
            <w:tcW w:w="1217" w:type="dxa"/>
            <w:vAlign w:val="center"/>
          </w:tcPr>
          <w:p w14:paraId="6A4CE42F">
            <w:pPr>
              <w:spacing w:before="60" w:after="60"/>
              <w:jc w:val="center"/>
              <w:rPr>
                <w:b/>
                <w:bCs/>
                <w:i/>
                <w:iCs/>
                <w:color w:val="auto"/>
                <w:sz w:val="20"/>
                <w:szCs w:val="20"/>
              </w:rPr>
            </w:pPr>
            <w:r>
              <w:rPr>
                <w:b/>
                <w:bCs/>
                <w:iCs/>
                <w:color w:val="auto"/>
                <w:sz w:val="20"/>
                <w:szCs w:val="20"/>
              </w:rPr>
              <w:t>...</w:t>
            </w:r>
          </w:p>
        </w:tc>
        <w:tc>
          <w:tcPr>
            <w:tcW w:w="1218" w:type="dxa"/>
            <w:vAlign w:val="center"/>
          </w:tcPr>
          <w:p w14:paraId="233521D6">
            <w:pPr>
              <w:spacing w:before="60" w:after="60"/>
              <w:jc w:val="center"/>
              <w:rPr>
                <w:b/>
                <w:bCs/>
                <w:i/>
                <w:iCs/>
                <w:color w:val="auto"/>
                <w:sz w:val="20"/>
                <w:szCs w:val="20"/>
              </w:rPr>
            </w:pPr>
            <w:r>
              <w:rPr>
                <w:b/>
                <w:bCs/>
                <w:iCs/>
                <w:color w:val="auto"/>
                <w:sz w:val="20"/>
                <w:szCs w:val="20"/>
              </w:rPr>
              <w:t>...</w:t>
            </w:r>
          </w:p>
        </w:tc>
        <w:tc>
          <w:tcPr>
            <w:tcW w:w="1218" w:type="dxa"/>
            <w:vAlign w:val="center"/>
          </w:tcPr>
          <w:p w14:paraId="1422BC47">
            <w:pPr>
              <w:spacing w:before="60" w:after="60"/>
              <w:jc w:val="center"/>
              <w:rPr>
                <w:b/>
                <w:bCs/>
                <w:i/>
                <w:iCs/>
                <w:color w:val="auto"/>
                <w:sz w:val="20"/>
                <w:szCs w:val="20"/>
              </w:rPr>
            </w:pPr>
            <w:r>
              <w:rPr>
                <w:b/>
                <w:bCs/>
                <w:iCs/>
                <w:color w:val="auto"/>
                <w:sz w:val="20"/>
                <w:szCs w:val="20"/>
              </w:rPr>
              <w:t>...</w:t>
            </w:r>
          </w:p>
        </w:tc>
        <w:tc>
          <w:tcPr>
            <w:tcW w:w="1224" w:type="dxa"/>
            <w:vAlign w:val="center"/>
          </w:tcPr>
          <w:p w14:paraId="3B329C1F">
            <w:pPr>
              <w:spacing w:before="60" w:after="60"/>
              <w:jc w:val="center"/>
              <w:rPr>
                <w:b/>
                <w:bCs/>
                <w:i/>
                <w:iCs/>
                <w:color w:val="auto"/>
                <w:sz w:val="20"/>
                <w:szCs w:val="20"/>
              </w:rPr>
            </w:pPr>
            <w:r>
              <w:rPr>
                <w:b/>
                <w:bCs/>
                <w:iCs/>
                <w:color w:val="auto"/>
                <w:sz w:val="20"/>
                <w:szCs w:val="20"/>
              </w:rPr>
              <w:t>...</w:t>
            </w:r>
          </w:p>
        </w:tc>
      </w:tr>
      <w:tr w14:paraId="0824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1" w:hRule="atLeast"/>
        </w:trPr>
        <w:tc>
          <w:tcPr>
            <w:tcW w:w="3046" w:type="dxa"/>
            <w:gridSpan w:val="2"/>
            <w:vMerge w:val="restart"/>
            <w:vAlign w:val="center"/>
          </w:tcPr>
          <w:p w14:paraId="38F8ED81">
            <w:pPr>
              <w:rPr>
                <w:bCs/>
                <w:i/>
                <w:iCs/>
                <w:color w:val="auto"/>
                <w:sz w:val="20"/>
                <w:szCs w:val="20"/>
              </w:rPr>
            </w:pPr>
          </w:p>
        </w:tc>
        <w:tc>
          <w:tcPr>
            <w:tcW w:w="1218" w:type="dxa"/>
            <w:vAlign w:val="center"/>
          </w:tcPr>
          <w:p w14:paraId="4C516E4A">
            <w:pPr>
              <w:rPr>
                <w:bCs/>
                <w:i/>
                <w:iCs/>
                <w:color w:val="auto"/>
                <w:sz w:val="20"/>
                <w:szCs w:val="20"/>
              </w:rPr>
            </w:pPr>
            <w:r>
              <w:rPr>
                <w:bCs/>
                <w:i/>
                <w:iCs/>
                <w:color w:val="auto"/>
                <w:sz w:val="20"/>
                <w:szCs w:val="20"/>
              </w:rPr>
              <w:t>[indicar %]</w:t>
            </w:r>
          </w:p>
        </w:tc>
        <w:tc>
          <w:tcPr>
            <w:tcW w:w="1217" w:type="dxa"/>
            <w:vAlign w:val="center"/>
          </w:tcPr>
          <w:p w14:paraId="03DC496A">
            <w:pPr>
              <w:rPr>
                <w:bCs/>
                <w:iCs/>
                <w:color w:val="auto"/>
                <w:sz w:val="20"/>
                <w:szCs w:val="20"/>
              </w:rPr>
            </w:pPr>
          </w:p>
        </w:tc>
        <w:tc>
          <w:tcPr>
            <w:tcW w:w="1248" w:type="dxa"/>
            <w:vAlign w:val="center"/>
          </w:tcPr>
          <w:p w14:paraId="2EBC3E8A">
            <w:pPr>
              <w:rPr>
                <w:bCs/>
                <w:iCs/>
                <w:color w:val="auto"/>
                <w:sz w:val="20"/>
                <w:szCs w:val="20"/>
              </w:rPr>
            </w:pPr>
          </w:p>
        </w:tc>
        <w:tc>
          <w:tcPr>
            <w:tcW w:w="1218" w:type="dxa"/>
            <w:vAlign w:val="center"/>
          </w:tcPr>
          <w:p w14:paraId="5C0A5081">
            <w:pPr>
              <w:rPr>
                <w:bCs/>
                <w:iCs/>
                <w:color w:val="auto"/>
                <w:sz w:val="20"/>
                <w:szCs w:val="20"/>
              </w:rPr>
            </w:pPr>
          </w:p>
        </w:tc>
        <w:tc>
          <w:tcPr>
            <w:tcW w:w="1218" w:type="dxa"/>
            <w:vAlign w:val="center"/>
          </w:tcPr>
          <w:p w14:paraId="4131210E">
            <w:pPr>
              <w:rPr>
                <w:bCs/>
                <w:iCs/>
                <w:color w:val="auto"/>
                <w:sz w:val="20"/>
                <w:szCs w:val="20"/>
              </w:rPr>
            </w:pPr>
          </w:p>
        </w:tc>
        <w:tc>
          <w:tcPr>
            <w:tcW w:w="1217" w:type="dxa"/>
            <w:vAlign w:val="center"/>
          </w:tcPr>
          <w:p w14:paraId="56773306">
            <w:pPr>
              <w:rPr>
                <w:bCs/>
                <w:iCs/>
                <w:color w:val="auto"/>
                <w:sz w:val="20"/>
                <w:szCs w:val="20"/>
              </w:rPr>
            </w:pPr>
          </w:p>
        </w:tc>
        <w:tc>
          <w:tcPr>
            <w:tcW w:w="1218" w:type="dxa"/>
            <w:vAlign w:val="center"/>
          </w:tcPr>
          <w:p w14:paraId="7BC1C0A0">
            <w:pPr>
              <w:rPr>
                <w:bCs/>
                <w:iCs/>
                <w:color w:val="auto"/>
                <w:sz w:val="20"/>
                <w:szCs w:val="20"/>
              </w:rPr>
            </w:pPr>
          </w:p>
        </w:tc>
        <w:tc>
          <w:tcPr>
            <w:tcW w:w="1218" w:type="dxa"/>
            <w:vAlign w:val="center"/>
          </w:tcPr>
          <w:p w14:paraId="195A99E0">
            <w:pPr>
              <w:rPr>
                <w:bCs/>
                <w:iCs/>
                <w:color w:val="auto"/>
                <w:sz w:val="20"/>
                <w:szCs w:val="20"/>
              </w:rPr>
            </w:pPr>
          </w:p>
        </w:tc>
        <w:tc>
          <w:tcPr>
            <w:tcW w:w="1224" w:type="dxa"/>
            <w:vAlign w:val="center"/>
          </w:tcPr>
          <w:p w14:paraId="41467924">
            <w:pPr>
              <w:rPr>
                <w:bCs/>
                <w:iCs/>
                <w:color w:val="auto"/>
                <w:sz w:val="20"/>
                <w:szCs w:val="20"/>
              </w:rPr>
            </w:pPr>
          </w:p>
        </w:tc>
      </w:tr>
      <w:tr w14:paraId="032B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78" w:hRule="atLeast"/>
        </w:trPr>
        <w:tc>
          <w:tcPr>
            <w:tcW w:w="3046" w:type="dxa"/>
            <w:gridSpan w:val="2"/>
            <w:vMerge w:val="continue"/>
            <w:vAlign w:val="center"/>
          </w:tcPr>
          <w:p w14:paraId="07290152">
            <w:pPr>
              <w:rPr>
                <w:bCs/>
                <w:iCs/>
                <w:color w:val="auto"/>
                <w:sz w:val="20"/>
                <w:szCs w:val="20"/>
              </w:rPr>
            </w:pPr>
          </w:p>
        </w:tc>
        <w:tc>
          <w:tcPr>
            <w:tcW w:w="1218" w:type="dxa"/>
            <w:vAlign w:val="center"/>
          </w:tcPr>
          <w:p w14:paraId="2D12EB06">
            <w:pPr>
              <w:rPr>
                <w:bCs/>
                <w:i/>
                <w:iCs/>
                <w:color w:val="auto"/>
                <w:sz w:val="20"/>
                <w:szCs w:val="20"/>
              </w:rPr>
            </w:pPr>
            <w:r>
              <w:rPr>
                <w:bCs/>
                <w:i/>
                <w:iCs/>
                <w:color w:val="auto"/>
                <w:sz w:val="20"/>
                <w:szCs w:val="20"/>
              </w:rPr>
              <w:t>[indicar valor R$]</w:t>
            </w:r>
          </w:p>
        </w:tc>
        <w:tc>
          <w:tcPr>
            <w:tcW w:w="1217" w:type="dxa"/>
            <w:vAlign w:val="center"/>
          </w:tcPr>
          <w:p w14:paraId="4C7C3A01">
            <w:pPr>
              <w:rPr>
                <w:bCs/>
                <w:iCs/>
                <w:color w:val="auto"/>
                <w:sz w:val="20"/>
                <w:szCs w:val="20"/>
              </w:rPr>
            </w:pPr>
          </w:p>
        </w:tc>
        <w:tc>
          <w:tcPr>
            <w:tcW w:w="1248" w:type="dxa"/>
            <w:vAlign w:val="center"/>
          </w:tcPr>
          <w:p w14:paraId="7FE054BB">
            <w:pPr>
              <w:rPr>
                <w:bCs/>
                <w:iCs/>
                <w:color w:val="auto"/>
                <w:sz w:val="20"/>
                <w:szCs w:val="20"/>
              </w:rPr>
            </w:pPr>
          </w:p>
        </w:tc>
        <w:tc>
          <w:tcPr>
            <w:tcW w:w="1218" w:type="dxa"/>
            <w:vAlign w:val="center"/>
          </w:tcPr>
          <w:p w14:paraId="041B35AB">
            <w:pPr>
              <w:rPr>
                <w:bCs/>
                <w:iCs/>
                <w:color w:val="auto"/>
                <w:sz w:val="20"/>
                <w:szCs w:val="20"/>
              </w:rPr>
            </w:pPr>
          </w:p>
        </w:tc>
        <w:tc>
          <w:tcPr>
            <w:tcW w:w="1218" w:type="dxa"/>
            <w:vAlign w:val="center"/>
          </w:tcPr>
          <w:p w14:paraId="00AC4F15">
            <w:pPr>
              <w:rPr>
                <w:bCs/>
                <w:iCs/>
                <w:color w:val="auto"/>
                <w:sz w:val="20"/>
                <w:szCs w:val="20"/>
              </w:rPr>
            </w:pPr>
          </w:p>
        </w:tc>
        <w:tc>
          <w:tcPr>
            <w:tcW w:w="1217" w:type="dxa"/>
            <w:vAlign w:val="center"/>
          </w:tcPr>
          <w:p w14:paraId="27B69212">
            <w:pPr>
              <w:rPr>
                <w:bCs/>
                <w:iCs/>
                <w:color w:val="auto"/>
                <w:sz w:val="20"/>
                <w:szCs w:val="20"/>
              </w:rPr>
            </w:pPr>
          </w:p>
        </w:tc>
        <w:tc>
          <w:tcPr>
            <w:tcW w:w="1218" w:type="dxa"/>
            <w:vAlign w:val="center"/>
          </w:tcPr>
          <w:p w14:paraId="609AE3B7">
            <w:pPr>
              <w:rPr>
                <w:bCs/>
                <w:iCs/>
                <w:color w:val="auto"/>
                <w:sz w:val="20"/>
                <w:szCs w:val="20"/>
              </w:rPr>
            </w:pPr>
          </w:p>
        </w:tc>
        <w:tc>
          <w:tcPr>
            <w:tcW w:w="1218" w:type="dxa"/>
            <w:vAlign w:val="center"/>
          </w:tcPr>
          <w:p w14:paraId="47857529">
            <w:pPr>
              <w:rPr>
                <w:bCs/>
                <w:iCs/>
                <w:color w:val="auto"/>
                <w:sz w:val="20"/>
                <w:szCs w:val="20"/>
              </w:rPr>
            </w:pPr>
          </w:p>
        </w:tc>
        <w:tc>
          <w:tcPr>
            <w:tcW w:w="1224" w:type="dxa"/>
            <w:vAlign w:val="center"/>
          </w:tcPr>
          <w:p w14:paraId="090748E4">
            <w:pPr>
              <w:rPr>
                <w:bCs/>
                <w:iCs/>
                <w:color w:val="auto"/>
                <w:sz w:val="20"/>
                <w:szCs w:val="20"/>
              </w:rPr>
            </w:pPr>
          </w:p>
        </w:tc>
      </w:tr>
      <w:tr w14:paraId="5B94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60" w:hRule="atLeast"/>
        </w:trPr>
        <w:tc>
          <w:tcPr>
            <w:tcW w:w="3046" w:type="dxa"/>
            <w:gridSpan w:val="2"/>
            <w:vMerge w:val="restart"/>
            <w:vAlign w:val="center"/>
          </w:tcPr>
          <w:p w14:paraId="7B616F9F">
            <w:pPr>
              <w:rPr>
                <w:bCs/>
                <w:i/>
                <w:iCs/>
                <w:color w:val="auto"/>
                <w:sz w:val="20"/>
                <w:szCs w:val="20"/>
              </w:rPr>
            </w:pPr>
          </w:p>
        </w:tc>
        <w:tc>
          <w:tcPr>
            <w:tcW w:w="1218" w:type="dxa"/>
            <w:vAlign w:val="center"/>
          </w:tcPr>
          <w:p w14:paraId="3A69AADC">
            <w:pPr>
              <w:rPr>
                <w:bCs/>
                <w:iCs/>
                <w:color w:val="auto"/>
                <w:sz w:val="20"/>
                <w:szCs w:val="20"/>
              </w:rPr>
            </w:pPr>
          </w:p>
        </w:tc>
        <w:tc>
          <w:tcPr>
            <w:tcW w:w="1217" w:type="dxa"/>
            <w:vAlign w:val="center"/>
          </w:tcPr>
          <w:p w14:paraId="3D8D180C">
            <w:pPr>
              <w:rPr>
                <w:bCs/>
                <w:iCs/>
                <w:color w:val="auto"/>
                <w:sz w:val="20"/>
                <w:szCs w:val="20"/>
              </w:rPr>
            </w:pPr>
          </w:p>
        </w:tc>
        <w:tc>
          <w:tcPr>
            <w:tcW w:w="1248" w:type="dxa"/>
            <w:vAlign w:val="center"/>
          </w:tcPr>
          <w:p w14:paraId="606C4B49">
            <w:pPr>
              <w:rPr>
                <w:bCs/>
                <w:iCs/>
                <w:color w:val="auto"/>
                <w:sz w:val="20"/>
                <w:szCs w:val="20"/>
              </w:rPr>
            </w:pPr>
          </w:p>
        </w:tc>
        <w:tc>
          <w:tcPr>
            <w:tcW w:w="1218" w:type="dxa"/>
            <w:vAlign w:val="center"/>
          </w:tcPr>
          <w:p w14:paraId="37917E5D">
            <w:pPr>
              <w:rPr>
                <w:bCs/>
                <w:iCs/>
                <w:color w:val="auto"/>
                <w:sz w:val="20"/>
                <w:szCs w:val="20"/>
              </w:rPr>
            </w:pPr>
          </w:p>
        </w:tc>
        <w:tc>
          <w:tcPr>
            <w:tcW w:w="1218" w:type="dxa"/>
            <w:vAlign w:val="center"/>
          </w:tcPr>
          <w:p w14:paraId="7476BA67">
            <w:pPr>
              <w:rPr>
                <w:bCs/>
                <w:iCs/>
                <w:color w:val="auto"/>
                <w:sz w:val="20"/>
                <w:szCs w:val="20"/>
              </w:rPr>
            </w:pPr>
          </w:p>
        </w:tc>
        <w:tc>
          <w:tcPr>
            <w:tcW w:w="1217" w:type="dxa"/>
            <w:vAlign w:val="center"/>
          </w:tcPr>
          <w:p w14:paraId="012A50AA">
            <w:pPr>
              <w:rPr>
                <w:bCs/>
                <w:iCs/>
                <w:color w:val="auto"/>
                <w:sz w:val="20"/>
                <w:szCs w:val="20"/>
              </w:rPr>
            </w:pPr>
          </w:p>
        </w:tc>
        <w:tc>
          <w:tcPr>
            <w:tcW w:w="1218" w:type="dxa"/>
            <w:vAlign w:val="center"/>
          </w:tcPr>
          <w:p w14:paraId="77D62678">
            <w:pPr>
              <w:rPr>
                <w:bCs/>
                <w:iCs/>
                <w:color w:val="auto"/>
                <w:sz w:val="20"/>
                <w:szCs w:val="20"/>
              </w:rPr>
            </w:pPr>
          </w:p>
        </w:tc>
        <w:tc>
          <w:tcPr>
            <w:tcW w:w="1218" w:type="dxa"/>
            <w:vAlign w:val="center"/>
          </w:tcPr>
          <w:p w14:paraId="537A1296">
            <w:pPr>
              <w:rPr>
                <w:bCs/>
                <w:iCs/>
                <w:color w:val="auto"/>
                <w:sz w:val="20"/>
                <w:szCs w:val="20"/>
              </w:rPr>
            </w:pPr>
          </w:p>
        </w:tc>
        <w:tc>
          <w:tcPr>
            <w:tcW w:w="1224" w:type="dxa"/>
            <w:vAlign w:val="center"/>
          </w:tcPr>
          <w:p w14:paraId="45BA8621">
            <w:pPr>
              <w:rPr>
                <w:bCs/>
                <w:iCs/>
                <w:color w:val="auto"/>
                <w:sz w:val="20"/>
                <w:szCs w:val="20"/>
              </w:rPr>
            </w:pPr>
          </w:p>
        </w:tc>
      </w:tr>
      <w:tr w14:paraId="637FE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1" w:hRule="atLeast"/>
        </w:trPr>
        <w:tc>
          <w:tcPr>
            <w:tcW w:w="3046" w:type="dxa"/>
            <w:gridSpan w:val="2"/>
            <w:vMerge w:val="continue"/>
            <w:vAlign w:val="center"/>
          </w:tcPr>
          <w:p w14:paraId="4EBD71F1">
            <w:pPr>
              <w:rPr>
                <w:bCs/>
                <w:iCs/>
                <w:color w:val="auto"/>
                <w:sz w:val="20"/>
                <w:szCs w:val="20"/>
              </w:rPr>
            </w:pPr>
          </w:p>
        </w:tc>
        <w:tc>
          <w:tcPr>
            <w:tcW w:w="1218" w:type="dxa"/>
            <w:vAlign w:val="center"/>
          </w:tcPr>
          <w:p w14:paraId="566D69A9">
            <w:pPr>
              <w:rPr>
                <w:bCs/>
                <w:iCs/>
                <w:color w:val="auto"/>
                <w:sz w:val="20"/>
                <w:szCs w:val="20"/>
              </w:rPr>
            </w:pPr>
          </w:p>
        </w:tc>
        <w:tc>
          <w:tcPr>
            <w:tcW w:w="1217" w:type="dxa"/>
            <w:vAlign w:val="center"/>
          </w:tcPr>
          <w:p w14:paraId="0F9417A7">
            <w:pPr>
              <w:rPr>
                <w:bCs/>
                <w:iCs/>
                <w:color w:val="auto"/>
                <w:sz w:val="20"/>
                <w:szCs w:val="20"/>
              </w:rPr>
            </w:pPr>
          </w:p>
        </w:tc>
        <w:tc>
          <w:tcPr>
            <w:tcW w:w="1248" w:type="dxa"/>
            <w:vAlign w:val="center"/>
          </w:tcPr>
          <w:p w14:paraId="364549A3">
            <w:pPr>
              <w:rPr>
                <w:bCs/>
                <w:iCs/>
                <w:color w:val="auto"/>
                <w:sz w:val="20"/>
                <w:szCs w:val="20"/>
              </w:rPr>
            </w:pPr>
          </w:p>
        </w:tc>
        <w:tc>
          <w:tcPr>
            <w:tcW w:w="1218" w:type="dxa"/>
            <w:vAlign w:val="center"/>
          </w:tcPr>
          <w:p w14:paraId="2097DAF3">
            <w:pPr>
              <w:rPr>
                <w:bCs/>
                <w:iCs/>
                <w:color w:val="auto"/>
                <w:sz w:val="20"/>
                <w:szCs w:val="20"/>
              </w:rPr>
            </w:pPr>
          </w:p>
        </w:tc>
        <w:tc>
          <w:tcPr>
            <w:tcW w:w="1218" w:type="dxa"/>
            <w:vAlign w:val="center"/>
          </w:tcPr>
          <w:p w14:paraId="75BBF3E0">
            <w:pPr>
              <w:rPr>
                <w:bCs/>
                <w:iCs/>
                <w:color w:val="auto"/>
                <w:sz w:val="20"/>
                <w:szCs w:val="20"/>
              </w:rPr>
            </w:pPr>
          </w:p>
        </w:tc>
        <w:tc>
          <w:tcPr>
            <w:tcW w:w="1217" w:type="dxa"/>
            <w:vAlign w:val="center"/>
          </w:tcPr>
          <w:p w14:paraId="38DF94AF">
            <w:pPr>
              <w:rPr>
                <w:bCs/>
                <w:iCs/>
                <w:color w:val="auto"/>
                <w:sz w:val="20"/>
                <w:szCs w:val="20"/>
              </w:rPr>
            </w:pPr>
          </w:p>
        </w:tc>
        <w:tc>
          <w:tcPr>
            <w:tcW w:w="1218" w:type="dxa"/>
            <w:vAlign w:val="center"/>
          </w:tcPr>
          <w:p w14:paraId="590BBE18">
            <w:pPr>
              <w:rPr>
                <w:bCs/>
                <w:iCs/>
                <w:color w:val="auto"/>
                <w:sz w:val="20"/>
                <w:szCs w:val="20"/>
              </w:rPr>
            </w:pPr>
          </w:p>
        </w:tc>
        <w:tc>
          <w:tcPr>
            <w:tcW w:w="1218" w:type="dxa"/>
            <w:vAlign w:val="center"/>
          </w:tcPr>
          <w:p w14:paraId="24058409">
            <w:pPr>
              <w:rPr>
                <w:bCs/>
                <w:iCs/>
                <w:color w:val="auto"/>
                <w:sz w:val="20"/>
                <w:szCs w:val="20"/>
              </w:rPr>
            </w:pPr>
          </w:p>
        </w:tc>
        <w:tc>
          <w:tcPr>
            <w:tcW w:w="1224" w:type="dxa"/>
            <w:vAlign w:val="center"/>
          </w:tcPr>
          <w:p w14:paraId="12A01067">
            <w:pPr>
              <w:rPr>
                <w:bCs/>
                <w:iCs/>
                <w:color w:val="auto"/>
                <w:sz w:val="20"/>
                <w:szCs w:val="20"/>
              </w:rPr>
            </w:pPr>
          </w:p>
        </w:tc>
      </w:tr>
      <w:tr w14:paraId="1437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00" w:hRule="atLeast"/>
        </w:trPr>
        <w:tc>
          <w:tcPr>
            <w:tcW w:w="3046" w:type="dxa"/>
            <w:gridSpan w:val="2"/>
            <w:vMerge w:val="restart"/>
            <w:vAlign w:val="center"/>
          </w:tcPr>
          <w:p w14:paraId="06A855D9">
            <w:pPr>
              <w:rPr>
                <w:bCs/>
                <w:i/>
                <w:iCs/>
                <w:color w:val="auto"/>
                <w:sz w:val="20"/>
                <w:szCs w:val="20"/>
              </w:rPr>
            </w:pPr>
          </w:p>
        </w:tc>
        <w:tc>
          <w:tcPr>
            <w:tcW w:w="1218" w:type="dxa"/>
            <w:vAlign w:val="center"/>
          </w:tcPr>
          <w:p w14:paraId="7C2C0B85">
            <w:pPr>
              <w:rPr>
                <w:bCs/>
                <w:iCs/>
                <w:color w:val="auto"/>
                <w:sz w:val="20"/>
                <w:szCs w:val="20"/>
              </w:rPr>
            </w:pPr>
          </w:p>
        </w:tc>
        <w:tc>
          <w:tcPr>
            <w:tcW w:w="1217" w:type="dxa"/>
            <w:vAlign w:val="center"/>
          </w:tcPr>
          <w:p w14:paraId="6401D591">
            <w:pPr>
              <w:rPr>
                <w:bCs/>
                <w:iCs/>
                <w:color w:val="auto"/>
                <w:sz w:val="20"/>
                <w:szCs w:val="20"/>
              </w:rPr>
            </w:pPr>
          </w:p>
        </w:tc>
        <w:tc>
          <w:tcPr>
            <w:tcW w:w="1248" w:type="dxa"/>
            <w:vAlign w:val="center"/>
          </w:tcPr>
          <w:p w14:paraId="684E0B37">
            <w:pPr>
              <w:rPr>
                <w:bCs/>
                <w:iCs/>
                <w:color w:val="auto"/>
                <w:sz w:val="20"/>
                <w:szCs w:val="20"/>
              </w:rPr>
            </w:pPr>
          </w:p>
        </w:tc>
        <w:tc>
          <w:tcPr>
            <w:tcW w:w="1218" w:type="dxa"/>
            <w:vAlign w:val="center"/>
          </w:tcPr>
          <w:p w14:paraId="4A772120">
            <w:pPr>
              <w:rPr>
                <w:bCs/>
                <w:iCs/>
                <w:color w:val="auto"/>
                <w:sz w:val="20"/>
                <w:szCs w:val="20"/>
              </w:rPr>
            </w:pPr>
          </w:p>
        </w:tc>
        <w:tc>
          <w:tcPr>
            <w:tcW w:w="1218" w:type="dxa"/>
            <w:vAlign w:val="center"/>
          </w:tcPr>
          <w:p w14:paraId="4C439771">
            <w:pPr>
              <w:rPr>
                <w:bCs/>
                <w:iCs/>
                <w:color w:val="auto"/>
                <w:sz w:val="20"/>
                <w:szCs w:val="20"/>
              </w:rPr>
            </w:pPr>
          </w:p>
        </w:tc>
        <w:tc>
          <w:tcPr>
            <w:tcW w:w="1217" w:type="dxa"/>
            <w:vAlign w:val="center"/>
          </w:tcPr>
          <w:p w14:paraId="2BF9D62B">
            <w:pPr>
              <w:rPr>
                <w:bCs/>
                <w:iCs/>
                <w:color w:val="auto"/>
                <w:sz w:val="20"/>
                <w:szCs w:val="20"/>
              </w:rPr>
            </w:pPr>
          </w:p>
        </w:tc>
        <w:tc>
          <w:tcPr>
            <w:tcW w:w="1218" w:type="dxa"/>
            <w:vAlign w:val="center"/>
          </w:tcPr>
          <w:p w14:paraId="7B9B70D6">
            <w:pPr>
              <w:rPr>
                <w:bCs/>
                <w:iCs/>
                <w:color w:val="auto"/>
                <w:sz w:val="20"/>
                <w:szCs w:val="20"/>
              </w:rPr>
            </w:pPr>
          </w:p>
        </w:tc>
        <w:tc>
          <w:tcPr>
            <w:tcW w:w="1218" w:type="dxa"/>
            <w:vAlign w:val="center"/>
          </w:tcPr>
          <w:p w14:paraId="628DB3A0">
            <w:pPr>
              <w:rPr>
                <w:bCs/>
                <w:iCs/>
                <w:color w:val="auto"/>
                <w:sz w:val="20"/>
                <w:szCs w:val="20"/>
              </w:rPr>
            </w:pPr>
          </w:p>
        </w:tc>
        <w:tc>
          <w:tcPr>
            <w:tcW w:w="1224" w:type="dxa"/>
            <w:vAlign w:val="center"/>
          </w:tcPr>
          <w:p w14:paraId="0378ADDE">
            <w:pPr>
              <w:rPr>
                <w:bCs/>
                <w:iCs/>
                <w:color w:val="auto"/>
                <w:sz w:val="20"/>
                <w:szCs w:val="20"/>
              </w:rPr>
            </w:pPr>
          </w:p>
        </w:tc>
      </w:tr>
      <w:tr w14:paraId="7FB1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0B01BD0E">
            <w:pPr>
              <w:rPr>
                <w:bCs/>
                <w:iCs/>
                <w:color w:val="auto"/>
                <w:sz w:val="20"/>
                <w:szCs w:val="20"/>
              </w:rPr>
            </w:pPr>
          </w:p>
        </w:tc>
        <w:tc>
          <w:tcPr>
            <w:tcW w:w="1218" w:type="dxa"/>
            <w:vAlign w:val="center"/>
          </w:tcPr>
          <w:p w14:paraId="7F181FE5">
            <w:pPr>
              <w:rPr>
                <w:bCs/>
                <w:iCs/>
                <w:color w:val="auto"/>
                <w:sz w:val="20"/>
                <w:szCs w:val="20"/>
              </w:rPr>
            </w:pPr>
          </w:p>
        </w:tc>
        <w:tc>
          <w:tcPr>
            <w:tcW w:w="1217" w:type="dxa"/>
            <w:vAlign w:val="center"/>
          </w:tcPr>
          <w:p w14:paraId="6CD2E5DF">
            <w:pPr>
              <w:rPr>
                <w:bCs/>
                <w:iCs/>
                <w:color w:val="auto"/>
                <w:sz w:val="20"/>
                <w:szCs w:val="20"/>
              </w:rPr>
            </w:pPr>
          </w:p>
        </w:tc>
        <w:tc>
          <w:tcPr>
            <w:tcW w:w="1248" w:type="dxa"/>
            <w:vAlign w:val="center"/>
          </w:tcPr>
          <w:p w14:paraId="0E971A61">
            <w:pPr>
              <w:rPr>
                <w:bCs/>
                <w:iCs/>
                <w:color w:val="auto"/>
                <w:sz w:val="20"/>
                <w:szCs w:val="20"/>
              </w:rPr>
            </w:pPr>
          </w:p>
        </w:tc>
        <w:tc>
          <w:tcPr>
            <w:tcW w:w="1218" w:type="dxa"/>
            <w:vAlign w:val="center"/>
          </w:tcPr>
          <w:p w14:paraId="6CBCFB2F">
            <w:pPr>
              <w:rPr>
                <w:bCs/>
                <w:iCs/>
                <w:color w:val="auto"/>
                <w:sz w:val="20"/>
                <w:szCs w:val="20"/>
              </w:rPr>
            </w:pPr>
          </w:p>
        </w:tc>
        <w:tc>
          <w:tcPr>
            <w:tcW w:w="1218" w:type="dxa"/>
            <w:vAlign w:val="center"/>
          </w:tcPr>
          <w:p w14:paraId="597288B8">
            <w:pPr>
              <w:rPr>
                <w:bCs/>
                <w:iCs/>
                <w:color w:val="auto"/>
                <w:sz w:val="20"/>
                <w:szCs w:val="20"/>
              </w:rPr>
            </w:pPr>
          </w:p>
        </w:tc>
        <w:tc>
          <w:tcPr>
            <w:tcW w:w="1217" w:type="dxa"/>
            <w:vAlign w:val="center"/>
          </w:tcPr>
          <w:p w14:paraId="3FF30BC0">
            <w:pPr>
              <w:rPr>
                <w:bCs/>
                <w:iCs/>
                <w:color w:val="auto"/>
                <w:sz w:val="20"/>
                <w:szCs w:val="20"/>
              </w:rPr>
            </w:pPr>
          </w:p>
        </w:tc>
        <w:tc>
          <w:tcPr>
            <w:tcW w:w="1218" w:type="dxa"/>
            <w:vAlign w:val="center"/>
          </w:tcPr>
          <w:p w14:paraId="08FD58DC">
            <w:pPr>
              <w:rPr>
                <w:bCs/>
                <w:iCs/>
                <w:color w:val="auto"/>
                <w:sz w:val="20"/>
                <w:szCs w:val="20"/>
              </w:rPr>
            </w:pPr>
          </w:p>
        </w:tc>
        <w:tc>
          <w:tcPr>
            <w:tcW w:w="1218" w:type="dxa"/>
            <w:vAlign w:val="center"/>
          </w:tcPr>
          <w:p w14:paraId="36359621">
            <w:pPr>
              <w:rPr>
                <w:bCs/>
                <w:iCs/>
                <w:color w:val="auto"/>
                <w:sz w:val="20"/>
                <w:szCs w:val="20"/>
              </w:rPr>
            </w:pPr>
          </w:p>
        </w:tc>
        <w:tc>
          <w:tcPr>
            <w:tcW w:w="1224" w:type="dxa"/>
            <w:vAlign w:val="center"/>
          </w:tcPr>
          <w:p w14:paraId="4385C3EA">
            <w:pPr>
              <w:rPr>
                <w:bCs/>
                <w:iCs/>
                <w:color w:val="auto"/>
                <w:sz w:val="20"/>
                <w:szCs w:val="20"/>
              </w:rPr>
            </w:pPr>
          </w:p>
        </w:tc>
      </w:tr>
      <w:tr w14:paraId="1AA9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5363EB44">
            <w:pPr>
              <w:rPr>
                <w:bCs/>
                <w:iCs/>
                <w:color w:val="auto"/>
                <w:sz w:val="20"/>
                <w:szCs w:val="20"/>
              </w:rPr>
            </w:pPr>
          </w:p>
        </w:tc>
        <w:tc>
          <w:tcPr>
            <w:tcW w:w="1218" w:type="dxa"/>
            <w:vAlign w:val="center"/>
          </w:tcPr>
          <w:p w14:paraId="15B124E1">
            <w:pPr>
              <w:rPr>
                <w:bCs/>
                <w:iCs/>
                <w:color w:val="auto"/>
                <w:sz w:val="20"/>
                <w:szCs w:val="20"/>
              </w:rPr>
            </w:pPr>
          </w:p>
        </w:tc>
        <w:tc>
          <w:tcPr>
            <w:tcW w:w="1217" w:type="dxa"/>
            <w:vAlign w:val="center"/>
          </w:tcPr>
          <w:p w14:paraId="78DBE96C">
            <w:pPr>
              <w:rPr>
                <w:bCs/>
                <w:iCs/>
                <w:color w:val="auto"/>
                <w:sz w:val="20"/>
                <w:szCs w:val="20"/>
              </w:rPr>
            </w:pPr>
          </w:p>
        </w:tc>
        <w:tc>
          <w:tcPr>
            <w:tcW w:w="1248" w:type="dxa"/>
            <w:vAlign w:val="center"/>
          </w:tcPr>
          <w:p w14:paraId="60AF8BAF">
            <w:pPr>
              <w:rPr>
                <w:bCs/>
                <w:iCs/>
                <w:color w:val="auto"/>
                <w:sz w:val="20"/>
                <w:szCs w:val="20"/>
              </w:rPr>
            </w:pPr>
          </w:p>
        </w:tc>
        <w:tc>
          <w:tcPr>
            <w:tcW w:w="1218" w:type="dxa"/>
            <w:vAlign w:val="center"/>
          </w:tcPr>
          <w:p w14:paraId="41EE2C8E">
            <w:pPr>
              <w:rPr>
                <w:bCs/>
                <w:iCs/>
                <w:color w:val="auto"/>
                <w:sz w:val="20"/>
                <w:szCs w:val="20"/>
              </w:rPr>
            </w:pPr>
          </w:p>
        </w:tc>
        <w:tc>
          <w:tcPr>
            <w:tcW w:w="1218" w:type="dxa"/>
            <w:vAlign w:val="center"/>
          </w:tcPr>
          <w:p w14:paraId="2F9B0775">
            <w:pPr>
              <w:rPr>
                <w:bCs/>
                <w:iCs/>
                <w:color w:val="auto"/>
                <w:sz w:val="20"/>
                <w:szCs w:val="20"/>
              </w:rPr>
            </w:pPr>
          </w:p>
        </w:tc>
        <w:tc>
          <w:tcPr>
            <w:tcW w:w="1217" w:type="dxa"/>
            <w:vAlign w:val="center"/>
          </w:tcPr>
          <w:p w14:paraId="5EA1883F">
            <w:pPr>
              <w:rPr>
                <w:bCs/>
                <w:iCs/>
                <w:color w:val="auto"/>
                <w:sz w:val="20"/>
                <w:szCs w:val="20"/>
              </w:rPr>
            </w:pPr>
          </w:p>
        </w:tc>
        <w:tc>
          <w:tcPr>
            <w:tcW w:w="1218" w:type="dxa"/>
            <w:vAlign w:val="center"/>
          </w:tcPr>
          <w:p w14:paraId="56CDD3D7">
            <w:pPr>
              <w:rPr>
                <w:bCs/>
                <w:iCs/>
                <w:color w:val="auto"/>
                <w:sz w:val="20"/>
                <w:szCs w:val="20"/>
              </w:rPr>
            </w:pPr>
          </w:p>
        </w:tc>
        <w:tc>
          <w:tcPr>
            <w:tcW w:w="1218" w:type="dxa"/>
            <w:vAlign w:val="center"/>
          </w:tcPr>
          <w:p w14:paraId="7F62778F">
            <w:pPr>
              <w:rPr>
                <w:bCs/>
                <w:iCs/>
                <w:color w:val="auto"/>
                <w:sz w:val="20"/>
                <w:szCs w:val="20"/>
              </w:rPr>
            </w:pPr>
          </w:p>
        </w:tc>
        <w:tc>
          <w:tcPr>
            <w:tcW w:w="1224" w:type="dxa"/>
            <w:vAlign w:val="center"/>
          </w:tcPr>
          <w:p w14:paraId="0F753CEA">
            <w:pPr>
              <w:rPr>
                <w:bCs/>
                <w:iCs/>
                <w:color w:val="auto"/>
                <w:sz w:val="20"/>
                <w:szCs w:val="20"/>
              </w:rPr>
            </w:pPr>
          </w:p>
        </w:tc>
      </w:tr>
      <w:tr w14:paraId="42C1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2F9F301D">
            <w:pPr>
              <w:rPr>
                <w:bCs/>
                <w:iCs/>
                <w:color w:val="auto"/>
                <w:sz w:val="20"/>
                <w:szCs w:val="20"/>
              </w:rPr>
            </w:pPr>
          </w:p>
        </w:tc>
        <w:tc>
          <w:tcPr>
            <w:tcW w:w="1218" w:type="dxa"/>
            <w:vAlign w:val="center"/>
          </w:tcPr>
          <w:p w14:paraId="369BF202">
            <w:pPr>
              <w:rPr>
                <w:bCs/>
                <w:iCs/>
                <w:color w:val="auto"/>
                <w:sz w:val="20"/>
                <w:szCs w:val="20"/>
              </w:rPr>
            </w:pPr>
          </w:p>
        </w:tc>
        <w:tc>
          <w:tcPr>
            <w:tcW w:w="1217" w:type="dxa"/>
            <w:vAlign w:val="center"/>
          </w:tcPr>
          <w:p w14:paraId="6735A1C9">
            <w:pPr>
              <w:rPr>
                <w:bCs/>
                <w:iCs/>
                <w:color w:val="auto"/>
                <w:sz w:val="20"/>
                <w:szCs w:val="20"/>
              </w:rPr>
            </w:pPr>
          </w:p>
        </w:tc>
        <w:tc>
          <w:tcPr>
            <w:tcW w:w="1248" w:type="dxa"/>
            <w:vAlign w:val="center"/>
          </w:tcPr>
          <w:p w14:paraId="4982976E">
            <w:pPr>
              <w:rPr>
                <w:bCs/>
                <w:iCs/>
                <w:color w:val="auto"/>
                <w:sz w:val="20"/>
                <w:szCs w:val="20"/>
              </w:rPr>
            </w:pPr>
          </w:p>
        </w:tc>
        <w:tc>
          <w:tcPr>
            <w:tcW w:w="1218" w:type="dxa"/>
            <w:vAlign w:val="center"/>
          </w:tcPr>
          <w:p w14:paraId="5BF4CD2C">
            <w:pPr>
              <w:rPr>
                <w:bCs/>
                <w:iCs/>
                <w:color w:val="auto"/>
                <w:sz w:val="20"/>
                <w:szCs w:val="20"/>
              </w:rPr>
            </w:pPr>
          </w:p>
        </w:tc>
        <w:tc>
          <w:tcPr>
            <w:tcW w:w="1218" w:type="dxa"/>
            <w:vAlign w:val="center"/>
          </w:tcPr>
          <w:p w14:paraId="5A932C9A">
            <w:pPr>
              <w:rPr>
                <w:bCs/>
                <w:iCs/>
                <w:color w:val="auto"/>
                <w:sz w:val="20"/>
                <w:szCs w:val="20"/>
              </w:rPr>
            </w:pPr>
          </w:p>
        </w:tc>
        <w:tc>
          <w:tcPr>
            <w:tcW w:w="1217" w:type="dxa"/>
            <w:vAlign w:val="center"/>
          </w:tcPr>
          <w:p w14:paraId="17A163CF">
            <w:pPr>
              <w:rPr>
                <w:bCs/>
                <w:iCs/>
                <w:color w:val="auto"/>
                <w:sz w:val="20"/>
                <w:szCs w:val="20"/>
              </w:rPr>
            </w:pPr>
          </w:p>
        </w:tc>
        <w:tc>
          <w:tcPr>
            <w:tcW w:w="1218" w:type="dxa"/>
            <w:vAlign w:val="center"/>
          </w:tcPr>
          <w:p w14:paraId="232750C4">
            <w:pPr>
              <w:rPr>
                <w:bCs/>
                <w:iCs/>
                <w:color w:val="auto"/>
                <w:sz w:val="20"/>
                <w:szCs w:val="20"/>
              </w:rPr>
            </w:pPr>
          </w:p>
        </w:tc>
        <w:tc>
          <w:tcPr>
            <w:tcW w:w="1218" w:type="dxa"/>
            <w:vAlign w:val="center"/>
          </w:tcPr>
          <w:p w14:paraId="270321A8">
            <w:pPr>
              <w:rPr>
                <w:bCs/>
                <w:iCs/>
                <w:color w:val="auto"/>
                <w:sz w:val="20"/>
                <w:szCs w:val="20"/>
              </w:rPr>
            </w:pPr>
          </w:p>
        </w:tc>
        <w:tc>
          <w:tcPr>
            <w:tcW w:w="1224" w:type="dxa"/>
            <w:vAlign w:val="center"/>
          </w:tcPr>
          <w:p w14:paraId="7FB29007">
            <w:pPr>
              <w:rPr>
                <w:bCs/>
                <w:iCs/>
                <w:color w:val="auto"/>
                <w:sz w:val="20"/>
                <w:szCs w:val="20"/>
              </w:rPr>
            </w:pPr>
          </w:p>
        </w:tc>
      </w:tr>
      <w:tr w14:paraId="16C11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5FD12FC5">
            <w:pPr>
              <w:rPr>
                <w:bCs/>
                <w:iCs/>
                <w:color w:val="auto"/>
                <w:sz w:val="20"/>
                <w:szCs w:val="20"/>
              </w:rPr>
            </w:pPr>
          </w:p>
        </w:tc>
        <w:tc>
          <w:tcPr>
            <w:tcW w:w="1218" w:type="dxa"/>
            <w:vAlign w:val="center"/>
          </w:tcPr>
          <w:p w14:paraId="5B39FE7D">
            <w:pPr>
              <w:rPr>
                <w:bCs/>
                <w:iCs/>
                <w:color w:val="auto"/>
                <w:sz w:val="20"/>
                <w:szCs w:val="20"/>
              </w:rPr>
            </w:pPr>
          </w:p>
        </w:tc>
        <w:tc>
          <w:tcPr>
            <w:tcW w:w="1217" w:type="dxa"/>
            <w:vAlign w:val="center"/>
          </w:tcPr>
          <w:p w14:paraId="6987B86F">
            <w:pPr>
              <w:rPr>
                <w:bCs/>
                <w:iCs/>
                <w:color w:val="auto"/>
                <w:sz w:val="20"/>
                <w:szCs w:val="20"/>
              </w:rPr>
            </w:pPr>
          </w:p>
        </w:tc>
        <w:tc>
          <w:tcPr>
            <w:tcW w:w="1248" w:type="dxa"/>
            <w:vAlign w:val="center"/>
          </w:tcPr>
          <w:p w14:paraId="59CB1559">
            <w:pPr>
              <w:rPr>
                <w:bCs/>
                <w:iCs/>
                <w:color w:val="auto"/>
                <w:sz w:val="20"/>
                <w:szCs w:val="20"/>
              </w:rPr>
            </w:pPr>
          </w:p>
        </w:tc>
        <w:tc>
          <w:tcPr>
            <w:tcW w:w="1218" w:type="dxa"/>
            <w:vAlign w:val="center"/>
          </w:tcPr>
          <w:p w14:paraId="1E7C1E7D">
            <w:pPr>
              <w:rPr>
                <w:bCs/>
                <w:iCs/>
                <w:color w:val="auto"/>
                <w:sz w:val="20"/>
                <w:szCs w:val="20"/>
              </w:rPr>
            </w:pPr>
          </w:p>
        </w:tc>
        <w:tc>
          <w:tcPr>
            <w:tcW w:w="1218" w:type="dxa"/>
            <w:vAlign w:val="center"/>
          </w:tcPr>
          <w:p w14:paraId="5F8AE44E">
            <w:pPr>
              <w:rPr>
                <w:bCs/>
                <w:iCs/>
                <w:color w:val="auto"/>
                <w:sz w:val="20"/>
                <w:szCs w:val="20"/>
              </w:rPr>
            </w:pPr>
          </w:p>
        </w:tc>
        <w:tc>
          <w:tcPr>
            <w:tcW w:w="1217" w:type="dxa"/>
            <w:vAlign w:val="center"/>
          </w:tcPr>
          <w:p w14:paraId="5571FCF9">
            <w:pPr>
              <w:rPr>
                <w:bCs/>
                <w:iCs/>
                <w:color w:val="auto"/>
                <w:sz w:val="20"/>
                <w:szCs w:val="20"/>
              </w:rPr>
            </w:pPr>
          </w:p>
        </w:tc>
        <w:tc>
          <w:tcPr>
            <w:tcW w:w="1218" w:type="dxa"/>
            <w:vAlign w:val="center"/>
          </w:tcPr>
          <w:p w14:paraId="23F97633">
            <w:pPr>
              <w:rPr>
                <w:bCs/>
                <w:iCs/>
                <w:color w:val="auto"/>
                <w:sz w:val="20"/>
                <w:szCs w:val="20"/>
              </w:rPr>
            </w:pPr>
          </w:p>
        </w:tc>
        <w:tc>
          <w:tcPr>
            <w:tcW w:w="1218" w:type="dxa"/>
            <w:vAlign w:val="center"/>
          </w:tcPr>
          <w:p w14:paraId="17ECE2A6">
            <w:pPr>
              <w:rPr>
                <w:bCs/>
                <w:iCs/>
                <w:color w:val="auto"/>
                <w:sz w:val="20"/>
                <w:szCs w:val="20"/>
              </w:rPr>
            </w:pPr>
          </w:p>
        </w:tc>
        <w:tc>
          <w:tcPr>
            <w:tcW w:w="1224" w:type="dxa"/>
            <w:vAlign w:val="center"/>
          </w:tcPr>
          <w:p w14:paraId="5D52D376">
            <w:pPr>
              <w:rPr>
                <w:bCs/>
                <w:iCs/>
                <w:color w:val="auto"/>
                <w:sz w:val="20"/>
                <w:szCs w:val="20"/>
              </w:rPr>
            </w:pPr>
          </w:p>
        </w:tc>
      </w:tr>
      <w:tr w14:paraId="3874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525E7196">
            <w:pPr>
              <w:rPr>
                <w:bCs/>
                <w:iCs/>
                <w:color w:val="auto"/>
                <w:sz w:val="20"/>
                <w:szCs w:val="20"/>
              </w:rPr>
            </w:pPr>
          </w:p>
        </w:tc>
        <w:tc>
          <w:tcPr>
            <w:tcW w:w="1218" w:type="dxa"/>
            <w:vAlign w:val="center"/>
          </w:tcPr>
          <w:p w14:paraId="2ED7B9D4">
            <w:pPr>
              <w:rPr>
                <w:bCs/>
                <w:iCs/>
                <w:color w:val="auto"/>
                <w:sz w:val="20"/>
                <w:szCs w:val="20"/>
              </w:rPr>
            </w:pPr>
          </w:p>
        </w:tc>
        <w:tc>
          <w:tcPr>
            <w:tcW w:w="1217" w:type="dxa"/>
            <w:vAlign w:val="center"/>
          </w:tcPr>
          <w:p w14:paraId="0E835F59">
            <w:pPr>
              <w:rPr>
                <w:bCs/>
                <w:iCs/>
                <w:color w:val="auto"/>
                <w:sz w:val="20"/>
                <w:szCs w:val="20"/>
              </w:rPr>
            </w:pPr>
          </w:p>
        </w:tc>
        <w:tc>
          <w:tcPr>
            <w:tcW w:w="1248" w:type="dxa"/>
            <w:vAlign w:val="center"/>
          </w:tcPr>
          <w:p w14:paraId="3B0025AD">
            <w:pPr>
              <w:rPr>
                <w:bCs/>
                <w:iCs/>
                <w:color w:val="auto"/>
                <w:sz w:val="20"/>
                <w:szCs w:val="20"/>
              </w:rPr>
            </w:pPr>
          </w:p>
        </w:tc>
        <w:tc>
          <w:tcPr>
            <w:tcW w:w="1218" w:type="dxa"/>
            <w:vAlign w:val="center"/>
          </w:tcPr>
          <w:p w14:paraId="479971EE">
            <w:pPr>
              <w:rPr>
                <w:bCs/>
                <w:iCs/>
                <w:color w:val="auto"/>
                <w:sz w:val="20"/>
                <w:szCs w:val="20"/>
              </w:rPr>
            </w:pPr>
          </w:p>
        </w:tc>
        <w:tc>
          <w:tcPr>
            <w:tcW w:w="1218" w:type="dxa"/>
            <w:vAlign w:val="center"/>
          </w:tcPr>
          <w:p w14:paraId="4B0A4859">
            <w:pPr>
              <w:rPr>
                <w:bCs/>
                <w:iCs/>
                <w:color w:val="auto"/>
                <w:sz w:val="20"/>
                <w:szCs w:val="20"/>
              </w:rPr>
            </w:pPr>
          </w:p>
        </w:tc>
        <w:tc>
          <w:tcPr>
            <w:tcW w:w="1217" w:type="dxa"/>
            <w:vAlign w:val="center"/>
          </w:tcPr>
          <w:p w14:paraId="130BB3FD">
            <w:pPr>
              <w:rPr>
                <w:bCs/>
                <w:iCs/>
                <w:color w:val="auto"/>
                <w:sz w:val="20"/>
                <w:szCs w:val="20"/>
              </w:rPr>
            </w:pPr>
          </w:p>
        </w:tc>
        <w:tc>
          <w:tcPr>
            <w:tcW w:w="1218" w:type="dxa"/>
            <w:vAlign w:val="center"/>
          </w:tcPr>
          <w:p w14:paraId="14133792">
            <w:pPr>
              <w:rPr>
                <w:bCs/>
                <w:iCs/>
                <w:color w:val="auto"/>
                <w:sz w:val="20"/>
                <w:szCs w:val="20"/>
              </w:rPr>
            </w:pPr>
          </w:p>
        </w:tc>
        <w:tc>
          <w:tcPr>
            <w:tcW w:w="1218" w:type="dxa"/>
            <w:vAlign w:val="center"/>
          </w:tcPr>
          <w:p w14:paraId="2C268C80">
            <w:pPr>
              <w:rPr>
                <w:bCs/>
                <w:iCs/>
                <w:color w:val="auto"/>
                <w:sz w:val="20"/>
                <w:szCs w:val="20"/>
              </w:rPr>
            </w:pPr>
          </w:p>
        </w:tc>
        <w:tc>
          <w:tcPr>
            <w:tcW w:w="1224" w:type="dxa"/>
            <w:vAlign w:val="center"/>
          </w:tcPr>
          <w:p w14:paraId="00C9EEB6">
            <w:pPr>
              <w:rPr>
                <w:bCs/>
                <w:iCs/>
                <w:color w:val="auto"/>
                <w:sz w:val="20"/>
                <w:szCs w:val="20"/>
              </w:rPr>
            </w:pPr>
          </w:p>
        </w:tc>
      </w:tr>
      <w:tr w14:paraId="1EF1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78B7F2BA">
            <w:pPr>
              <w:rPr>
                <w:bCs/>
                <w:iCs/>
                <w:color w:val="auto"/>
                <w:sz w:val="20"/>
                <w:szCs w:val="20"/>
              </w:rPr>
            </w:pPr>
          </w:p>
        </w:tc>
        <w:tc>
          <w:tcPr>
            <w:tcW w:w="1218" w:type="dxa"/>
            <w:vAlign w:val="center"/>
          </w:tcPr>
          <w:p w14:paraId="572ED252">
            <w:pPr>
              <w:rPr>
                <w:bCs/>
                <w:iCs/>
                <w:color w:val="auto"/>
                <w:sz w:val="20"/>
                <w:szCs w:val="20"/>
              </w:rPr>
            </w:pPr>
          </w:p>
        </w:tc>
        <w:tc>
          <w:tcPr>
            <w:tcW w:w="1217" w:type="dxa"/>
            <w:vAlign w:val="center"/>
          </w:tcPr>
          <w:p w14:paraId="5088D190">
            <w:pPr>
              <w:rPr>
                <w:bCs/>
                <w:iCs/>
                <w:color w:val="auto"/>
                <w:sz w:val="20"/>
                <w:szCs w:val="20"/>
              </w:rPr>
            </w:pPr>
          </w:p>
        </w:tc>
        <w:tc>
          <w:tcPr>
            <w:tcW w:w="1248" w:type="dxa"/>
            <w:vAlign w:val="center"/>
          </w:tcPr>
          <w:p w14:paraId="3DDAEAB0">
            <w:pPr>
              <w:rPr>
                <w:bCs/>
                <w:iCs/>
                <w:color w:val="auto"/>
                <w:sz w:val="20"/>
                <w:szCs w:val="20"/>
              </w:rPr>
            </w:pPr>
          </w:p>
        </w:tc>
        <w:tc>
          <w:tcPr>
            <w:tcW w:w="1218" w:type="dxa"/>
            <w:vAlign w:val="center"/>
          </w:tcPr>
          <w:p w14:paraId="339800CA">
            <w:pPr>
              <w:rPr>
                <w:bCs/>
                <w:iCs/>
                <w:color w:val="auto"/>
                <w:sz w:val="20"/>
                <w:szCs w:val="20"/>
              </w:rPr>
            </w:pPr>
          </w:p>
        </w:tc>
        <w:tc>
          <w:tcPr>
            <w:tcW w:w="1218" w:type="dxa"/>
            <w:vAlign w:val="center"/>
          </w:tcPr>
          <w:p w14:paraId="1D42C75A">
            <w:pPr>
              <w:rPr>
                <w:bCs/>
                <w:iCs/>
                <w:color w:val="auto"/>
                <w:sz w:val="20"/>
                <w:szCs w:val="20"/>
              </w:rPr>
            </w:pPr>
          </w:p>
        </w:tc>
        <w:tc>
          <w:tcPr>
            <w:tcW w:w="1217" w:type="dxa"/>
            <w:vAlign w:val="center"/>
          </w:tcPr>
          <w:p w14:paraId="527B12D7">
            <w:pPr>
              <w:rPr>
                <w:bCs/>
                <w:iCs/>
                <w:color w:val="auto"/>
                <w:sz w:val="20"/>
                <w:szCs w:val="20"/>
              </w:rPr>
            </w:pPr>
          </w:p>
        </w:tc>
        <w:tc>
          <w:tcPr>
            <w:tcW w:w="1218" w:type="dxa"/>
            <w:vAlign w:val="center"/>
          </w:tcPr>
          <w:p w14:paraId="1CE258F1">
            <w:pPr>
              <w:rPr>
                <w:bCs/>
                <w:iCs/>
                <w:color w:val="auto"/>
                <w:sz w:val="20"/>
                <w:szCs w:val="20"/>
              </w:rPr>
            </w:pPr>
          </w:p>
        </w:tc>
        <w:tc>
          <w:tcPr>
            <w:tcW w:w="1218" w:type="dxa"/>
            <w:vAlign w:val="center"/>
          </w:tcPr>
          <w:p w14:paraId="6E847343">
            <w:pPr>
              <w:rPr>
                <w:bCs/>
                <w:iCs/>
                <w:color w:val="auto"/>
                <w:sz w:val="20"/>
                <w:szCs w:val="20"/>
              </w:rPr>
            </w:pPr>
          </w:p>
        </w:tc>
        <w:tc>
          <w:tcPr>
            <w:tcW w:w="1224" w:type="dxa"/>
            <w:vAlign w:val="center"/>
          </w:tcPr>
          <w:p w14:paraId="67EEFC42">
            <w:pPr>
              <w:rPr>
                <w:bCs/>
                <w:iCs/>
                <w:color w:val="auto"/>
                <w:sz w:val="20"/>
                <w:szCs w:val="20"/>
              </w:rPr>
            </w:pPr>
          </w:p>
        </w:tc>
      </w:tr>
      <w:tr w14:paraId="65F6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tcPr>
          <w:p w14:paraId="3AD95496">
            <w:pPr>
              <w:rPr>
                <w:bCs/>
                <w:iCs/>
                <w:color w:val="auto"/>
                <w:sz w:val="20"/>
                <w:szCs w:val="20"/>
              </w:rPr>
            </w:pPr>
          </w:p>
        </w:tc>
        <w:tc>
          <w:tcPr>
            <w:tcW w:w="1218" w:type="dxa"/>
            <w:vAlign w:val="center"/>
          </w:tcPr>
          <w:p w14:paraId="32B92018">
            <w:pPr>
              <w:rPr>
                <w:bCs/>
                <w:iCs/>
                <w:color w:val="auto"/>
                <w:sz w:val="20"/>
                <w:szCs w:val="20"/>
              </w:rPr>
            </w:pPr>
          </w:p>
        </w:tc>
        <w:tc>
          <w:tcPr>
            <w:tcW w:w="1217" w:type="dxa"/>
            <w:vAlign w:val="center"/>
          </w:tcPr>
          <w:p w14:paraId="30C8A085">
            <w:pPr>
              <w:rPr>
                <w:bCs/>
                <w:iCs/>
                <w:color w:val="auto"/>
                <w:sz w:val="20"/>
                <w:szCs w:val="20"/>
              </w:rPr>
            </w:pPr>
          </w:p>
        </w:tc>
        <w:tc>
          <w:tcPr>
            <w:tcW w:w="1248" w:type="dxa"/>
            <w:vAlign w:val="center"/>
          </w:tcPr>
          <w:p w14:paraId="3B9B271A">
            <w:pPr>
              <w:rPr>
                <w:bCs/>
                <w:iCs/>
                <w:color w:val="auto"/>
                <w:sz w:val="20"/>
                <w:szCs w:val="20"/>
              </w:rPr>
            </w:pPr>
          </w:p>
        </w:tc>
        <w:tc>
          <w:tcPr>
            <w:tcW w:w="1218" w:type="dxa"/>
            <w:vAlign w:val="center"/>
          </w:tcPr>
          <w:p w14:paraId="68CC3D5D">
            <w:pPr>
              <w:rPr>
                <w:bCs/>
                <w:iCs/>
                <w:color w:val="auto"/>
                <w:sz w:val="20"/>
                <w:szCs w:val="20"/>
              </w:rPr>
            </w:pPr>
          </w:p>
        </w:tc>
        <w:tc>
          <w:tcPr>
            <w:tcW w:w="1218" w:type="dxa"/>
            <w:vAlign w:val="center"/>
          </w:tcPr>
          <w:p w14:paraId="58C127A7">
            <w:pPr>
              <w:rPr>
                <w:bCs/>
                <w:iCs/>
                <w:color w:val="auto"/>
                <w:sz w:val="20"/>
                <w:szCs w:val="20"/>
              </w:rPr>
            </w:pPr>
          </w:p>
        </w:tc>
        <w:tc>
          <w:tcPr>
            <w:tcW w:w="1217" w:type="dxa"/>
            <w:vAlign w:val="center"/>
          </w:tcPr>
          <w:p w14:paraId="79993208">
            <w:pPr>
              <w:rPr>
                <w:bCs/>
                <w:iCs/>
                <w:color w:val="auto"/>
                <w:sz w:val="20"/>
                <w:szCs w:val="20"/>
              </w:rPr>
            </w:pPr>
          </w:p>
        </w:tc>
        <w:tc>
          <w:tcPr>
            <w:tcW w:w="1218" w:type="dxa"/>
            <w:vAlign w:val="center"/>
          </w:tcPr>
          <w:p w14:paraId="26E15585">
            <w:pPr>
              <w:rPr>
                <w:bCs/>
                <w:iCs/>
                <w:color w:val="auto"/>
                <w:sz w:val="20"/>
                <w:szCs w:val="20"/>
              </w:rPr>
            </w:pPr>
          </w:p>
        </w:tc>
        <w:tc>
          <w:tcPr>
            <w:tcW w:w="1218" w:type="dxa"/>
            <w:vAlign w:val="center"/>
          </w:tcPr>
          <w:p w14:paraId="0A066B0B">
            <w:pPr>
              <w:rPr>
                <w:bCs/>
                <w:iCs/>
                <w:color w:val="auto"/>
                <w:sz w:val="20"/>
                <w:szCs w:val="20"/>
              </w:rPr>
            </w:pPr>
          </w:p>
        </w:tc>
        <w:tc>
          <w:tcPr>
            <w:tcW w:w="1224" w:type="dxa"/>
            <w:vAlign w:val="center"/>
          </w:tcPr>
          <w:p w14:paraId="5E0AC2A9">
            <w:pPr>
              <w:rPr>
                <w:bCs/>
                <w:iCs/>
                <w:color w:val="auto"/>
                <w:sz w:val="20"/>
                <w:szCs w:val="20"/>
              </w:rPr>
            </w:pPr>
          </w:p>
        </w:tc>
      </w:tr>
      <w:tr w14:paraId="4D4C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59D0CD65">
            <w:pPr>
              <w:rPr>
                <w:bCs/>
                <w:iCs/>
                <w:color w:val="auto"/>
                <w:sz w:val="20"/>
                <w:szCs w:val="20"/>
              </w:rPr>
            </w:pPr>
          </w:p>
        </w:tc>
        <w:tc>
          <w:tcPr>
            <w:tcW w:w="1218" w:type="dxa"/>
            <w:vAlign w:val="center"/>
          </w:tcPr>
          <w:p w14:paraId="6A54EF2B">
            <w:pPr>
              <w:rPr>
                <w:bCs/>
                <w:iCs/>
                <w:color w:val="auto"/>
                <w:sz w:val="20"/>
                <w:szCs w:val="20"/>
              </w:rPr>
            </w:pPr>
          </w:p>
        </w:tc>
        <w:tc>
          <w:tcPr>
            <w:tcW w:w="1217" w:type="dxa"/>
            <w:vAlign w:val="center"/>
          </w:tcPr>
          <w:p w14:paraId="5E990492">
            <w:pPr>
              <w:rPr>
                <w:bCs/>
                <w:iCs/>
                <w:color w:val="auto"/>
                <w:sz w:val="20"/>
                <w:szCs w:val="20"/>
              </w:rPr>
            </w:pPr>
          </w:p>
        </w:tc>
        <w:tc>
          <w:tcPr>
            <w:tcW w:w="1248" w:type="dxa"/>
            <w:vAlign w:val="center"/>
          </w:tcPr>
          <w:p w14:paraId="5313AAAF">
            <w:pPr>
              <w:rPr>
                <w:bCs/>
                <w:iCs/>
                <w:color w:val="auto"/>
                <w:sz w:val="20"/>
                <w:szCs w:val="20"/>
              </w:rPr>
            </w:pPr>
          </w:p>
        </w:tc>
        <w:tc>
          <w:tcPr>
            <w:tcW w:w="1218" w:type="dxa"/>
            <w:vAlign w:val="center"/>
          </w:tcPr>
          <w:p w14:paraId="3185A69F">
            <w:pPr>
              <w:rPr>
                <w:bCs/>
                <w:iCs/>
                <w:color w:val="auto"/>
                <w:sz w:val="20"/>
                <w:szCs w:val="20"/>
              </w:rPr>
            </w:pPr>
          </w:p>
        </w:tc>
        <w:tc>
          <w:tcPr>
            <w:tcW w:w="1218" w:type="dxa"/>
            <w:vAlign w:val="center"/>
          </w:tcPr>
          <w:p w14:paraId="4C2FED56">
            <w:pPr>
              <w:rPr>
                <w:bCs/>
                <w:iCs/>
                <w:color w:val="auto"/>
                <w:sz w:val="20"/>
                <w:szCs w:val="20"/>
              </w:rPr>
            </w:pPr>
          </w:p>
        </w:tc>
        <w:tc>
          <w:tcPr>
            <w:tcW w:w="1217" w:type="dxa"/>
            <w:vAlign w:val="center"/>
          </w:tcPr>
          <w:p w14:paraId="52C3B17A">
            <w:pPr>
              <w:rPr>
                <w:bCs/>
                <w:iCs/>
                <w:color w:val="auto"/>
                <w:sz w:val="20"/>
                <w:szCs w:val="20"/>
              </w:rPr>
            </w:pPr>
          </w:p>
        </w:tc>
        <w:tc>
          <w:tcPr>
            <w:tcW w:w="1218" w:type="dxa"/>
            <w:vAlign w:val="center"/>
          </w:tcPr>
          <w:p w14:paraId="2DABB2AE">
            <w:pPr>
              <w:rPr>
                <w:bCs/>
                <w:iCs/>
                <w:color w:val="auto"/>
                <w:sz w:val="20"/>
                <w:szCs w:val="20"/>
              </w:rPr>
            </w:pPr>
          </w:p>
        </w:tc>
        <w:tc>
          <w:tcPr>
            <w:tcW w:w="1218" w:type="dxa"/>
            <w:vAlign w:val="center"/>
          </w:tcPr>
          <w:p w14:paraId="171A6771">
            <w:pPr>
              <w:rPr>
                <w:bCs/>
                <w:iCs/>
                <w:color w:val="auto"/>
                <w:sz w:val="20"/>
                <w:szCs w:val="20"/>
              </w:rPr>
            </w:pPr>
          </w:p>
        </w:tc>
        <w:tc>
          <w:tcPr>
            <w:tcW w:w="1224" w:type="dxa"/>
            <w:vAlign w:val="center"/>
          </w:tcPr>
          <w:p w14:paraId="31342200">
            <w:pPr>
              <w:rPr>
                <w:bCs/>
                <w:iCs/>
                <w:color w:val="auto"/>
                <w:sz w:val="20"/>
                <w:szCs w:val="20"/>
              </w:rPr>
            </w:pPr>
          </w:p>
        </w:tc>
      </w:tr>
      <w:tr w14:paraId="2B75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4BD0C67A">
            <w:pPr>
              <w:rPr>
                <w:bCs/>
                <w:iCs/>
                <w:color w:val="auto"/>
                <w:sz w:val="20"/>
                <w:szCs w:val="20"/>
              </w:rPr>
            </w:pPr>
          </w:p>
        </w:tc>
        <w:tc>
          <w:tcPr>
            <w:tcW w:w="1218" w:type="dxa"/>
            <w:vAlign w:val="center"/>
          </w:tcPr>
          <w:p w14:paraId="07354338">
            <w:pPr>
              <w:rPr>
                <w:bCs/>
                <w:iCs/>
                <w:color w:val="auto"/>
                <w:sz w:val="20"/>
                <w:szCs w:val="20"/>
              </w:rPr>
            </w:pPr>
          </w:p>
        </w:tc>
        <w:tc>
          <w:tcPr>
            <w:tcW w:w="1217" w:type="dxa"/>
            <w:vAlign w:val="center"/>
          </w:tcPr>
          <w:p w14:paraId="77474FDC">
            <w:pPr>
              <w:rPr>
                <w:bCs/>
                <w:iCs/>
                <w:color w:val="auto"/>
                <w:sz w:val="20"/>
                <w:szCs w:val="20"/>
              </w:rPr>
            </w:pPr>
          </w:p>
        </w:tc>
        <w:tc>
          <w:tcPr>
            <w:tcW w:w="1248" w:type="dxa"/>
            <w:vAlign w:val="center"/>
          </w:tcPr>
          <w:p w14:paraId="22752304">
            <w:pPr>
              <w:rPr>
                <w:bCs/>
                <w:iCs/>
                <w:color w:val="auto"/>
                <w:sz w:val="20"/>
                <w:szCs w:val="20"/>
              </w:rPr>
            </w:pPr>
          </w:p>
        </w:tc>
        <w:tc>
          <w:tcPr>
            <w:tcW w:w="1218" w:type="dxa"/>
            <w:vAlign w:val="center"/>
          </w:tcPr>
          <w:p w14:paraId="5807CF52">
            <w:pPr>
              <w:rPr>
                <w:bCs/>
                <w:iCs/>
                <w:color w:val="auto"/>
                <w:sz w:val="20"/>
                <w:szCs w:val="20"/>
              </w:rPr>
            </w:pPr>
          </w:p>
        </w:tc>
        <w:tc>
          <w:tcPr>
            <w:tcW w:w="1218" w:type="dxa"/>
            <w:vAlign w:val="center"/>
          </w:tcPr>
          <w:p w14:paraId="73E47BF8">
            <w:pPr>
              <w:rPr>
                <w:bCs/>
                <w:iCs/>
                <w:color w:val="auto"/>
                <w:sz w:val="20"/>
                <w:szCs w:val="20"/>
              </w:rPr>
            </w:pPr>
          </w:p>
        </w:tc>
        <w:tc>
          <w:tcPr>
            <w:tcW w:w="1217" w:type="dxa"/>
            <w:vAlign w:val="center"/>
          </w:tcPr>
          <w:p w14:paraId="0552D930">
            <w:pPr>
              <w:rPr>
                <w:bCs/>
                <w:iCs/>
                <w:color w:val="auto"/>
                <w:sz w:val="20"/>
                <w:szCs w:val="20"/>
              </w:rPr>
            </w:pPr>
          </w:p>
        </w:tc>
        <w:tc>
          <w:tcPr>
            <w:tcW w:w="1218" w:type="dxa"/>
            <w:vAlign w:val="center"/>
          </w:tcPr>
          <w:p w14:paraId="4D2890B5">
            <w:pPr>
              <w:rPr>
                <w:bCs/>
                <w:iCs/>
                <w:color w:val="auto"/>
                <w:sz w:val="20"/>
                <w:szCs w:val="20"/>
              </w:rPr>
            </w:pPr>
          </w:p>
        </w:tc>
        <w:tc>
          <w:tcPr>
            <w:tcW w:w="1218" w:type="dxa"/>
            <w:vAlign w:val="center"/>
          </w:tcPr>
          <w:p w14:paraId="6505319D">
            <w:pPr>
              <w:rPr>
                <w:bCs/>
                <w:iCs/>
                <w:color w:val="auto"/>
                <w:sz w:val="20"/>
                <w:szCs w:val="20"/>
              </w:rPr>
            </w:pPr>
          </w:p>
        </w:tc>
        <w:tc>
          <w:tcPr>
            <w:tcW w:w="1224" w:type="dxa"/>
            <w:vAlign w:val="center"/>
          </w:tcPr>
          <w:p w14:paraId="2A82BE9B">
            <w:pPr>
              <w:rPr>
                <w:bCs/>
                <w:iCs/>
                <w:color w:val="auto"/>
                <w:sz w:val="20"/>
                <w:szCs w:val="20"/>
              </w:rPr>
            </w:pPr>
          </w:p>
        </w:tc>
      </w:tr>
      <w:tr w14:paraId="2CC7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5FAFC0D8">
            <w:pPr>
              <w:rPr>
                <w:bCs/>
                <w:iCs/>
                <w:color w:val="auto"/>
                <w:sz w:val="20"/>
                <w:szCs w:val="20"/>
              </w:rPr>
            </w:pPr>
          </w:p>
        </w:tc>
        <w:tc>
          <w:tcPr>
            <w:tcW w:w="1218" w:type="dxa"/>
            <w:vAlign w:val="center"/>
          </w:tcPr>
          <w:p w14:paraId="74615D0A">
            <w:pPr>
              <w:rPr>
                <w:bCs/>
                <w:iCs/>
                <w:color w:val="auto"/>
                <w:sz w:val="20"/>
                <w:szCs w:val="20"/>
              </w:rPr>
            </w:pPr>
          </w:p>
        </w:tc>
        <w:tc>
          <w:tcPr>
            <w:tcW w:w="1217" w:type="dxa"/>
            <w:vAlign w:val="center"/>
          </w:tcPr>
          <w:p w14:paraId="6D156D5D">
            <w:pPr>
              <w:rPr>
                <w:bCs/>
                <w:iCs/>
                <w:color w:val="auto"/>
                <w:sz w:val="20"/>
                <w:szCs w:val="20"/>
              </w:rPr>
            </w:pPr>
          </w:p>
        </w:tc>
        <w:tc>
          <w:tcPr>
            <w:tcW w:w="1248" w:type="dxa"/>
            <w:vAlign w:val="center"/>
          </w:tcPr>
          <w:p w14:paraId="3E8C0070">
            <w:pPr>
              <w:rPr>
                <w:bCs/>
                <w:iCs/>
                <w:color w:val="auto"/>
                <w:sz w:val="20"/>
                <w:szCs w:val="20"/>
              </w:rPr>
            </w:pPr>
          </w:p>
        </w:tc>
        <w:tc>
          <w:tcPr>
            <w:tcW w:w="1218" w:type="dxa"/>
            <w:vAlign w:val="center"/>
          </w:tcPr>
          <w:p w14:paraId="138ECC22">
            <w:pPr>
              <w:rPr>
                <w:bCs/>
                <w:iCs/>
                <w:color w:val="auto"/>
                <w:sz w:val="20"/>
                <w:szCs w:val="20"/>
              </w:rPr>
            </w:pPr>
          </w:p>
        </w:tc>
        <w:tc>
          <w:tcPr>
            <w:tcW w:w="1218" w:type="dxa"/>
            <w:vAlign w:val="center"/>
          </w:tcPr>
          <w:p w14:paraId="13F49F48">
            <w:pPr>
              <w:rPr>
                <w:bCs/>
                <w:iCs/>
                <w:color w:val="auto"/>
                <w:sz w:val="20"/>
                <w:szCs w:val="20"/>
              </w:rPr>
            </w:pPr>
          </w:p>
        </w:tc>
        <w:tc>
          <w:tcPr>
            <w:tcW w:w="1217" w:type="dxa"/>
            <w:vAlign w:val="center"/>
          </w:tcPr>
          <w:p w14:paraId="783D27B7">
            <w:pPr>
              <w:rPr>
                <w:bCs/>
                <w:iCs/>
                <w:color w:val="auto"/>
                <w:sz w:val="20"/>
                <w:szCs w:val="20"/>
              </w:rPr>
            </w:pPr>
          </w:p>
        </w:tc>
        <w:tc>
          <w:tcPr>
            <w:tcW w:w="1218" w:type="dxa"/>
            <w:vAlign w:val="center"/>
          </w:tcPr>
          <w:p w14:paraId="1A278EE2">
            <w:pPr>
              <w:rPr>
                <w:bCs/>
                <w:iCs/>
                <w:color w:val="auto"/>
                <w:sz w:val="20"/>
                <w:szCs w:val="20"/>
              </w:rPr>
            </w:pPr>
          </w:p>
        </w:tc>
        <w:tc>
          <w:tcPr>
            <w:tcW w:w="1218" w:type="dxa"/>
            <w:vAlign w:val="center"/>
          </w:tcPr>
          <w:p w14:paraId="426FC846">
            <w:pPr>
              <w:rPr>
                <w:bCs/>
                <w:iCs/>
                <w:color w:val="auto"/>
                <w:sz w:val="20"/>
                <w:szCs w:val="20"/>
              </w:rPr>
            </w:pPr>
          </w:p>
        </w:tc>
        <w:tc>
          <w:tcPr>
            <w:tcW w:w="1224" w:type="dxa"/>
            <w:vAlign w:val="center"/>
          </w:tcPr>
          <w:p w14:paraId="688A9542">
            <w:pPr>
              <w:rPr>
                <w:bCs/>
                <w:iCs/>
                <w:color w:val="auto"/>
                <w:sz w:val="20"/>
                <w:szCs w:val="20"/>
              </w:rPr>
            </w:pPr>
          </w:p>
        </w:tc>
      </w:tr>
      <w:tr w14:paraId="28FC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38F454C8">
            <w:pPr>
              <w:rPr>
                <w:bCs/>
                <w:iCs/>
                <w:color w:val="auto"/>
                <w:sz w:val="20"/>
                <w:szCs w:val="20"/>
              </w:rPr>
            </w:pPr>
          </w:p>
        </w:tc>
        <w:tc>
          <w:tcPr>
            <w:tcW w:w="1218" w:type="dxa"/>
            <w:vAlign w:val="center"/>
          </w:tcPr>
          <w:p w14:paraId="2D21ED96">
            <w:pPr>
              <w:rPr>
                <w:bCs/>
                <w:iCs/>
                <w:color w:val="auto"/>
                <w:sz w:val="20"/>
                <w:szCs w:val="20"/>
              </w:rPr>
            </w:pPr>
          </w:p>
        </w:tc>
        <w:tc>
          <w:tcPr>
            <w:tcW w:w="1217" w:type="dxa"/>
            <w:vAlign w:val="center"/>
          </w:tcPr>
          <w:p w14:paraId="7CEB3AF9">
            <w:pPr>
              <w:rPr>
                <w:bCs/>
                <w:iCs/>
                <w:color w:val="auto"/>
                <w:sz w:val="20"/>
                <w:szCs w:val="20"/>
              </w:rPr>
            </w:pPr>
          </w:p>
        </w:tc>
        <w:tc>
          <w:tcPr>
            <w:tcW w:w="1248" w:type="dxa"/>
            <w:vAlign w:val="center"/>
          </w:tcPr>
          <w:p w14:paraId="5B3B9B01">
            <w:pPr>
              <w:rPr>
                <w:bCs/>
                <w:iCs/>
                <w:color w:val="auto"/>
                <w:sz w:val="20"/>
                <w:szCs w:val="20"/>
              </w:rPr>
            </w:pPr>
          </w:p>
        </w:tc>
        <w:tc>
          <w:tcPr>
            <w:tcW w:w="1218" w:type="dxa"/>
            <w:vAlign w:val="center"/>
          </w:tcPr>
          <w:p w14:paraId="41D19542">
            <w:pPr>
              <w:rPr>
                <w:bCs/>
                <w:iCs/>
                <w:color w:val="auto"/>
                <w:sz w:val="20"/>
                <w:szCs w:val="20"/>
              </w:rPr>
            </w:pPr>
          </w:p>
        </w:tc>
        <w:tc>
          <w:tcPr>
            <w:tcW w:w="1218" w:type="dxa"/>
            <w:vAlign w:val="center"/>
          </w:tcPr>
          <w:p w14:paraId="45A61246">
            <w:pPr>
              <w:rPr>
                <w:bCs/>
                <w:iCs/>
                <w:color w:val="auto"/>
                <w:sz w:val="20"/>
                <w:szCs w:val="20"/>
              </w:rPr>
            </w:pPr>
          </w:p>
        </w:tc>
        <w:tc>
          <w:tcPr>
            <w:tcW w:w="1217" w:type="dxa"/>
            <w:vAlign w:val="center"/>
          </w:tcPr>
          <w:p w14:paraId="6DCC9AEF">
            <w:pPr>
              <w:rPr>
                <w:bCs/>
                <w:iCs/>
                <w:color w:val="auto"/>
                <w:sz w:val="20"/>
                <w:szCs w:val="20"/>
              </w:rPr>
            </w:pPr>
          </w:p>
        </w:tc>
        <w:tc>
          <w:tcPr>
            <w:tcW w:w="1218" w:type="dxa"/>
            <w:vAlign w:val="center"/>
          </w:tcPr>
          <w:p w14:paraId="50D720F7">
            <w:pPr>
              <w:rPr>
                <w:bCs/>
                <w:iCs/>
                <w:color w:val="auto"/>
                <w:sz w:val="20"/>
                <w:szCs w:val="20"/>
              </w:rPr>
            </w:pPr>
          </w:p>
        </w:tc>
        <w:tc>
          <w:tcPr>
            <w:tcW w:w="1218" w:type="dxa"/>
            <w:vAlign w:val="center"/>
          </w:tcPr>
          <w:p w14:paraId="45556044">
            <w:pPr>
              <w:rPr>
                <w:bCs/>
                <w:iCs/>
                <w:color w:val="auto"/>
                <w:sz w:val="20"/>
                <w:szCs w:val="20"/>
              </w:rPr>
            </w:pPr>
          </w:p>
        </w:tc>
        <w:tc>
          <w:tcPr>
            <w:tcW w:w="1224" w:type="dxa"/>
            <w:vAlign w:val="center"/>
          </w:tcPr>
          <w:p w14:paraId="13D6AB9D">
            <w:pPr>
              <w:rPr>
                <w:bCs/>
                <w:iCs/>
                <w:color w:val="auto"/>
                <w:sz w:val="20"/>
                <w:szCs w:val="20"/>
              </w:rPr>
            </w:pPr>
          </w:p>
        </w:tc>
      </w:tr>
      <w:tr w14:paraId="6BCB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0513C138">
            <w:pPr>
              <w:rPr>
                <w:bCs/>
                <w:iCs/>
                <w:color w:val="auto"/>
                <w:sz w:val="20"/>
                <w:szCs w:val="20"/>
              </w:rPr>
            </w:pPr>
          </w:p>
        </w:tc>
        <w:tc>
          <w:tcPr>
            <w:tcW w:w="1218" w:type="dxa"/>
            <w:vAlign w:val="center"/>
          </w:tcPr>
          <w:p w14:paraId="47640DDF">
            <w:pPr>
              <w:rPr>
                <w:bCs/>
                <w:iCs/>
                <w:color w:val="auto"/>
                <w:sz w:val="20"/>
                <w:szCs w:val="20"/>
              </w:rPr>
            </w:pPr>
          </w:p>
        </w:tc>
        <w:tc>
          <w:tcPr>
            <w:tcW w:w="1217" w:type="dxa"/>
            <w:vAlign w:val="center"/>
          </w:tcPr>
          <w:p w14:paraId="57760BF4">
            <w:pPr>
              <w:rPr>
                <w:bCs/>
                <w:iCs/>
                <w:color w:val="auto"/>
                <w:sz w:val="20"/>
                <w:szCs w:val="20"/>
              </w:rPr>
            </w:pPr>
          </w:p>
        </w:tc>
        <w:tc>
          <w:tcPr>
            <w:tcW w:w="1248" w:type="dxa"/>
            <w:vAlign w:val="center"/>
          </w:tcPr>
          <w:p w14:paraId="63F08818">
            <w:pPr>
              <w:rPr>
                <w:bCs/>
                <w:iCs/>
                <w:color w:val="auto"/>
                <w:sz w:val="20"/>
                <w:szCs w:val="20"/>
              </w:rPr>
            </w:pPr>
          </w:p>
        </w:tc>
        <w:tc>
          <w:tcPr>
            <w:tcW w:w="1218" w:type="dxa"/>
            <w:vAlign w:val="center"/>
          </w:tcPr>
          <w:p w14:paraId="326E8CBE">
            <w:pPr>
              <w:rPr>
                <w:bCs/>
                <w:iCs/>
                <w:color w:val="auto"/>
                <w:sz w:val="20"/>
                <w:szCs w:val="20"/>
              </w:rPr>
            </w:pPr>
          </w:p>
        </w:tc>
        <w:tc>
          <w:tcPr>
            <w:tcW w:w="1218" w:type="dxa"/>
            <w:vAlign w:val="center"/>
          </w:tcPr>
          <w:p w14:paraId="02F678C7">
            <w:pPr>
              <w:rPr>
                <w:bCs/>
                <w:iCs/>
                <w:color w:val="auto"/>
                <w:sz w:val="20"/>
                <w:szCs w:val="20"/>
              </w:rPr>
            </w:pPr>
          </w:p>
        </w:tc>
        <w:tc>
          <w:tcPr>
            <w:tcW w:w="1217" w:type="dxa"/>
            <w:vAlign w:val="center"/>
          </w:tcPr>
          <w:p w14:paraId="38E9A61D">
            <w:pPr>
              <w:rPr>
                <w:bCs/>
                <w:iCs/>
                <w:color w:val="auto"/>
                <w:sz w:val="20"/>
                <w:szCs w:val="20"/>
              </w:rPr>
            </w:pPr>
          </w:p>
        </w:tc>
        <w:tc>
          <w:tcPr>
            <w:tcW w:w="1218" w:type="dxa"/>
            <w:vAlign w:val="center"/>
          </w:tcPr>
          <w:p w14:paraId="556FA584">
            <w:pPr>
              <w:rPr>
                <w:bCs/>
                <w:iCs/>
                <w:color w:val="auto"/>
                <w:sz w:val="20"/>
                <w:szCs w:val="20"/>
              </w:rPr>
            </w:pPr>
          </w:p>
        </w:tc>
        <w:tc>
          <w:tcPr>
            <w:tcW w:w="1218" w:type="dxa"/>
            <w:vAlign w:val="center"/>
          </w:tcPr>
          <w:p w14:paraId="7162209E">
            <w:pPr>
              <w:rPr>
                <w:bCs/>
                <w:iCs/>
                <w:color w:val="auto"/>
                <w:sz w:val="20"/>
                <w:szCs w:val="20"/>
              </w:rPr>
            </w:pPr>
          </w:p>
        </w:tc>
        <w:tc>
          <w:tcPr>
            <w:tcW w:w="1224" w:type="dxa"/>
            <w:vAlign w:val="center"/>
          </w:tcPr>
          <w:p w14:paraId="1CBDB9D2">
            <w:pPr>
              <w:rPr>
                <w:bCs/>
                <w:iCs/>
                <w:color w:val="auto"/>
                <w:sz w:val="20"/>
                <w:szCs w:val="20"/>
              </w:rPr>
            </w:pPr>
          </w:p>
        </w:tc>
      </w:tr>
      <w:tr w14:paraId="09EF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584C0237">
            <w:pPr>
              <w:rPr>
                <w:bCs/>
                <w:iCs/>
                <w:color w:val="auto"/>
                <w:sz w:val="20"/>
                <w:szCs w:val="20"/>
              </w:rPr>
            </w:pPr>
          </w:p>
        </w:tc>
        <w:tc>
          <w:tcPr>
            <w:tcW w:w="1218" w:type="dxa"/>
            <w:vAlign w:val="center"/>
          </w:tcPr>
          <w:p w14:paraId="01C21C2F">
            <w:pPr>
              <w:rPr>
                <w:bCs/>
                <w:iCs/>
                <w:color w:val="auto"/>
                <w:sz w:val="20"/>
                <w:szCs w:val="20"/>
              </w:rPr>
            </w:pPr>
          </w:p>
        </w:tc>
        <w:tc>
          <w:tcPr>
            <w:tcW w:w="1217" w:type="dxa"/>
            <w:vAlign w:val="center"/>
          </w:tcPr>
          <w:p w14:paraId="43E2C715">
            <w:pPr>
              <w:rPr>
                <w:bCs/>
                <w:iCs/>
                <w:color w:val="auto"/>
                <w:sz w:val="20"/>
                <w:szCs w:val="20"/>
              </w:rPr>
            </w:pPr>
          </w:p>
        </w:tc>
        <w:tc>
          <w:tcPr>
            <w:tcW w:w="1248" w:type="dxa"/>
            <w:vAlign w:val="center"/>
          </w:tcPr>
          <w:p w14:paraId="4DFFB068">
            <w:pPr>
              <w:rPr>
                <w:bCs/>
                <w:iCs/>
                <w:color w:val="auto"/>
                <w:sz w:val="20"/>
                <w:szCs w:val="20"/>
              </w:rPr>
            </w:pPr>
          </w:p>
        </w:tc>
        <w:tc>
          <w:tcPr>
            <w:tcW w:w="1218" w:type="dxa"/>
            <w:vAlign w:val="center"/>
          </w:tcPr>
          <w:p w14:paraId="732EAC17">
            <w:pPr>
              <w:rPr>
                <w:bCs/>
                <w:iCs/>
                <w:color w:val="auto"/>
                <w:sz w:val="20"/>
                <w:szCs w:val="20"/>
              </w:rPr>
            </w:pPr>
          </w:p>
        </w:tc>
        <w:tc>
          <w:tcPr>
            <w:tcW w:w="1218" w:type="dxa"/>
            <w:vAlign w:val="center"/>
          </w:tcPr>
          <w:p w14:paraId="20955D34">
            <w:pPr>
              <w:rPr>
                <w:bCs/>
                <w:iCs/>
                <w:color w:val="auto"/>
                <w:sz w:val="20"/>
                <w:szCs w:val="20"/>
              </w:rPr>
            </w:pPr>
          </w:p>
        </w:tc>
        <w:tc>
          <w:tcPr>
            <w:tcW w:w="1217" w:type="dxa"/>
            <w:vAlign w:val="center"/>
          </w:tcPr>
          <w:p w14:paraId="1B48258C">
            <w:pPr>
              <w:rPr>
                <w:bCs/>
                <w:iCs/>
                <w:color w:val="auto"/>
                <w:sz w:val="20"/>
                <w:szCs w:val="20"/>
              </w:rPr>
            </w:pPr>
          </w:p>
        </w:tc>
        <w:tc>
          <w:tcPr>
            <w:tcW w:w="1218" w:type="dxa"/>
            <w:vAlign w:val="center"/>
          </w:tcPr>
          <w:p w14:paraId="4C095812">
            <w:pPr>
              <w:rPr>
                <w:bCs/>
                <w:iCs/>
                <w:color w:val="auto"/>
                <w:sz w:val="20"/>
                <w:szCs w:val="20"/>
              </w:rPr>
            </w:pPr>
          </w:p>
        </w:tc>
        <w:tc>
          <w:tcPr>
            <w:tcW w:w="1218" w:type="dxa"/>
            <w:vAlign w:val="center"/>
          </w:tcPr>
          <w:p w14:paraId="77AB5B2E">
            <w:pPr>
              <w:rPr>
                <w:bCs/>
                <w:iCs/>
                <w:color w:val="auto"/>
                <w:sz w:val="20"/>
                <w:szCs w:val="20"/>
              </w:rPr>
            </w:pPr>
          </w:p>
        </w:tc>
        <w:tc>
          <w:tcPr>
            <w:tcW w:w="1224" w:type="dxa"/>
            <w:vAlign w:val="center"/>
          </w:tcPr>
          <w:p w14:paraId="438A77CB">
            <w:pPr>
              <w:rPr>
                <w:bCs/>
                <w:iCs/>
                <w:color w:val="auto"/>
                <w:sz w:val="20"/>
                <w:szCs w:val="20"/>
              </w:rPr>
            </w:pPr>
          </w:p>
        </w:tc>
      </w:tr>
      <w:tr w14:paraId="36D7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restart"/>
            <w:vAlign w:val="center"/>
          </w:tcPr>
          <w:p w14:paraId="4E43B850">
            <w:pPr>
              <w:rPr>
                <w:bCs/>
                <w:iCs/>
                <w:color w:val="auto"/>
                <w:sz w:val="20"/>
                <w:szCs w:val="20"/>
              </w:rPr>
            </w:pPr>
          </w:p>
        </w:tc>
        <w:tc>
          <w:tcPr>
            <w:tcW w:w="1218" w:type="dxa"/>
            <w:vAlign w:val="center"/>
          </w:tcPr>
          <w:p w14:paraId="621B3495">
            <w:pPr>
              <w:rPr>
                <w:bCs/>
                <w:iCs/>
                <w:color w:val="auto"/>
                <w:sz w:val="20"/>
                <w:szCs w:val="20"/>
              </w:rPr>
            </w:pPr>
          </w:p>
        </w:tc>
        <w:tc>
          <w:tcPr>
            <w:tcW w:w="1217" w:type="dxa"/>
            <w:vAlign w:val="center"/>
          </w:tcPr>
          <w:p w14:paraId="77D943CE">
            <w:pPr>
              <w:rPr>
                <w:bCs/>
                <w:iCs/>
                <w:color w:val="auto"/>
                <w:sz w:val="20"/>
                <w:szCs w:val="20"/>
              </w:rPr>
            </w:pPr>
          </w:p>
        </w:tc>
        <w:tc>
          <w:tcPr>
            <w:tcW w:w="1248" w:type="dxa"/>
            <w:vAlign w:val="center"/>
          </w:tcPr>
          <w:p w14:paraId="4E5030B1">
            <w:pPr>
              <w:rPr>
                <w:bCs/>
                <w:iCs/>
                <w:color w:val="auto"/>
                <w:sz w:val="20"/>
                <w:szCs w:val="20"/>
              </w:rPr>
            </w:pPr>
          </w:p>
        </w:tc>
        <w:tc>
          <w:tcPr>
            <w:tcW w:w="1218" w:type="dxa"/>
            <w:vAlign w:val="center"/>
          </w:tcPr>
          <w:p w14:paraId="7550D0CB">
            <w:pPr>
              <w:rPr>
                <w:bCs/>
                <w:iCs/>
                <w:color w:val="auto"/>
                <w:sz w:val="20"/>
                <w:szCs w:val="20"/>
              </w:rPr>
            </w:pPr>
          </w:p>
        </w:tc>
        <w:tc>
          <w:tcPr>
            <w:tcW w:w="1218" w:type="dxa"/>
            <w:vAlign w:val="center"/>
          </w:tcPr>
          <w:p w14:paraId="172A3E69">
            <w:pPr>
              <w:rPr>
                <w:bCs/>
                <w:iCs/>
                <w:color w:val="auto"/>
                <w:sz w:val="20"/>
                <w:szCs w:val="20"/>
              </w:rPr>
            </w:pPr>
          </w:p>
        </w:tc>
        <w:tc>
          <w:tcPr>
            <w:tcW w:w="1217" w:type="dxa"/>
            <w:vAlign w:val="center"/>
          </w:tcPr>
          <w:p w14:paraId="44B33D8B">
            <w:pPr>
              <w:rPr>
                <w:bCs/>
                <w:iCs/>
                <w:color w:val="auto"/>
                <w:sz w:val="20"/>
                <w:szCs w:val="20"/>
              </w:rPr>
            </w:pPr>
          </w:p>
        </w:tc>
        <w:tc>
          <w:tcPr>
            <w:tcW w:w="1218" w:type="dxa"/>
            <w:vAlign w:val="center"/>
          </w:tcPr>
          <w:p w14:paraId="69FE2BCC">
            <w:pPr>
              <w:rPr>
                <w:bCs/>
                <w:iCs/>
                <w:color w:val="auto"/>
                <w:sz w:val="20"/>
                <w:szCs w:val="20"/>
              </w:rPr>
            </w:pPr>
          </w:p>
        </w:tc>
        <w:tc>
          <w:tcPr>
            <w:tcW w:w="1218" w:type="dxa"/>
            <w:vAlign w:val="center"/>
          </w:tcPr>
          <w:p w14:paraId="60F09296">
            <w:pPr>
              <w:rPr>
                <w:bCs/>
                <w:iCs/>
                <w:color w:val="auto"/>
                <w:sz w:val="20"/>
                <w:szCs w:val="20"/>
              </w:rPr>
            </w:pPr>
          </w:p>
        </w:tc>
        <w:tc>
          <w:tcPr>
            <w:tcW w:w="1224" w:type="dxa"/>
            <w:vAlign w:val="center"/>
          </w:tcPr>
          <w:p w14:paraId="080491F2">
            <w:pPr>
              <w:rPr>
                <w:bCs/>
                <w:iCs/>
                <w:color w:val="auto"/>
                <w:sz w:val="20"/>
                <w:szCs w:val="20"/>
              </w:rPr>
            </w:pPr>
          </w:p>
        </w:tc>
      </w:tr>
      <w:tr w14:paraId="722E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60" w:hRule="atLeast"/>
        </w:trPr>
        <w:tc>
          <w:tcPr>
            <w:tcW w:w="3046" w:type="dxa"/>
            <w:gridSpan w:val="2"/>
            <w:vMerge w:val="continue"/>
            <w:vAlign w:val="center"/>
          </w:tcPr>
          <w:p w14:paraId="789B511C">
            <w:pPr>
              <w:rPr>
                <w:bCs/>
                <w:iCs/>
                <w:color w:val="auto"/>
                <w:sz w:val="20"/>
                <w:szCs w:val="20"/>
              </w:rPr>
            </w:pPr>
          </w:p>
        </w:tc>
        <w:tc>
          <w:tcPr>
            <w:tcW w:w="1218" w:type="dxa"/>
            <w:vAlign w:val="center"/>
          </w:tcPr>
          <w:p w14:paraId="01331AD8">
            <w:pPr>
              <w:rPr>
                <w:bCs/>
                <w:iCs/>
                <w:color w:val="auto"/>
                <w:sz w:val="20"/>
                <w:szCs w:val="20"/>
              </w:rPr>
            </w:pPr>
          </w:p>
        </w:tc>
        <w:tc>
          <w:tcPr>
            <w:tcW w:w="1217" w:type="dxa"/>
            <w:vAlign w:val="center"/>
          </w:tcPr>
          <w:p w14:paraId="56CF1FB5">
            <w:pPr>
              <w:rPr>
                <w:bCs/>
                <w:iCs/>
                <w:color w:val="auto"/>
                <w:sz w:val="20"/>
                <w:szCs w:val="20"/>
              </w:rPr>
            </w:pPr>
          </w:p>
        </w:tc>
        <w:tc>
          <w:tcPr>
            <w:tcW w:w="1248" w:type="dxa"/>
            <w:vAlign w:val="center"/>
          </w:tcPr>
          <w:p w14:paraId="6542CAC4">
            <w:pPr>
              <w:rPr>
                <w:bCs/>
                <w:iCs/>
                <w:color w:val="auto"/>
                <w:sz w:val="20"/>
                <w:szCs w:val="20"/>
              </w:rPr>
            </w:pPr>
          </w:p>
        </w:tc>
        <w:tc>
          <w:tcPr>
            <w:tcW w:w="1218" w:type="dxa"/>
            <w:vAlign w:val="center"/>
          </w:tcPr>
          <w:p w14:paraId="0AB7F52B">
            <w:pPr>
              <w:rPr>
                <w:bCs/>
                <w:iCs/>
                <w:color w:val="auto"/>
                <w:sz w:val="20"/>
                <w:szCs w:val="20"/>
              </w:rPr>
            </w:pPr>
          </w:p>
        </w:tc>
        <w:tc>
          <w:tcPr>
            <w:tcW w:w="1218" w:type="dxa"/>
            <w:vAlign w:val="center"/>
          </w:tcPr>
          <w:p w14:paraId="57A9AEEC">
            <w:pPr>
              <w:rPr>
                <w:bCs/>
                <w:iCs/>
                <w:color w:val="auto"/>
                <w:sz w:val="20"/>
                <w:szCs w:val="20"/>
              </w:rPr>
            </w:pPr>
          </w:p>
        </w:tc>
        <w:tc>
          <w:tcPr>
            <w:tcW w:w="1217" w:type="dxa"/>
            <w:vAlign w:val="center"/>
          </w:tcPr>
          <w:p w14:paraId="1B92124A">
            <w:pPr>
              <w:rPr>
                <w:bCs/>
                <w:iCs/>
                <w:color w:val="auto"/>
                <w:sz w:val="20"/>
                <w:szCs w:val="20"/>
              </w:rPr>
            </w:pPr>
          </w:p>
        </w:tc>
        <w:tc>
          <w:tcPr>
            <w:tcW w:w="1218" w:type="dxa"/>
            <w:vAlign w:val="center"/>
          </w:tcPr>
          <w:p w14:paraId="43F1667F">
            <w:pPr>
              <w:rPr>
                <w:bCs/>
                <w:iCs/>
                <w:color w:val="auto"/>
                <w:sz w:val="20"/>
                <w:szCs w:val="20"/>
              </w:rPr>
            </w:pPr>
          </w:p>
        </w:tc>
        <w:tc>
          <w:tcPr>
            <w:tcW w:w="1218" w:type="dxa"/>
            <w:vAlign w:val="center"/>
          </w:tcPr>
          <w:p w14:paraId="1C5D28D6">
            <w:pPr>
              <w:rPr>
                <w:bCs/>
                <w:iCs/>
                <w:color w:val="auto"/>
                <w:sz w:val="20"/>
                <w:szCs w:val="20"/>
              </w:rPr>
            </w:pPr>
          </w:p>
        </w:tc>
        <w:tc>
          <w:tcPr>
            <w:tcW w:w="1224" w:type="dxa"/>
            <w:vAlign w:val="center"/>
          </w:tcPr>
          <w:p w14:paraId="4028A15E">
            <w:pPr>
              <w:rPr>
                <w:bCs/>
                <w:iCs/>
                <w:color w:val="auto"/>
                <w:sz w:val="20"/>
                <w:szCs w:val="20"/>
              </w:rPr>
            </w:pPr>
          </w:p>
        </w:tc>
      </w:tr>
      <w:tr w14:paraId="2529E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1" w:hRule="atLeast"/>
        </w:trPr>
        <w:tc>
          <w:tcPr>
            <w:tcW w:w="3046" w:type="dxa"/>
            <w:gridSpan w:val="2"/>
            <w:vAlign w:val="center"/>
          </w:tcPr>
          <w:p w14:paraId="70A15699">
            <w:pPr>
              <w:rPr>
                <w:b/>
                <w:bCs/>
                <w:iCs/>
                <w:color w:val="auto"/>
                <w:sz w:val="20"/>
                <w:szCs w:val="20"/>
              </w:rPr>
            </w:pPr>
            <w:r>
              <w:rPr>
                <w:b/>
                <w:bCs/>
                <w:iCs/>
                <w:color w:val="auto"/>
                <w:sz w:val="20"/>
                <w:szCs w:val="20"/>
              </w:rPr>
              <w:t>Total Mensal (R$)</w:t>
            </w:r>
          </w:p>
        </w:tc>
        <w:tc>
          <w:tcPr>
            <w:tcW w:w="1218" w:type="dxa"/>
            <w:vAlign w:val="center"/>
          </w:tcPr>
          <w:p w14:paraId="3CB62679">
            <w:pPr>
              <w:rPr>
                <w:bCs/>
                <w:iCs/>
                <w:color w:val="auto"/>
                <w:sz w:val="20"/>
                <w:szCs w:val="20"/>
              </w:rPr>
            </w:pPr>
          </w:p>
        </w:tc>
        <w:tc>
          <w:tcPr>
            <w:tcW w:w="1217" w:type="dxa"/>
            <w:vAlign w:val="center"/>
          </w:tcPr>
          <w:p w14:paraId="6E5EA089">
            <w:pPr>
              <w:rPr>
                <w:bCs/>
                <w:iCs/>
                <w:color w:val="auto"/>
                <w:sz w:val="20"/>
                <w:szCs w:val="20"/>
              </w:rPr>
            </w:pPr>
          </w:p>
        </w:tc>
        <w:tc>
          <w:tcPr>
            <w:tcW w:w="1248" w:type="dxa"/>
            <w:vAlign w:val="center"/>
          </w:tcPr>
          <w:p w14:paraId="0AAF6B5B">
            <w:pPr>
              <w:rPr>
                <w:bCs/>
                <w:iCs/>
                <w:color w:val="auto"/>
                <w:sz w:val="20"/>
                <w:szCs w:val="20"/>
              </w:rPr>
            </w:pPr>
          </w:p>
        </w:tc>
        <w:tc>
          <w:tcPr>
            <w:tcW w:w="1218" w:type="dxa"/>
            <w:vAlign w:val="center"/>
          </w:tcPr>
          <w:p w14:paraId="172FC28E">
            <w:pPr>
              <w:rPr>
                <w:bCs/>
                <w:iCs/>
                <w:color w:val="auto"/>
                <w:sz w:val="20"/>
                <w:szCs w:val="20"/>
              </w:rPr>
            </w:pPr>
          </w:p>
        </w:tc>
        <w:tc>
          <w:tcPr>
            <w:tcW w:w="1218" w:type="dxa"/>
            <w:vAlign w:val="center"/>
          </w:tcPr>
          <w:p w14:paraId="4FF64E7B">
            <w:pPr>
              <w:rPr>
                <w:bCs/>
                <w:iCs/>
                <w:color w:val="auto"/>
                <w:sz w:val="20"/>
                <w:szCs w:val="20"/>
              </w:rPr>
            </w:pPr>
          </w:p>
        </w:tc>
        <w:tc>
          <w:tcPr>
            <w:tcW w:w="1217" w:type="dxa"/>
            <w:vAlign w:val="center"/>
          </w:tcPr>
          <w:p w14:paraId="31680ACB">
            <w:pPr>
              <w:rPr>
                <w:bCs/>
                <w:iCs/>
                <w:color w:val="auto"/>
                <w:sz w:val="20"/>
                <w:szCs w:val="20"/>
              </w:rPr>
            </w:pPr>
          </w:p>
        </w:tc>
        <w:tc>
          <w:tcPr>
            <w:tcW w:w="1218" w:type="dxa"/>
            <w:vAlign w:val="center"/>
          </w:tcPr>
          <w:p w14:paraId="31EA96C2">
            <w:pPr>
              <w:rPr>
                <w:bCs/>
                <w:iCs/>
                <w:color w:val="auto"/>
                <w:sz w:val="20"/>
                <w:szCs w:val="20"/>
              </w:rPr>
            </w:pPr>
          </w:p>
        </w:tc>
        <w:tc>
          <w:tcPr>
            <w:tcW w:w="1218" w:type="dxa"/>
            <w:vAlign w:val="center"/>
          </w:tcPr>
          <w:p w14:paraId="3800D63C">
            <w:pPr>
              <w:rPr>
                <w:bCs/>
                <w:iCs/>
                <w:color w:val="auto"/>
                <w:sz w:val="20"/>
                <w:szCs w:val="20"/>
              </w:rPr>
            </w:pPr>
          </w:p>
        </w:tc>
        <w:tc>
          <w:tcPr>
            <w:tcW w:w="1224" w:type="dxa"/>
            <w:vAlign w:val="center"/>
          </w:tcPr>
          <w:p w14:paraId="0AF6F8EE">
            <w:pPr>
              <w:rPr>
                <w:bCs/>
                <w:iCs/>
                <w:color w:val="auto"/>
                <w:sz w:val="20"/>
                <w:szCs w:val="20"/>
              </w:rPr>
            </w:pPr>
          </w:p>
        </w:tc>
      </w:tr>
      <w:tr w14:paraId="1DB3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1" w:hRule="atLeast"/>
        </w:trPr>
        <w:tc>
          <w:tcPr>
            <w:tcW w:w="3046" w:type="dxa"/>
            <w:gridSpan w:val="2"/>
            <w:vAlign w:val="center"/>
          </w:tcPr>
          <w:p w14:paraId="16A0DA07">
            <w:pPr>
              <w:rPr>
                <w:b/>
                <w:bCs/>
                <w:iCs/>
                <w:color w:val="auto"/>
                <w:sz w:val="20"/>
                <w:szCs w:val="20"/>
              </w:rPr>
            </w:pPr>
            <w:r>
              <w:rPr>
                <w:b/>
                <w:bCs/>
                <w:iCs/>
                <w:color w:val="auto"/>
                <w:sz w:val="20"/>
                <w:szCs w:val="20"/>
              </w:rPr>
              <w:t>Total Acumulado (R$)</w:t>
            </w:r>
          </w:p>
        </w:tc>
        <w:tc>
          <w:tcPr>
            <w:tcW w:w="1218" w:type="dxa"/>
            <w:vAlign w:val="center"/>
          </w:tcPr>
          <w:p w14:paraId="1D131E27">
            <w:pPr>
              <w:rPr>
                <w:bCs/>
                <w:iCs/>
                <w:color w:val="auto"/>
                <w:sz w:val="20"/>
                <w:szCs w:val="20"/>
              </w:rPr>
            </w:pPr>
          </w:p>
        </w:tc>
        <w:tc>
          <w:tcPr>
            <w:tcW w:w="1217" w:type="dxa"/>
            <w:vAlign w:val="center"/>
          </w:tcPr>
          <w:p w14:paraId="543377EE">
            <w:pPr>
              <w:rPr>
                <w:bCs/>
                <w:iCs/>
                <w:color w:val="auto"/>
                <w:sz w:val="20"/>
                <w:szCs w:val="20"/>
              </w:rPr>
            </w:pPr>
          </w:p>
        </w:tc>
        <w:tc>
          <w:tcPr>
            <w:tcW w:w="1248" w:type="dxa"/>
            <w:vAlign w:val="center"/>
          </w:tcPr>
          <w:p w14:paraId="0F030BEB">
            <w:pPr>
              <w:rPr>
                <w:bCs/>
                <w:iCs/>
                <w:color w:val="auto"/>
                <w:sz w:val="20"/>
                <w:szCs w:val="20"/>
              </w:rPr>
            </w:pPr>
          </w:p>
        </w:tc>
        <w:tc>
          <w:tcPr>
            <w:tcW w:w="1218" w:type="dxa"/>
            <w:vAlign w:val="center"/>
          </w:tcPr>
          <w:p w14:paraId="4E2896D5">
            <w:pPr>
              <w:rPr>
                <w:bCs/>
                <w:iCs/>
                <w:color w:val="auto"/>
                <w:sz w:val="20"/>
                <w:szCs w:val="20"/>
              </w:rPr>
            </w:pPr>
          </w:p>
        </w:tc>
        <w:tc>
          <w:tcPr>
            <w:tcW w:w="1218" w:type="dxa"/>
            <w:vAlign w:val="center"/>
          </w:tcPr>
          <w:p w14:paraId="7180547B">
            <w:pPr>
              <w:rPr>
                <w:bCs/>
                <w:iCs/>
                <w:color w:val="auto"/>
                <w:sz w:val="20"/>
                <w:szCs w:val="20"/>
              </w:rPr>
            </w:pPr>
          </w:p>
        </w:tc>
        <w:tc>
          <w:tcPr>
            <w:tcW w:w="1217" w:type="dxa"/>
            <w:vAlign w:val="center"/>
          </w:tcPr>
          <w:p w14:paraId="311573EA">
            <w:pPr>
              <w:rPr>
                <w:bCs/>
                <w:iCs/>
                <w:color w:val="auto"/>
                <w:sz w:val="20"/>
                <w:szCs w:val="20"/>
              </w:rPr>
            </w:pPr>
          </w:p>
        </w:tc>
        <w:tc>
          <w:tcPr>
            <w:tcW w:w="1218" w:type="dxa"/>
            <w:vAlign w:val="center"/>
          </w:tcPr>
          <w:p w14:paraId="0187CCB1">
            <w:pPr>
              <w:rPr>
                <w:bCs/>
                <w:iCs/>
                <w:color w:val="auto"/>
                <w:sz w:val="20"/>
                <w:szCs w:val="20"/>
              </w:rPr>
            </w:pPr>
          </w:p>
        </w:tc>
        <w:tc>
          <w:tcPr>
            <w:tcW w:w="1218" w:type="dxa"/>
            <w:vAlign w:val="center"/>
          </w:tcPr>
          <w:p w14:paraId="6E6FF72A">
            <w:pPr>
              <w:rPr>
                <w:bCs/>
                <w:iCs/>
                <w:color w:val="auto"/>
                <w:sz w:val="20"/>
                <w:szCs w:val="20"/>
              </w:rPr>
            </w:pPr>
          </w:p>
        </w:tc>
        <w:tc>
          <w:tcPr>
            <w:tcW w:w="1224" w:type="dxa"/>
            <w:vAlign w:val="center"/>
          </w:tcPr>
          <w:p w14:paraId="3AB4AA0D">
            <w:pPr>
              <w:rPr>
                <w:bCs/>
                <w:iCs/>
                <w:color w:val="auto"/>
                <w:sz w:val="20"/>
                <w:szCs w:val="20"/>
              </w:rPr>
            </w:pPr>
          </w:p>
        </w:tc>
      </w:tr>
      <w:tr w14:paraId="064C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1" w:hRule="atLeast"/>
        </w:trPr>
        <w:tc>
          <w:tcPr>
            <w:tcW w:w="3046" w:type="dxa"/>
            <w:gridSpan w:val="2"/>
            <w:vAlign w:val="center"/>
          </w:tcPr>
          <w:p w14:paraId="6FDFE996">
            <w:pPr>
              <w:rPr>
                <w:b/>
                <w:bCs/>
                <w:iCs/>
                <w:color w:val="auto"/>
                <w:sz w:val="20"/>
                <w:szCs w:val="20"/>
              </w:rPr>
            </w:pPr>
            <w:r>
              <w:rPr>
                <w:b/>
                <w:bCs/>
                <w:iCs/>
                <w:color w:val="auto"/>
                <w:sz w:val="20"/>
                <w:szCs w:val="20"/>
              </w:rPr>
              <w:t>Valor por Extenso:</w:t>
            </w:r>
            <w:r>
              <w:rPr>
                <w:bCs/>
                <w:iCs/>
                <w:color w:val="auto"/>
                <w:sz w:val="20"/>
                <w:szCs w:val="20"/>
              </w:rPr>
              <w:t xml:space="preserve"> </w:t>
            </w:r>
            <w:r>
              <w:rPr>
                <w:b/>
                <w:bCs/>
                <w:iCs/>
                <w:color w:val="auto"/>
                <w:sz w:val="20"/>
                <w:szCs w:val="20"/>
                <w:lang w:val="pt-PT"/>
              </w:rPr>
              <w:t>(Transferir para o Modelo 4 – Carta de Apresentação da Proposta)</w:t>
            </w:r>
          </w:p>
        </w:tc>
        <w:tc>
          <w:tcPr>
            <w:tcW w:w="10996" w:type="dxa"/>
            <w:gridSpan w:val="9"/>
            <w:vAlign w:val="center"/>
          </w:tcPr>
          <w:p w14:paraId="7C65D7BF">
            <w:pPr>
              <w:rPr>
                <w:bCs/>
                <w:iCs/>
                <w:color w:val="auto"/>
                <w:sz w:val="20"/>
                <w:szCs w:val="20"/>
              </w:rPr>
            </w:pPr>
          </w:p>
        </w:tc>
      </w:tr>
      <w:tr w14:paraId="1FA7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216" w:type="dxa"/>
          </w:tcPr>
          <w:p w14:paraId="44CD37CE">
            <w:pPr>
              <w:rPr>
                <w:b/>
                <w:bCs/>
                <w:iCs/>
                <w:color w:val="auto"/>
                <w:sz w:val="20"/>
                <w:szCs w:val="20"/>
              </w:rPr>
            </w:pPr>
            <w:r>
              <w:rPr>
                <w:b/>
                <w:bCs/>
                <w:iCs/>
                <w:color w:val="auto"/>
                <w:sz w:val="20"/>
                <w:szCs w:val="20"/>
              </w:rPr>
              <w:t>Data: [indicar]</w:t>
            </w:r>
          </w:p>
        </w:tc>
        <w:tc>
          <w:tcPr>
            <w:tcW w:w="11826" w:type="dxa"/>
            <w:gridSpan w:val="10"/>
          </w:tcPr>
          <w:p w14:paraId="638ED378">
            <w:pPr>
              <w:rPr>
                <w:b/>
                <w:bCs/>
                <w:iCs/>
                <w:color w:val="auto"/>
                <w:sz w:val="20"/>
                <w:szCs w:val="20"/>
              </w:rPr>
            </w:pPr>
            <w:r>
              <w:rPr>
                <w:b/>
                <w:bCs/>
                <w:iCs/>
                <w:color w:val="auto"/>
                <w:sz w:val="20"/>
                <w:szCs w:val="20"/>
              </w:rPr>
              <w:t>Assinatura: [assinar]</w:t>
            </w:r>
          </w:p>
        </w:tc>
      </w:tr>
      <w:tr w14:paraId="1D2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14042" w:type="dxa"/>
            <w:gridSpan w:val="11"/>
          </w:tcPr>
          <w:p w14:paraId="4BF0F250">
            <w:pPr>
              <w:rPr>
                <w:b/>
                <w:bCs/>
                <w:iCs/>
                <w:color w:val="auto"/>
                <w:sz w:val="20"/>
                <w:szCs w:val="20"/>
              </w:rPr>
            </w:pPr>
            <w:r>
              <w:rPr>
                <w:b/>
                <w:bCs/>
                <w:iCs/>
                <w:color w:val="auto"/>
                <w:sz w:val="20"/>
                <w:szCs w:val="20"/>
              </w:rPr>
              <w:t>Nome e Cargo: [indicar]</w:t>
            </w:r>
          </w:p>
        </w:tc>
      </w:tr>
    </w:tbl>
    <w:p w14:paraId="70B6DE15">
      <w:pPr>
        <w:rPr>
          <w:bCs/>
          <w:iCs/>
          <w:color w:val="auto"/>
          <w:sz w:val="20"/>
          <w:szCs w:val="20"/>
        </w:rPr>
      </w:pPr>
    </w:p>
    <w:p w14:paraId="347FB8A3">
      <w:pPr>
        <w:rPr>
          <w:bCs/>
          <w:iCs/>
          <w:color w:val="auto"/>
          <w:sz w:val="20"/>
          <w:szCs w:val="20"/>
        </w:rPr>
      </w:pPr>
      <w:r>
        <w:rPr>
          <w:bCs/>
          <w:iCs/>
          <w:color w:val="auto"/>
          <w:sz w:val="20"/>
          <w:szCs w:val="20"/>
        </w:rPr>
        <w:t>Nota: O Concorrente deverá apresentar o Cronograma de Atividades (Físico-Financeiro) indicando nas barras, o percentual de cada atividade previsto, para cada mês.</w:t>
      </w:r>
    </w:p>
    <w:p w14:paraId="06E62F7F">
      <w:pPr>
        <w:rPr>
          <w:bCs/>
          <w:iCs/>
          <w:sz w:val="20"/>
          <w:szCs w:val="20"/>
        </w:rPr>
      </w:pPr>
    </w:p>
    <w:p w14:paraId="44FE5570">
      <w:pPr>
        <w:rPr>
          <w:bCs/>
          <w:i/>
          <w:iCs/>
          <w:sz w:val="20"/>
          <w:szCs w:val="20"/>
        </w:rPr>
        <w:sectPr>
          <w:endnotePr>
            <w:numFmt w:val="decimal"/>
          </w:endnotePr>
          <w:pgSz w:w="16840" w:h="11907" w:orient="landscape"/>
          <w:pgMar w:top="1701" w:right="1134" w:bottom="1134" w:left="1701" w:header="720" w:footer="720" w:gutter="0"/>
          <w:pgBorders>
            <w:top w:val="none" w:sz="0" w:space="0"/>
            <w:left w:val="none" w:sz="0" w:space="0"/>
            <w:bottom w:val="none" w:sz="0" w:space="0"/>
            <w:right w:val="none" w:sz="0" w:space="0"/>
          </w:pgBorders>
          <w:cols w:space="720" w:num="1"/>
          <w:docGrid w:linePitch="326" w:charSpace="0"/>
        </w:sectPr>
      </w:pPr>
    </w:p>
    <w:p w14:paraId="498B9D0D">
      <w:pPr>
        <w:pStyle w:val="73"/>
      </w:pPr>
      <w:bookmarkStart w:id="309" w:name="_Toc138437018"/>
      <w:bookmarkStart w:id="310" w:name="_Toc400642344"/>
      <w:bookmarkStart w:id="311" w:name="_Toc168229976"/>
      <w:bookmarkStart w:id="312" w:name="_Toc113103940"/>
      <w:bookmarkStart w:id="313" w:name="_Toc88660849"/>
      <w:bookmarkStart w:id="314" w:name="_Toc153209006"/>
      <w:bookmarkStart w:id="315" w:name="_Toc99023984"/>
      <w:bookmarkStart w:id="316" w:name="_Toc174537347"/>
      <w:bookmarkStart w:id="317" w:name="_Toc400971600"/>
      <w:r>
        <w:t>MODELO 19 - QUADRO DEMONSTRATIVO DE COMPOSIÇÃO DO BDI</w:t>
      </w:r>
      <w:bookmarkEnd w:id="309"/>
      <w:bookmarkEnd w:id="310"/>
      <w:bookmarkEnd w:id="311"/>
      <w:bookmarkEnd w:id="312"/>
      <w:bookmarkEnd w:id="313"/>
      <w:bookmarkEnd w:id="314"/>
      <w:bookmarkEnd w:id="315"/>
      <w:bookmarkEnd w:id="316"/>
      <w:bookmarkEnd w:id="317"/>
    </w:p>
    <w:p w14:paraId="1BCF5DA9">
      <w:pPr>
        <w:jc w:val="both"/>
        <w:rPr>
          <w:bCs/>
          <w:i/>
          <w:iCs/>
          <w:sz w:val="20"/>
          <w:szCs w:val="20"/>
          <w:highlight w:val="yellow"/>
        </w:rPr>
      </w:pPr>
      <w:r>
        <w:rPr>
          <w:bCs/>
          <w:i/>
          <w:iCs/>
          <w:sz w:val="20"/>
          <w:szCs w:val="20"/>
          <w:highlight w:val="yellow"/>
        </w:rPr>
        <w:t>[deverá ser utilizado o modelo de demonstrativo de composição do BDI fornecido por meio eletrônico pelo Contratante]</w:t>
      </w:r>
    </w:p>
    <w:p w14:paraId="1272DBF1">
      <w:pPr>
        <w:jc w:val="both"/>
        <w:rPr>
          <w:bCs/>
          <w:i/>
          <w:iCs/>
          <w:sz w:val="20"/>
          <w:szCs w:val="20"/>
          <w:highlight w:val="yellow"/>
        </w:rPr>
      </w:pPr>
      <w:bookmarkStart w:id="318" w:name="_Hlk139184534"/>
      <w:r>
        <w:rPr>
          <w:bCs/>
          <w:i/>
          <w:iCs/>
          <w:sz w:val="20"/>
          <w:szCs w:val="20"/>
          <w:highlight w:val="yellow"/>
        </w:rPr>
        <w:t>[seguir a fórmula indicada abaixo e de acordo com o Acordão 2.622/2013 – TCU]</w:t>
      </w:r>
    </w:p>
    <w:bookmarkEnd w:id="318"/>
    <w:p w14:paraId="38DBA3BC">
      <w:pPr>
        <w:jc w:val="both"/>
        <w:rPr>
          <w:bCs/>
          <w:i/>
          <w:iCs/>
          <w:sz w:val="20"/>
          <w:szCs w:val="20"/>
        </w:rPr>
      </w:pPr>
      <w:r>
        <w:rPr>
          <w:bCs/>
          <w:i/>
          <w:iCs/>
          <w:sz w:val="20"/>
          <w:szCs w:val="20"/>
          <w:highlight w:val="yellow"/>
        </w:rPr>
        <w:t>[Esse Modelo deverá ser alterado após a Reforma Tributária ora em discussão no Congresso.]</w:t>
      </w:r>
    </w:p>
    <w:p w14:paraId="159533ED">
      <w:pPr>
        <w:jc w:val="both"/>
        <w:rPr>
          <w:bCs/>
          <w:iCs/>
          <w:sz w:val="20"/>
          <w:szCs w:val="20"/>
        </w:rPr>
      </w:pPr>
      <w:r>
        <w:rPr>
          <w:bCs/>
          <w:iCs/>
          <w:sz w:val="20"/>
          <w:szCs w:val="20"/>
        </w:rPr>
        <w:t>[O Concorrente deverá apresentar, para cada Lote para o qual apresenta Proposta, o Quadro Demonstrativo de Composição do BDI (</w:t>
      </w:r>
      <w:bookmarkStart w:id="319" w:name="_Hlk512424754"/>
      <w:r>
        <w:rPr>
          <w:bCs/>
          <w:iCs/>
          <w:sz w:val="20"/>
          <w:szCs w:val="20"/>
        </w:rPr>
        <w:t>Benefícios e Despesas Indiretas</w:t>
      </w:r>
      <w:bookmarkEnd w:id="319"/>
      <w:r>
        <w:rPr>
          <w:bCs/>
          <w:iCs/>
          <w:sz w:val="20"/>
          <w:szCs w:val="20"/>
        </w:rPr>
        <w:t xml:space="preserve">), de acordo com este formulário, utilizando um formulário para cada Lote, podendo ser utilizado modelo alternativo, à conveniência do Concorrente. </w:t>
      </w:r>
      <w:r>
        <w:rPr>
          <w:iCs/>
          <w:sz w:val="20"/>
          <w:szCs w:val="20"/>
          <w:lang w:val="pt-PT"/>
        </w:rPr>
        <w:t>Apresentar um Quadro de BDI para Obras e Serviços e um Quadro de BDI para Materiais</w:t>
      </w:r>
      <w:r>
        <w:rPr>
          <w:bCs/>
          <w:iCs/>
          <w:sz w:val="20"/>
          <w:szCs w:val="20"/>
        </w:rPr>
        <w:t>]</w:t>
      </w:r>
    </w:p>
    <w:tbl>
      <w:tblPr>
        <w:tblStyle w:val="12"/>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685"/>
        <w:gridCol w:w="1940"/>
        <w:gridCol w:w="3584"/>
      </w:tblGrid>
      <w:tr w14:paraId="23DE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02" w:hRule="atLeast"/>
        </w:trPr>
        <w:tc>
          <w:tcPr>
            <w:tcW w:w="9209" w:type="dxa"/>
            <w:gridSpan w:val="3"/>
            <w:vAlign w:val="center"/>
          </w:tcPr>
          <w:p w14:paraId="38ACABF1">
            <w:pPr>
              <w:rPr>
                <w:b/>
                <w:bCs/>
                <w:iCs/>
                <w:sz w:val="20"/>
                <w:szCs w:val="20"/>
              </w:rPr>
            </w:pPr>
            <w:r>
              <w:rPr>
                <w:b/>
                <w:bCs/>
                <w:iCs/>
                <w:sz w:val="20"/>
                <w:szCs w:val="20"/>
              </w:rPr>
              <w:t>Concorrente: [indicar]</w:t>
            </w:r>
          </w:p>
        </w:tc>
      </w:tr>
      <w:tr w14:paraId="792C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02" w:hRule="atLeast"/>
        </w:trPr>
        <w:tc>
          <w:tcPr>
            <w:tcW w:w="3685" w:type="dxa"/>
            <w:vAlign w:val="center"/>
          </w:tcPr>
          <w:p w14:paraId="5C1988C7">
            <w:pPr>
              <w:rPr>
                <w:b/>
                <w:bCs/>
                <w:iCs/>
                <w:sz w:val="20"/>
                <w:szCs w:val="20"/>
              </w:rPr>
            </w:pPr>
            <w:r>
              <w:rPr>
                <w:b/>
                <w:bCs/>
                <w:iCs/>
                <w:sz w:val="20"/>
                <w:szCs w:val="20"/>
              </w:rPr>
              <w:t>Concorrência Eletrônica – LPN Nº: [indicar]</w:t>
            </w:r>
          </w:p>
        </w:tc>
        <w:tc>
          <w:tcPr>
            <w:tcW w:w="1940" w:type="dxa"/>
            <w:vAlign w:val="center"/>
          </w:tcPr>
          <w:p w14:paraId="4CD35C01">
            <w:pPr>
              <w:rPr>
                <w:b/>
                <w:bCs/>
                <w:iCs/>
                <w:sz w:val="20"/>
                <w:szCs w:val="20"/>
              </w:rPr>
            </w:pPr>
            <w:r>
              <w:rPr>
                <w:b/>
                <w:bCs/>
                <w:iCs/>
                <w:sz w:val="20"/>
                <w:szCs w:val="20"/>
              </w:rPr>
              <w:t>Lote Nº: [indicar]</w:t>
            </w:r>
          </w:p>
        </w:tc>
        <w:tc>
          <w:tcPr>
            <w:tcW w:w="3584" w:type="dxa"/>
            <w:vAlign w:val="center"/>
          </w:tcPr>
          <w:p w14:paraId="403DB019">
            <w:pPr>
              <w:rPr>
                <w:b/>
                <w:bCs/>
                <w:iCs/>
                <w:sz w:val="20"/>
                <w:szCs w:val="20"/>
              </w:rPr>
            </w:pPr>
            <w:r>
              <w:rPr>
                <w:b/>
                <w:bCs/>
                <w:iCs/>
                <w:sz w:val="20"/>
                <w:szCs w:val="20"/>
              </w:rPr>
              <w:t>Página: [indicar] de [indicar]</w:t>
            </w:r>
          </w:p>
        </w:tc>
      </w:tr>
      <w:tr w14:paraId="361D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02" w:hRule="atLeast"/>
        </w:trPr>
        <w:tc>
          <w:tcPr>
            <w:tcW w:w="9209" w:type="dxa"/>
            <w:gridSpan w:val="3"/>
            <w:vAlign w:val="center"/>
          </w:tcPr>
          <w:p w14:paraId="790CE146">
            <w:pPr>
              <w:rPr>
                <w:b/>
                <w:bCs/>
                <w:iCs/>
                <w:sz w:val="20"/>
                <w:szCs w:val="20"/>
              </w:rPr>
            </w:pPr>
            <w:r>
              <w:rPr>
                <w:b/>
                <w:bCs/>
                <w:iCs/>
                <w:sz w:val="20"/>
                <w:szCs w:val="20"/>
              </w:rPr>
              <w:t>Obra:</w:t>
            </w:r>
            <w:r>
              <w:rPr>
                <w:bCs/>
                <w:iCs/>
                <w:sz w:val="20"/>
                <w:szCs w:val="20"/>
              </w:rPr>
              <w:t xml:space="preserve"> [indicar a Obra]</w:t>
            </w:r>
          </w:p>
        </w:tc>
      </w:tr>
    </w:tbl>
    <w:p w14:paraId="3D87E7C0">
      <w:pPr>
        <w:spacing w:after="0"/>
        <w:rPr>
          <w:b/>
          <w:bCs/>
          <w:iCs/>
          <w:sz w:val="20"/>
          <w:szCs w:val="20"/>
        </w:rPr>
      </w:pPr>
    </w:p>
    <w:p w14:paraId="18F0A7CB">
      <w:pPr>
        <w:spacing w:after="0"/>
        <w:rPr>
          <w:bCs/>
          <w:iCs/>
          <w:sz w:val="20"/>
          <w:szCs w:val="20"/>
        </w:rPr>
      </w:pPr>
      <w:r>
        <w:rPr>
          <w:b/>
          <w:bCs/>
          <w:iCs/>
          <w:sz w:val="20"/>
          <w:szCs w:val="20"/>
        </w:rPr>
        <w:t>Metodologia</w:t>
      </w:r>
      <w:r>
        <w:rPr>
          <w:bCs/>
          <w:iCs/>
          <w:sz w:val="20"/>
          <w:szCs w:val="20"/>
        </w:rPr>
        <w:t>: [indicar “Sem Desoneração” ou “Com Desoneração”]</w:t>
      </w:r>
    </w:p>
    <w:p w14:paraId="1B815DD7">
      <w:pPr>
        <w:spacing w:after="0"/>
        <w:rPr>
          <w:bCs/>
          <w:iCs/>
          <w:sz w:val="20"/>
          <w:szCs w:val="20"/>
        </w:rPr>
      </w:pPr>
    </w:p>
    <w:tbl>
      <w:tblPr>
        <w:tblStyle w:val="12"/>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063"/>
        <w:gridCol w:w="3894"/>
        <w:gridCol w:w="1275"/>
        <w:gridCol w:w="2977"/>
      </w:tblGrid>
      <w:tr w14:paraId="7DD2C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582" w:hRule="atLeast"/>
        </w:trPr>
        <w:tc>
          <w:tcPr>
            <w:tcW w:w="1063" w:type="dxa"/>
            <w:vAlign w:val="center"/>
          </w:tcPr>
          <w:p w14:paraId="6693A1FD">
            <w:pPr>
              <w:spacing w:before="120" w:after="120"/>
              <w:jc w:val="center"/>
              <w:rPr>
                <w:b/>
                <w:bCs/>
                <w:iCs/>
                <w:sz w:val="20"/>
                <w:szCs w:val="20"/>
              </w:rPr>
            </w:pPr>
            <w:r>
              <w:rPr>
                <w:b/>
                <w:bCs/>
                <w:iCs/>
                <w:sz w:val="20"/>
                <w:szCs w:val="20"/>
              </w:rPr>
              <w:t>ITEM N</w:t>
            </w:r>
            <w:r>
              <w:rPr>
                <w:b/>
                <w:bCs/>
                <w:iCs/>
                <w:sz w:val="20"/>
                <w:szCs w:val="20"/>
                <w:u w:val="single"/>
                <w:vertAlign w:val="superscript"/>
              </w:rPr>
              <w:t>o</w:t>
            </w:r>
          </w:p>
        </w:tc>
        <w:tc>
          <w:tcPr>
            <w:tcW w:w="3894" w:type="dxa"/>
            <w:vAlign w:val="center"/>
          </w:tcPr>
          <w:p w14:paraId="7FCB310F">
            <w:pPr>
              <w:spacing w:before="120" w:after="120"/>
              <w:jc w:val="center"/>
              <w:rPr>
                <w:b/>
                <w:bCs/>
                <w:iCs/>
                <w:sz w:val="20"/>
                <w:szCs w:val="20"/>
              </w:rPr>
            </w:pPr>
            <w:r>
              <w:rPr>
                <w:b/>
                <w:bCs/>
                <w:iCs/>
                <w:sz w:val="20"/>
                <w:szCs w:val="20"/>
              </w:rPr>
              <w:t>DISCRIMINAÇÃO</w:t>
            </w:r>
          </w:p>
        </w:tc>
        <w:tc>
          <w:tcPr>
            <w:tcW w:w="1275" w:type="dxa"/>
            <w:vAlign w:val="center"/>
          </w:tcPr>
          <w:p w14:paraId="5E29A408">
            <w:pPr>
              <w:spacing w:before="120" w:after="120"/>
              <w:jc w:val="center"/>
              <w:rPr>
                <w:b/>
                <w:bCs/>
                <w:iCs/>
                <w:sz w:val="20"/>
                <w:szCs w:val="20"/>
              </w:rPr>
            </w:pPr>
            <w:r>
              <w:rPr>
                <w:b/>
                <w:bCs/>
                <w:iCs/>
                <w:sz w:val="20"/>
                <w:szCs w:val="20"/>
              </w:rPr>
              <w:t>CÓDIGO</w:t>
            </w:r>
          </w:p>
        </w:tc>
        <w:tc>
          <w:tcPr>
            <w:tcW w:w="2977" w:type="dxa"/>
            <w:vAlign w:val="center"/>
          </w:tcPr>
          <w:p w14:paraId="41D65A79">
            <w:pPr>
              <w:spacing w:before="120" w:after="120"/>
              <w:jc w:val="center"/>
              <w:rPr>
                <w:b/>
                <w:bCs/>
                <w:iCs/>
                <w:sz w:val="20"/>
                <w:szCs w:val="20"/>
              </w:rPr>
            </w:pPr>
            <w:r>
              <w:rPr>
                <w:b/>
                <w:bCs/>
                <w:iCs/>
                <w:sz w:val="20"/>
                <w:szCs w:val="20"/>
              </w:rPr>
              <w:t>VALORES PERCENTUAIS</w:t>
            </w:r>
          </w:p>
        </w:tc>
      </w:tr>
      <w:tr w14:paraId="3DB1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540B1056">
            <w:pPr>
              <w:rPr>
                <w:bCs/>
                <w:iCs/>
                <w:sz w:val="20"/>
                <w:szCs w:val="20"/>
              </w:rPr>
            </w:pPr>
            <w:r>
              <w:rPr>
                <w:bCs/>
                <w:iCs/>
                <w:sz w:val="20"/>
                <w:szCs w:val="20"/>
              </w:rPr>
              <w:t>1</w:t>
            </w:r>
          </w:p>
        </w:tc>
        <w:tc>
          <w:tcPr>
            <w:tcW w:w="3894" w:type="dxa"/>
            <w:vAlign w:val="center"/>
          </w:tcPr>
          <w:p w14:paraId="63C2315B">
            <w:pPr>
              <w:rPr>
                <w:bCs/>
                <w:iCs/>
                <w:sz w:val="20"/>
                <w:szCs w:val="20"/>
              </w:rPr>
            </w:pPr>
            <w:r>
              <w:rPr>
                <w:bCs/>
                <w:iCs/>
                <w:sz w:val="20"/>
                <w:szCs w:val="20"/>
              </w:rPr>
              <w:t>Administração Central</w:t>
            </w:r>
          </w:p>
        </w:tc>
        <w:tc>
          <w:tcPr>
            <w:tcW w:w="1275" w:type="dxa"/>
            <w:vAlign w:val="center"/>
          </w:tcPr>
          <w:p w14:paraId="54BCFA57">
            <w:pPr>
              <w:rPr>
                <w:bCs/>
                <w:iCs/>
                <w:sz w:val="20"/>
                <w:szCs w:val="20"/>
              </w:rPr>
            </w:pPr>
            <w:r>
              <w:rPr>
                <w:bCs/>
                <w:iCs/>
                <w:sz w:val="20"/>
                <w:szCs w:val="20"/>
              </w:rPr>
              <w:t>AC</w:t>
            </w:r>
          </w:p>
        </w:tc>
        <w:tc>
          <w:tcPr>
            <w:tcW w:w="2977" w:type="dxa"/>
            <w:vAlign w:val="center"/>
          </w:tcPr>
          <w:p w14:paraId="77EE11BE">
            <w:pPr>
              <w:rPr>
                <w:bCs/>
                <w:iCs/>
                <w:sz w:val="20"/>
                <w:szCs w:val="20"/>
              </w:rPr>
            </w:pPr>
            <w:r>
              <w:rPr>
                <w:bCs/>
                <w:iCs/>
                <w:sz w:val="20"/>
                <w:szCs w:val="20"/>
              </w:rPr>
              <w:t>[indicar]</w:t>
            </w:r>
          </w:p>
        </w:tc>
      </w:tr>
      <w:tr w14:paraId="0A17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3AE9419F">
            <w:pPr>
              <w:rPr>
                <w:bCs/>
                <w:iCs/>
                <w:sz w:val="20"/>
                <w:szCs w:val="20"/>
              </w:rPr>
            </w:pPr>
            <w:r>
              <w:rPr>
                <w:bCs/>
                <w:iCs/>
                <w:sz w:val="20"/>
                <w:szCs w:val="20"/>
              </w:rPr>
              <w:t>2</w:t>
            </w:r>
          </w:p>
        </w:tc>
        <w:tc>
          <w:tcPr>
            <w:tcW w:w="3894" w:type="dxa"/>
            <w:vAlign w:val="center"/>
          </w:tcPr>
          <w:p w14:paraId="4EA29A52">
            <w:pPr>
              <w:rPr>
                <w:bCs/>
                <w:iCs/>
                <w:sz w:val="20"/>
                <w:szCs w:val="20"/>
              </w:rPr>
            </w:pPr>
            <w:r>
              <w:rPr>
                <w:bCs/>
                <w:iCs/>
                <w:sz w:val="20"/>
                <w:szCs w:val="20"/>
              </w:rPr>
              <w:t>Riscos</w:t>
            </w:r>
          </w:p>
        </w:tc>
        <w:tc>
          <w:tcPr>
            <w:tcW w:w="1275" w:type="dxa"/>
            <w:vAlign w:val="center"/>
          </w:tcPr>
          <w:p w14:paraId="2547C412">
            <w:pPr>
              <w:rPr>
                <w:bCs/>
                <w:iCs/>
                <w:sz w:val="20"/>
                <w:szCs w:val="20"/>
              </w:rPr>
            </w:pPr>
            <w:r>
              <w:rPr>
                <w:bCs/>
                <w:iCs/>
                <w:sz w:val="20"/>
                <w:szCs w:val="20"/>
              </w:rPr>
              <w:t>R</w:t>
            </w:r>
          </w:p>
        </w:tc>
        <w:tc>
          <w:tcPr>
            <w:tcW w:w="2977" w:type="dxa"/>
            <w:vAlign w:val="center"/>
          </w:tcPr>
          <w:p w14:paraId="5091C317">
            <w:pPr>
              <w:rPr>
                <w:bCs/>
                <w:iCs/>
                <w:sz w:val="20"/>
                <w:szCs w:val="20"/>
              </w:rPr>
            </w:pPr>
            <w:r>
              <w:rPr>
                <w:bCs/>
                <w:iCs/>
                <w:sz w:val="20"/>
                <w:szCs w:val="20"/>
              </w:rPr>
              <w:t>[indicar]</w:t>
            </w:r>
          </w:p>
        </w:tc>
      </w:tr>
      <w:tr w14:paraId="67A4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53D44384">
            <w:pPr>
              <w:rPr>
                <w:bCs/>
                <w:iCs/>
                <w:sz w:val="20"/>
                <w:szCs w:val="20"/>
              </w:rPr>
            </w:pPr>
            <w:r>
              <w:rPr>
                <w:bCs/>
                <w:iCs/>
                <w:sz w:val="20"/>
                <w:szCs w:val="20"/>
              </w:rPr>
              <w:t>3</w:t>
            </w:r>
          </w:p>
        </w:tc>
        <w:tc>
          <w:tcPr>
            <w:tcW w:w="3894" w:type="dxa"/>
            <w:vAlign w:val="center"/>
          </w:tcPr>
          <w:p w14:paraId="422AB1A5">
            <w:pPr>
              <w:rPr>
                <w:bCs/>
                <w:iCs/>
                <w:sz w:val="20"/>
                <w:szCs w:val="20"/>
              </w:rPr>
            </w:pPr>
            <w:r>
              <w:rPr>
                <w:bCs/>
                <w:iCs/>
                <w:sz w:val="20"/>
                <w:szCs w:val="20"/>
              </w:rPr>
              <w:t>Seguros e Garantias Contratuais</w:t>
            </w:r>
          </w:p>
        </w:tc>
        <w:tc>
          <w:tcPr>
            <w:tcW w:w="1275" w:type="dxa"/>
            <w:vAlign w:val="center"/>
          </w:tcPr>
          <w:p w14:paraId="5C1506B0">
            <w:pPr>
              <w:rPr>
                <w:bCs/>
                <w:iCs/>
                <w:sz w:val="20"/>
                <w:szCs w:val="20"/>
              </w:rPr>
            </w:pPr>
            <w:r>
              <w:rPr>
                <w:bCs/>
                <w:iCs/>
                <w:sz w:val="20"/>
                <w:szCs w:val="20"/>
              </w:rPr>
              <w:t>SG</w:t>
            </w:r>
          </w:p>
        </w:tc>
        <w:tc>
          <w:tcPr>
            <w:tcW w:w="2977" w:type="dxa"/>
            <w:vAlign w:val="center"/>
          </w:tcPr>
          <w:p w14:paraId="6C6BC508">
            <w:pPr>
              <w:rPr>
                <w:bCs/>
                <w:iCs/>
                <w:sz w:val="20"/>
                <w:szCs w:val="20"/>
              </w:rPr>
            </w:pPr>
            <w:r>
              <w:rPr>
                <w:bCs/>
                <w:iCs/>
                <w:sz w:val="20"/>
                <w:szCs w:val="20"/>
              </w:rPr>
              <w:t>[indicar]</w:t>
            </w:r>
          </w:p>
        </w:tc>
      </w:tr>
      <w:tr w14:paraId="72C2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4278F6DE">
            <w:pPr>
              <w:rPr>
                <w:bCs/>
                <w:iCs/>
                <w:sz w:val="20"/>
                <w:szCs w:val="20"/>
              </w:rPr>
            </w:pPr>
            <w:r>
              <w:rPr>
                <w:bCs/>
                <w:iCs/>
                <w:sz w:val="20"/>
                <w:szCs w:val="20"/>
              </w:rPr>
              <w:t>4</w:t>
            </w:r>
          </w:p>
        </w:tc>
        <w:tc>
          <w:tcPr>
            <w:tcW w:w="3894" w:type="dxa"/>
            <w:vAlign w:val="center"/>
          </w:tcPr>
          <w:p w14:paraId="78696E54">
            <w:pPr>
              <w:rPr>
                <w:bCs/>
                <w:iCs/>
                <w:sz w:val="20"/>
                <w:szCs w:val="20"/>
              </w:rPr>
            </w:pPr>
            <w:r>
              <w:rPr>
                <w:bCs/>
                <w:iCs/>
                <w:sz w:val="20"/>
                <w:szCs w:val="20"/>
              </w:rPr>
              <w:t>Despesas Financeiras</w:t>
            </w:r>
          </w:p>
        </w:tc>
        <w:tc>
          <w:tcPr>
            <w:tcW w:w="1275" w:type="dxa"/>
            <w:vAlign w:val="center"/>
          </w:tcPr>
          <w:p w14:paraId="3D59ED75">
            <w:pPr>
              <w:rPr>
                <w:bCs/>
                <w:iCs/>
                <w:sz w:val="20"/>
                <w:szCs w:val="20"/>
              </w:rPr>
            </w:pPr>
            <w:r>
              <w:rPr>
                <w:bCs/>
                <w:iCs/>
                <w:sz w:val="20"/>
                <w:szCs w:val="20"/>
              </w:rPr>
              <w:t>DF</w:t>
            </w:r>
          </w:p>
        </w:tc>
        <w:tc>
          <w:tcPr>
            <w:tcW w:w="2977" w:type="dxa"/>
            <w:vAlign w:val="center"/>
          </w:tcPr>
          <w:p w14:paraId="2185504E">
            <w:pPr>
              <w:rPr>
                <w:bCs/>
                <w:iCs/>
                <w:sz w:val="20"/>
                <w:szCs w:val="20"/>
              </w:rPr>
            </w:pPr>
            <w:r>
              <w:rPr>
                <w:bCs/>
                <w:iCs/>
                <w:sz w:val="20"/>
                <w:szCs w:val="20"/>
              </w:rPr>
              <w:t>[indicar]</w:t>
            </w:r>
          </w:p>
        </w:tc>
      </w:tr>
      <w:tr w14:paraId="3B25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0F55E0AB">
            <w:pPr>
              <w:rPr>
                <w:bCs/>
                <w:iCs/>
                <w:sz w:val="20"/>
                <w:szCs w:val="20"/>
              </w:rPr>
            </w:pPr>
            <w:r>
              <w:rPr>
                <w:bCs/>
                <w:iCs/>
                <w:sz w:val="20"/>
                <w:szCs w:val="20"/>
              </w:rPr>
              <w:t>5</w:t>
            </w:r>
          </w:p>
        </w:tc>
        <w:tc>
          <w:tcPr>
            <w:tcW w:w="3894" w:type="dxa"/>
            <w:vAlign w:val="center"/>
          </w:tcPr>
          <w:p w14:paraId="192C9425">
            <w:pPr>
              <w:rPr>
                <w:bCs/>
                <w:iCs/>
                <w:sz w:val="20"/>
                <w:szCs w:val="20"/>
              </w:rPr>
            </w:pPr>
            <w:r>
              <w:rPr>
                <w:bCs/>
                <w:iCs/>
                <w:sz w:val="20"/>
                <w:szCs w:val="20"/>
              </w:rPr>
              <w:t>Lucro</w:t>
            </w:r>
          </w:p>
        </w:tc>
        <w:tc>
          <w:tcPr>
            <w:tcW w:w="1275" w:type="dxa"/>
            <w:vAlign w:val="center"/>
          </w:tcPr>
          <w:p w14:paraId="4789DD6A">
            <w:pPr>
              <w:rPr>
                <w:bCs/>
                <w:iCs/>
                <w:sz w:val="20"/>
                <w:szCs w:val="20"/>
              </w:rPr>
            </w:pPr>
            <w:r>
              <w:rPr>
                <w:bCs/>
                <w:iCs/>
                <w:sz w:val="20"/>
                <w:szCs w:val="20"/>
              </w:rPr>
              <w:t>L</w:t>
            </w:r>
          </w:p>
        </w:tc>
        <w:tc>
          <w:tcPr>
            <w:tcW w:w="2977" w:type="dxa"/>
            <w:vAlign w:val="center"/>
          </w:tcPr>
          <w:p w14:paraId="1C592DAB">
            <w:pPr>
              <w:rPr>
                <w:bCs/>
                <w:iCs/>
                <w:sz w:val="20"/>
                <w:szCs w:val="20"/>
              </w:rPr>
            </w:pPr>
            <w:r>
              <w:rPr>
                <w:bCs/>
                <w:iCs/>
                <w:sz w:val="20"/>
                <w:szCs w:val="20"/>
              </w:rPr>
              <w:t>[indicar]</w:t>
            </w:r>
          </w:p>
        </w:tc>
      </w:tr>
      <w:tr w14:paraId="1658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957" w:type="dxa"/>
            <w:gridSpan w:val="2"/>
            <w:vAlign w:val="center"/>
          </w:tcPr>
          <w:p w14:paraId="61E3D8CF">
            <w:pPr>
              <w:rPr>
                <w:bCs/>
                <w:iCs/>
                <w:sz w:val="20"/>
                <w:szCs w:val="20"/>
              </w:rPr>
            </w:pPr>
            <w:r>
              <w:rPr>
                <w:bCs/>
                <w:iCs/>
                <w:sz w:val="20"/>
                <w:szCs w:val="20"/>
              </w:rPr>
              <w:t>Impostos sobre o faturamento:</w:t>
            </w:r>
          </w:p>
        </w:tc>
        <w:tc>
          <w:tcPr>
            <w:tcW w:w="1275" w:type="dxa"/>
            <w:vAlign w:val="center"/>
          </w:tcPr>
          <w:p w14:paraId="1B2CACB0">
            <w:pPr>
              <w:rPr>
                <w:bCs/>
                <w:iCs/>
                <w:sz w:val="20"/>
                <w:szCs w:val="20"/>
              </w:rPr>
            </w:pPr>
          </w:p>
        </w:tc>
        <w:tc>
          <w:tcPr>
            <w:tcW w:w="2977" w:type="dxa"/>
            <w:vAlign w:val="center"/>
          </w:tcPr>
          <w:p w14:paraId="6579089C">
            <w:pPr>
              <w:rPr>
                <w:bCs/>
                <w:iCs/>
                <w:sz w:val="20"/>
                <w:szCs w:val="20"/>
              </w:rPr>
            </w:pPr>
          </w:p>
        </w:tc>
      </w:tr>
      <w:tr w14:paraId="3F189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3B54586E">
            <w:pPr>
              <w:rPr>
                <w:bCs/>
                <w:iCs/>
                <w:sz w:val="20"/>
                <w:szCs w:val="20"/>
              </w:rPr>
            </w:pPr>
            <w:r>
              <w:rPr>
                <w:bCs/>
                <w:iCs/>
                <w:sz w:val="20"/>
                <w:szCs w:val="20"/>
              </w:rPr>
              <w:t>6</w:t>
            </w:r>
          </w:p>
        </w:tc>
        <w:tc>
          <w:tcPr>
            <w:tcW w:w="3894" w:type="dxa"/>
            <w:vAlign w:val="center"/>
          </w:tcPr>
          <w:p w14:paraId="79B73420">
            <w:pPr>
              <w:rPr>
                <w:bCs/>
                <w:iCs/>
                <w:sz w:val="20"/>
                <w:szCs w:val="20"/>
              </w:rPr>
            </w:pPr>
            <w:r>
              <w:rPr>
                <w:bCs/>
                <w:iCs/>
                <w:sz w:val="20"/>
                <w:szCs w:val="20"/>
              </w:rPr>
              <w:t xml:space="preserve">ISS </w:t>
            </w:r>
            <w:r>
              <w:rPr>
                <w:bCs/>
                <w:iCs/>
                <w:sz w:val="20"/>
                <w:szCs w:val="20"/>
                <w:vertAlign w:val="superscript"/>
              </w:rPr>
              <w:footnoteReference w:id="6"/>
            </w:r>
          </w:p>
        </w:tc>
        <w:tc>
          <w:tcPr>
            <w:tcW w:w="1275" w:type="dxa"/>
            <w:vAlign w:val="center"/>
          </w:tcPr>
          <w:p w14:paraId="3AA7C6CD">
            <w:pPr>
              <w:rPr>
                <w:bCs/>
                <w:iCs/>
                <w:sz w:val="20"/>
                <w:szCs w:val="20"/>
              </w:rPr>
            </w:pPr>
            <w:r>
              <w:rPr>
                <w:bCs/>
                <w:iCs/>
                <w:sz w:val="20"/>
                <w:szCs w:val="20"/>
              </w:rPr>
              <w:t>L1</w:t>
            </w:r>
          </w:p>
        </w:tc>
        <w:tc>
          <w:tcPr>
            <w:tcW w:w="2977" w:type="dxa"/>
            <w:vAlign w:val="center"/>
          </w:tcPr>
          <w:p w14:paraId="7A666BCD">
            <w:pPr>
              <w:rPr>
                <w:bCs/>
                <w:iCs/>
                <w:sz w:val="20"/>
                <w:szCs w:val="20"/>
              </w:rPr>
            </w:pPr>
            <w:r>
              <w:rPr>
                <w:bCs/>
                <w:iCs/>
                <w:sz w:val="20"/>
                <w:szCs w:val="20"/>
              </w:rPr>
              <w:t>[indicar]</w:t>
            </w:r>
          </w:p>
        </w:tc>
      </w:tr>
      <w:tr w14:paraId="5BDA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3DC137F3">
            <w:pPr>
              <w:rPr>
                <w:bCs/>
                <w:iCs/>
                <w:sz w:val="20"/>
                <w:szCs w:val="20"/>
              </w:rPr>
            </w:pPr>
            <w:r>
              <w:rPr>
                <w:bCs/>
                <w:iCs/>
                <w:sz w:val="20"/>
                <w:szCs w:val="20"/>
              </w:rPr>
              <w:t>7</w:t>
            </w:r>
          </w:p>
        </w:tc>
        <w:tc>
          <w:tcPr>
            <w:tcW w:w="3894" w:type="dxa"/>
            <w:vAlign w:val="center"/>
          </w:tcPr>
          <w:p w14:paraId="70948AC8">
            <w:pPr>
              <w:rPr>
                <w:bCs/>
                <w:iCs/>
                <w:sz w:val="20"/>
                <w:szCs w:val="20"/>
              </w:rPr>
            </w:pPr>
            <w:r>
              <w:rPr>
                <w:bCs/>
                <w:iCs/>
                <w:sz w:val="20"/>
                <w:szCs w:val="20"/>
              </w:rPr>
              <w:t xml:space="preserve">COFINS </w:t>
            </w:r>
            <w:r>
              <w:rPr>
                <w:bCs/>
                <w:iCs/>
                <w:sz w:val="20"/>
                <w:szCs w:val="20"/>
                <w:vertAlign w:val="superscript"/>
              </w:rPr>
              <w:footnoteReference w:id="7"/>
            </w:r>
          </w:p>
        </w:tc>
        <w:tc>
          <w:tcPr>
            <w:tcW w:w="1275" w:type="dxa"/>
            <w:vAlign w:val="center"/>
          </w:tcPr>
          <w:p w14:paraId="0E366BE1">
            <w:pPr>
              <w:rPr>
                <w:bCs/>
                <w:iCs/>
                <w:sz w:val="20"/>
                <w:szCs w:val="20"/>
              </w:rPr>
            </w:pPr>
            <w:r>
              <w:rPr>
                <w:bCs/>
                <w:iCs/>
                <w:sz w:val="20"/>
                <w:szCs w:val="20"/>
              </w:rPr>
              <w:t>L2</w:t>
            </w:r>
          </w:p>
        </w:tc>
        <w:tc>
          <w:tcPr>
            <w:tcW w:w="2977" w:type="dxa"/>
            <w:vAlign w:val="center"/>
          </w:tcPr>
          <w:p w14:paraId="34FF1D44">
            <w:pPr>
              <w:rPr>
                <w:bCs/>
                <w:iCs/>
                <w:sz w:val="20"/>
                <w:szCs w:val="20"/>
              </w:rPr>
            </w:pPr>
            <w:r>
              <w:rPr>
                <w:bCs/>
                <w:iCs/>
                <w:sz w:val="20"/>
                <w:szCs w:val="20"/>
              </w:rPr>
              <w:t>[indicar]</w:t>
            </w:r>
          </w:p>
        </w:tc>
      </w:tr>
      <w:tr w14:paraId="3BB52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4D7DB9B1">
            <w:pPr>
              <w:rPr>
                <w:bCs/>
                <w:iCs/>
                <w:sz w:val="20"/>
                <w:szCs w:val="20"/>
              </w:rPr>
            </w:pPr>
            <w:r>
              <w:rPr>
                <w:bCs/>
                <w:iCs/>
                <w:sz w:val="20"/>
                <w:szCs w:val="20"/>
              </w:rPr>
              <w:t>8</w:t>
            </w:r>
          </w:p>
        </w:tc>
        <w:tc>
          <w:tcPr>
            <w:tcW w:w="3894" w:type="dxa"/>
            <w:vAlign w:val="center"/>
          </w:tcPr>
          <w:p w14:paraId="2DA8BD9A">
            <w:pPr>
              <w:rPr>
                <w:bCs/>
                <w:iCs/>
                <w:sz w:val="20"/>
                <w:szCs w:val="20"/>
              </w:rPr>
            </w:pPr>
            <w:r>
              <w:rPr>
                <w:bCs/>
                <w:iCs/>
                <w:sz w:val="20"/>
                <w:szCs w:val="20"/>
              </w:rPr>
              <w:t xml:space="preserve">PIS </w:t>
            </w:r>
            <w:r>
              <w:rPr>
                <w:bCs/>
                <w:iCs/>
                <w:sz w:val="20"/>
                <w:szCs w:val="20"/>
                <w:vertAlign w:val="superscript"/>
              </w:rPr>
              <w:footnoteReference w:id="8"/>
            </w:r>
          </w:p>
        </w:tc>
        <w:tc>
          <w:tcPr>
            <w:tcW w:w="1275" w:type="dxa"/>
            <w:vAlign w:val="center"/>
          </w:tcPr>
          <w:p w14:paraId="787BDCDD">
            <w:pPr>
              <w:rPr>
                <w:bCs/>
                <w:iCs/>
                <w:sz w:val="20"/>
                <w:szCs w:val="20"/>
              </w:rPr>
            </w:pPr>
            <w:r>
              <w:rPr>
                <w:bCs/>
                <w:iCs/>
                <w:sz w:val="20"/>
                <w:szCs w:val="20"/>
              </w:rPr>
              <w:t>L3</w:t>
            </w:r>
          </w:p>
        </w:tc>
        <w:tc>
          <w:tcPr>
            <w:tcW w:w="2977" w:type="dxa"/>
            <w:vAlign w:val="center"/>
          </w:tcPr>
          <w:p w14:paraId="0B39070E">
            <w:pPr>
              <w:rPr>
                <w:bCs/>
                <w:iCs/>
                <w:sz w:val="20"/>
                <w:szCs w:val="20"/>
              </w:rPr>
            </w:pPr>
            <w:r>
              <w:rPr>
                <w:bCs/>
                <w:iCs/>
                <w:sz w:val="20"/>
                <w:szCs w:val="20"/>
              </w:rPr>
              <w:t>[indicar]</w:t>
            </w:r>
          </w:p>
        </w:tc>
      </w:tr>
      <w:tr w14:paraId="29DA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063" w:type="dxa"/>
            <w:vAlign w:val="center"/>
          </w:tcPr>
          <w:p w14:paraId="2482742D">
            <w:pPr>
              <w:rPr>
                <w:bCs/>
                <w:iCs/>
                <w:sz w:val="20"/>
                <w:szCs w:val="20"/>
              </w:rPr>
            </w:pPr>
            <w:r>
              <w:rPr>
                <w:bCs/>
                <w:iCs/>
                <w:sz w:val="20"/>
                <w:szCs w:val="20"/>
              </w:rPr>
              <w:t>9</w:t>
            </w:r>
          </w:p>
        </w:tc>
        <w:tc>
          <w:tcPr>
            <w:tcW w:w="3894" w:type="dxa"/>
            <w:vAlign w:val="center"/>
          </w:tcPr>
          <w:p w14:paraId="43DA1255">
            <w:pPr>
              <w:rPr>
                <w:bCs/>
                <w:iCs/>
                <w:sz w:val="20"/>
                <w:szCs w:val="20"/>
              </w:rPr>
            </w:pPr>
            <w:r>
              <w:rPr>
                <w:bCs/>
                <w:iCs/>
                <w:sz w:val="20"/>
                <w:szCs w:val="20"/>
              </w:rPr>
              <w:t xml:space="preserve">CPRB </w:t>
            </w:r>
            <w:r>
              <w:rPr>
                <w:bCs/>
                <w:iCs/>
                <w:sz w:val="20"/>
                <w:szCs w:val="20"/>
                <w:vertAlign w:val="superscript"/>
              </w:rPr>
              <w:footnoteReference w:id="9"/>
            </w:r>
          </w:p>
        </w:tc>
        <w:tc>
          <w:tcPr>
            <w:tcW w:w="1275" w:type="dxa"/>
            <w:vAlign w:val="center"/>
          </w:tcPr>
          <w:p w14:paraId="22D11345">
            <w:pPr>
              <w:rPr>
                <w:bCs/>
                <w:iCs/>
                <w:sz w:val="20"/>
                <w:szCs w:val="20"/>
              </w:rPr>
            </w:pPr>
            <w:r>
              <w:rPr>
                <w:bCs/>
                <w:iCs/>
                <w:sz w:val="20"/>
                <w:szCs w:val="20"/>
              </w:rPr>
              <w:t>L4</w:t>
            </w:r>
          </w:p>
        </w:tc>
        <w:tc>
          <w:tcPr>
            <w:tcW w:w="2977" w:type="dxa"/>
            <w:vAlign w:val="center"/>
          </w:tcPr>
          <w:p w14:paraId="20273F83">
            <w:pPr>
              <w:rPr>
                <w:bCs/>
                <w:iCs/>
                <w:sz w:val="20"/>
                <w:szCs w:val="20"/>
              </w:rPr>
            </w:pPr>
            <w:r>
              <w:rPr>
                <w:bCs/>
                <w:iCs/>
                <w:sz w:val="20"/>
                <w:szCs w:val="20"/>
              </w:rPr>
              <w:t>[indicar]</w:t>
            </w:r>
          </w:p>
        </w:tc>
      </w:tr>
      <w:tr w14:paraId="01EE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209" w:type="dxa"/>
            <w:gridSpan w:val="4"/>
            <w:vAlign w:val="center"/>
          </w:tcPr>
          <w:p w14:paraId="33CEFB43">
            <w:pPr>
              <w:rPr>
                <w:bCs/>
                <w:iCs/>
                <w:sz w:val="20"/>
                <w:szCs w:val="20"/>
              </w:rPr>
            </w:pPr>
          </w:p>
        </w:tc>
      </w:tr>
      <w:tr w14:paraId="42E1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209" w:type="dxa"/>
            <w:gridSpan w:val="4"/>
            <w:vAlign w:val="center"/>
          </w:tcPr>
          <w:p w14:paraId="15C25775">
            <w:pPr>
              <w:rPr>
                <w:bCs/>
                <w:iCs/>
                <w:sz w:val="20"/>
                <w:szCs w:val="20"/>
              </w:rPr>
            </w:pPr>
            <w:r>
              <w:rPr>
                <w:bCs/>
                <w:iCs/>
                <w:sz w:val="20"/>
                <w:szCs w:val="20"/>
              </w:rPr>
              <w:t>Fórmula de cálculo conforme o Acordão 2.622/2013 – TCU:</w:t>
            </w:r>
          </w:p>
        </w:tc>
      </w:tr>
      <w:tr w14:paraId="6ED0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6232" w:type="dxa"/>
            <w:gridSpan w:val="3"/>
            <w:vAlign w:val="center"/>
          </w:tcPr>
          <w:p w14:paraId="6AE0D0D7">
            <w:pPr>
              <w:rPr>
                <w:bCs/>
                <w:iCs/>
                <w:sz w:val="12"/>
                <w:szCs w:val="12"/>
              </w:rPr>
            </w:pPr>
          </w:p>
          <w:p w14:paraId="388E5B2A">
            <w:pPr>
              <w:rPr>
                <w:bCs/>
                <w:iCs/>
                <w:sz w:val="20"/>
                <w:szCs w:val="20"/>
              </w:rPr>
            </w:pPr>
            <m:oMath>
              <m:r>
                <m:rPr>
                  <m:sty m:val="p"/>
                </m:rPr>
                <w:rPr>
                  <w:rFonts w:ascii="Cambria Math" w:hAnsi="Cambria Math"/>
                  <w:sz w:val="20"/>
                  <w:szCs w:val="20"/>
                </w:rPr>
                <m:t>BDI</m:t>
              </m:r>
            </m:oMath>
            <w:r>
              <w:rPr>
                <w:bCs/>
                <w:iCs/>
                <w:sz w:val="20"/>
                <w:szCs w:val="20"/>
              </w:rPr>
              <w:t xml:space="preserve"> = </w:t>
            </w:r>
            <m:oMath>
              <m:f>
                <m:fPr>
                  <m:ctrlPr>
                    <w:rPr>
                      <w:rFonts w:ascii="Cambria Math" w:hAnsi="Cambria Math"/>
                      <w:bCs/>
                      <w:iCs/>
                      <w:sz w:val="20"/>
                      <w:szCs w:val="20"/>
                    </w:rPr>
                  </m:ctrlPr>
                </m:fPr>
                <m:num>
                  <m:d>
                    <m:dPr>
                      <m:begChr m:val="["/>
                      <m:endChr m:val="]"/>
                      <m:ctrlPr>
                        <w:rPr>
                          <w:rFonts w:ascii="Cambria Math" w:hAnsi="Cambria Math"/>
                          <w:bCs/>
                          <w:iCs/>
                          <w:sz w:val="20"/>
                          <w:szCs w:val="20"/>
                        </w:rPr>
                      </m:ctrlPr>
                    </m:dPr>
                    <m:e>
                      <m:d>
                        <m:dPr>
                          <m:ctrlPr>
                            <w:rPr>
                              <w:rFonts w:ascii="Cambria Math" w:hAnsi="Cambria Math"/>
                              <w:bCs/>
                              <w:iCs/>
                              <w:sz w:val="20"/>
                              <w:szCs w:val="20"/>
                            </w:rPr>
                          </m:ctrlPr>
                        </m:dPr>
                        <m:e>
                          <m:r>
                            <m:rPr>
                              <m:sty m:val="p"/>
                            </m:rPr>
                            <w:rPr>
                              <w:rFonts w:ascii="Cambria Math" w:hAnsi="Cambria Math"/>
                              <w:sz w:val="20"/>
                              <w:szCs w:val="20"/>
                            </w:rPr>
                            <m:t>1+AC+R+SG</m:t>
                          </m:r>
                          <m:ctrlPr>
                            <w:rPr>
                              <w:rFonts w:ascii="Cambria Math" w:hAnsi="Cambria Math"/>
                              <w:bCs/>
                              <w:iCs/>
                              <w:sz w:val="20"/>
                              <w:szCs w:val="20"/>
                            </w:rPr>
                          </m:ctrlPr>
                        </m:e>
                      </m:d>
                      <m:r>
                        <m:rPr>
                          <m:sty m:val="p"/>
                        </m:rPr>
                        <w:rPr>
                          <w:rFonts w:ascii="Cambria Math" w:hAnsi="Cambria Math"/>
                          <w:sz w:val="20"/>
                          <w:szCs w:val="20"/>
                        </w:rPr>
                        <m:t xml:space="preserve">x </m:t>
                      </m:r>
                      <m:d>
                        <m:dPr>
                          <m:ctrlPr>
                            <w:rPr>
                              <w:rFonts w:ascii="Cambria Math" w:hAnsi="Cambria Math"/>
                              <w:bCs/>
                              <w:iCs/>
                              <w:sz w:val="20"/>
                              <w:szCs w:val="20"/>
                            </w:rPr>
                          </m:ctrlPr>
                        </m:dPr>
                        <m:e>
                          <m:r>
                            <m:rPr>
                              <m:sty m:val="p"/>
                            </m:rPr>
                            <w:rPr>
                              <w:rFonts w:ascii="Cambria Math" w:hAnsi="Cambria Math"/>
                              <w:sz w:val="20"/>
                              <w:szCs w:val="20"/>
                            </w:rPr>
                            <m:t>1−DF</m:t>
                          </m:r>
                          <m:ctrlPr>
                            <w:rPr>
                              <w:rFonts w:ascii="Cambria Math" w:hAnsi="Cambria Math"/>
                              <w:bCs/>
                              <w:iCs/>
                              <w:sz w:val="20"/>
                              <w:szCs w:val="20"/>
                            </w:rPr>
                          </m:ctrlPr>
                        </m:e>
                      </m:d>
                      <m:r>
                        <m:rPr>
                          <m:sty m:val="p"/>
                        </m:rPr>
                        <w:rPr>
                          <w:rFonts w:ascii="Cambria Math" w:hAnsi="Cambria Math"/>
                          <w:sz w:val="20"/>
                          <w:szCs w:val="20"/>
                        </w:rPr>
                        <m:t xml:space="preserve">x </m:t>
                      </m:r>
                      <m:d>
                        <m:dPr>
                          <m:ctrlPr>
                            <w:rPr>
                              <w:rFonts w:ascii="Cambria Math" w:hAnsi="Cambria Math"/>
                              <w:bCs/>
                              <w:iCs/>
                              <w:sz w:val="20"/>
                              <w:szCs w:val="20"/>
                            </w:rPr>
                          </m:ctrlPr>
                        </m:dPr>
                        <m:e>
                          <m:r>
                            <m:rPr>
                              <m:sty m:val="p"/>
                            </m:rPr>
                            <w:rPr>
                              <w:rFonts w:ascii="Cambria Math" w:hAnsi="Cambria Math"/>
                              <w:sz w:val="20"/>
                              <w:szCs w:val="20"/>
                            </w:rPr>
                            <m:t>1−L</m:t>
                          </m:r>
                          <m:ctrlPr>
                            <w:rPr>
                              <w:rFonts w:ascii="Cambria Math" w:hAnsi="Cambria Math"/>
                              <w:bCs/>
                              <w:iCs/>
                              <w:sz w:val="20"/>
                              <w:szCs w:val="20"/>
                            </w:rPr>
                          </m:ctrlPr>
                        </m:e>
                      </m:d>
                      <m:ctrlPr>
                        <w:rPr>
                          <w:rFonts w:ascii="Cambria Math" w:hAnsi="Cambria Math"/>
                          <w:bCs/>
                          <w:iCs/>
                          <w:sz w:val="20"/>
                          <w:szCs w:val="20"/>
                        </w:rPr>
                      </m:ctrlPr>
                    </m:e>
                  </m:d>
                  <m:r>
                    <m:rPr>
                      <m:sty m:val="p"/>
                    </m:rPr>
                    <w:rPr>
                      <w:rFonts w:ascii="Cambria Math" w:hAnsi="Cambria Math"/>
                      <w:sz w:val="20"/>
                      <w:szCs w:val="20"/>
                    </w:rPr>
                    <m:t xml:space="preserve">   </m:t>
                  </m:r>
                  <m:ctrlPr>
                    <w:rPr>
                      <w:rFonts w:ascii="Cambria Math" w:hAnsi="Cambria Math"/>
                      <w:bCs/>
                      <w:iCs/>
                      <w:sz w:val="20"/>
                      <w:szCs w:val="20"/>
                    </w:rPr>
                  </m:ctrlPr>
                </m:num>
                <m:den>
                  <m:r>
                    <m:rPr>
                      <m:sty m:val="p"/>
                    </m:rPr>
                    <w:rPr>
                      <w:rFonts w:ascii="Cambria Math" w:hAnsi="Cambria Math"/>
                      <w:sz w:val="20"/>
                      <w:szCs w:val="20"/>
                    </w:rPr>
                    <m:t>(1−L1−L2−L3−L4)</m:t>
                  </m:r>
                  <m:ctrlPr>
                    <w:rPr>
                      <w:rFonts w:ascii="Cambria Math" w:hAnsi="Cambria Math"/>
                      <w:bCs/>
                      <w:iCs/>
                      <w:sz w:val="20"/>
                      <w:szCs w:val="20"/>
                    </w:rPr>
                  </m:ctrlPr>
                </m:den>
              </m:f>
            </m:oMath>
            <w:r>
              <w:rPr>
                <w:bCs/>
                <w:iCs/>
                <w:sz w:val="20"/>
                <w:szCs w:val="20"/>
              </w:rPr>
              <w:t xml:space="preserve"> – 1 x 100</w:t>
            </w:r>
          </w:p>
        </w:tc>
        <w:tc>
          <w:tcPr>
            <w:tcW w:w="2977" w:type="dxa"/>
            <w:vAlign w:val="center"/>
          </w:tcPr>
          <w:p w14:paraId="6D27F3F6">
            <w:pPr>
              <w:rPr>
                <w:bCs/>
                <w:iCs/>
                <w:sz w:val="20"/>
                <w:szCs w:val="20"/>
              </w:rPr>
            </w:pPr>
            <w:r>
              <w:rPr>
                <w:bCs/>
                <w:iCs/>
                <w:sz w:val="20"/>
                <w:szCs w:val="20"/>
              </w:rPr>
              <w:t>[indicar]</w:t>
            </w:r>
          </w:p>
        </w:tc>
      </w:tr>
    </w:tbl>
    <w:p w14:paraId="5E36FCFC">
      <w:pPr>
        <w:rPr>
          <w:bCs/>
          <w:iCs/>
          <w:sz w:val="20"/>
          <w:szCs w:val="20"/>
        </w:rPr>
      </w:pPr>
    </w:p>
    <w:tbl>
      <w:tblPr>
        <w:tblStyle w:val="12"/>
        <w:tblW w:w="9229"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217"/>
        <w:gridCol w:w="7012"/>
      </w:tblGrid>
      <w:tr w14:paraId="63B3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217" w:type="dxa"/>
          </w:tcPr>
          <w:p w14:paraId="5E790918">
            <w:pPr>
              <w:rPr>
                <w:b/>
                <w:bCs/>
                <w:iCs/>
                <w:sz w:val="20"/>
                <w:szCs w:val="20"/>
              </w:rPr>
            </w:pPr>
            <w:r>
              <w:rPr>
                <w:b/>
                <w:bCs/>
                <w:iCs/>
                <w:sz w:val="20"/>
                <w:szCs w:val="20"/>
              </w:rPr>
              <w:t>Data:</w:t>
            </w:r>
            <w:r>
              <w:rPr>
                <w:bCs/>
                <w:iCs/>
                <w:sz w:val="20"/>
                <w:szCs w:val="20"/>
              </w:rPr>
              <w:t xml:space="preserve"> [indicar]</w:t>
            </w:r>
          </w:p>
        </w:tc>
        <w:tc>
          <w:tcPr>
            <w:tcW w:w="7012" w:type="dxa"/>
          </w:tcPr>
          <w:p w14:paraId="78B7DE23">
            <w:pPr>
              <w:rPr>
                <w:b/>
                <w:bCs/>
                <w:iCs/>
                <w:sz w:val="20"/>
                <w:szCs w:val="20"/>
              </w:rPr>
            </w:pPr>
            <w:r>
              <w:rPr>
                <w:b/>
                <w:bCs/>
                <w:iCs/>
                <w:sz w:val="20"/>
                <w:szCs w:val="20"/>
              </w:rPr>
              <w:t>Assinatura:</w:t>
            </w:r>
            <w:r>
              <w:rPr>
                <w:bCs/>
                <w:iCs/>
                <w:sz w:val="20"/>
                <w:szCs w:val="20"/>
              </w:rPr>
              <w:t xml:space="preserve"> [indicar]</w:t>
            </w:r>
          </w:p>
        </w:tc>
      </w:tr>
      <w:tr w14:paraId="392AA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229" w:type="dxa"/>
            <w:gridSpan w:val="2"/>
          </w:tcPr>
          <w:p w14:paraId="6AB86BD1">
            <w:pPr>
              <w:rPr>
                <w:b/>
                <w:bCs/>
                <w:iCs/>
                <w:sz w:val="20"/>
                <w:szCs w:val="20"/>
              </w:rPr>
            </w:pPr>
            <w:r>
              <w:rPr>
                <w:b/>
                <w:bCs/>
                <w:iCs/>
                <w:sz w:val="20"/>
                <w:szCs w:val="20"/>
              </w:rPr>
              <w:t>Nome e Cargo:</w:t>
            </w:r>
            <w:r>
              <w:rPr>
                <w:bCs/>
                <w:iCs/>
                <w:sz w:val="20"/>
                <w:szCs w:val="20"/>
              </w:rPr>
              <w:t xml:space="preserve"> [indicar]</w:t>
            </w:r>
          </w:p>
        </w:tc>
      </w:tr>
    </w:tbl>
    <w:p w14:paraId="69CEC852">
      <w:pPr>
        <w:rPr>
          <w:bCs/>
          <w:iCs/>
          <w:sz w:val="20"/>
          <w:szCs w:val="20"/>
        </w:rPr>
      </w:pPr>
    </w:p>
    <w:p w14:paraId="0E865099">
      <w:pPr>
        <w:rPr>
          <w:bCs/>
          <w:i/>
          <w:iCs/>
          <w:sz w:val="20"/>
          <w:szCs w:val="20"/>
          <w:highlight w:val="yellow"/>
        </w:rPr>
      </w:pPr>
      <w:r>
        <w:rPr>
          <w:bCs/>
          <w:i/>
          <w:iCs/>
          <w:sz w:val="20"/>
          <w:szCs w:val="20"/>
          <w:highlight w:val="yellow"/>
        </w:rPr>
        <w:t>[Notas: 1.  O BDI deverá contemplar todos os impostos, taxas e tributos conforme previsto na legislação vigente, ou seja, aplicado sobre o preço de venda da obra.</w:t>
      </w:r>
    </w:p>
    <w:p w14:paraId="11F7B448">
      <w:pPr>
        <w:rPr>
          <w:bCs/>
          <w:i/>
          <w:iCs/>
          <w:sz w:val="20"/>
          <w:szCs w:val="20"/>
          <w:highlight w:val="yellow"/>
        </w:rPr>
      </w:pPr>
      <w:r>
        <w:rPr>
          <w:bCs/>
          <w:i/>
          <w:iCs/>
          <w:sz w:val="20"/>
          <w:szCs w:val="20"/>
          <w:highlight w:val="yellow"/>
        </w:rPr>
        <w:t>2. Deverá ser considerado no BDI o ISS do município onde será executada a obra, caso não haja isenção concedida por lei municipal.</w:t>
      </w:r>
    </w:p>
    <w:p w14:paraId="28E33285">
      <w:pPr>
        <w:rPr>
          <w:bCs/>
          <w:i/>
          <w:iCs/>
          <w:sz w:val="20"/>
          <w:szCs w:val="20"/>
          <w:highlight w:val="yellow"/>
        </w:rPr>
      </w:pPr>
      <w:r>
        <w:rPr>
          <w:bCs/>
          <w:i/>
          <w:iCs/>
          <w:sz w:val="20"/>
          <w:szCs w:val="20"/>
          <w:highlight w:val="yellow"/>
        </w:rPr>
        <w:t>3. Não poderão ser considerados no BDI, bem como na Planilha de Preços do concorrente, os tributos: Imposto de Renda Pessoa Jurídica (IRPJ) e a Contribuição Social Sobre o Lucro Líquido (CSLL).</w:t>
      </w:r>
    </w:p>
    <w:p w14:paraId="56E01A47">
      <w:pPr>
        <w:rPr>
          <w:bCs/>
          <w:iCs/>
          <w:sz w:val="20"/>
          <w:szCs w:val="20"/>
        </w:rPr>
      </w:pPr>
      <w:r>
        <w:rPr>
          <w:bCs/>
          <w:i/>
          <w:iCs/>
          <w:sz w:val="20"/>
          <w:szCs w:val="20"/>
          <w:highlight w:val="yellow"/>
        </w:rPr>
        <w:t>4. No BDI não deverá constar do item “Despesas Financeiras” a previsão de despesas relativas aos dissídios.]</w:t>
      </w:r>
    </w:p>
    <w:p w14:paraId="28DB0C36">
      <w:pPr>
        <w:rPr>
          <w:bCs/>
          <w:iCs/>
          <w:sz w:val="20"/>
          <w:szCs w:val="20"/>
        </w:rPr>
      </w:pPr>
      <w:r>
        <w:rPr>
          <w:bCs/>
          <w:iCs/>
          <w:sz w:val="20"/>
          <w:szCs w:val="20"/>
        </w:rPr>
        <w:br w:type="page"/>
      </w:r>
    </w:p>
    <w:p w14:paraId="1C9999AF">
      <w:pPr>
        <w:pStyle w:val="73"/>
      </w:pPr>
      <w:bookmarkStart w:id="320" w:name="_Toc99023987"/>
      <w:bookmarkStart w:id="321" w:name="_Toc88660852"/>
      <w:bookmarkStart w:id="322" w:name="_Toc174537348"/>
      <w:bookmarkStart w:id="323" w:name="_Toc138437019"/>
      <w:bookmarkStart w:id="324" w:name="_Toc168229977"/>
      <w:bookmarkStart w:id="325" w:name="_Toc113103941"/>
      <w:bookmarkStart w:id="326" w:name="_Toc153209007"/>
      <w:r>
        <w:t>MODELO 20 – DECLARAÇÃO DE MANUTENÇÃO DA PROPOSTA</w:t>
      </w:r>
      <w:bookmarkEnd w:id="320"/>
      <w:bookmarkEnd w:id="321"/>
      <w:bookmarkEnd w:id="322"/>
      <w:bookmarkEnd w:id="323"/>
      <w:bookmarkEnd w:id="324"/>
      <w:bookmarkEnd w:id="325"/>
      <w:bookmarkEnd w:id="326"/>
    </w:p>
    <w:p w14:paraId="4F3F4B5B">
      <w:pPr>
        <w:rPr>
          <w:bCs/>
          <w:i/>
          <w:iCs/>
          <w:sz w:val="20"/>
          <w:szCs w:val="20"/>
        </w:rPr>
      </w:pPr>
      <w:r>
        <w:rPr>
          <w:bCs/>
          <w:iCs/>
          <w:sz w:val="20"/>
          <w:szCs w:val="20"/>
        </w:rPr>
        <w:t>[O Concorrente preencherá este Formulário de acordo com as instruções indicadas.]</w:t>
      </w:r>
    </w:p>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039"/>
        <w:gridCol w:w="2241"/>
        <w:gridCol w:w="2787"/>
      </w:tblGrid>
      <w:tr w14:paraId="7185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067" w:type="dxa"/>
            <w:gridSpan w:val="3"/>
          </w:tcPr>
          <w:p w14:paraId="62BCC370">
            <w:pPr>
              <w:rPr>
                <w:bCs/>
                <w:iCs/>
                <w:sz w:val="20"/>
                <w:szCs w:val="20"/>
              </w:rPr>
            </w:pPr>
            <w:r>
              <w:rPr>
                <w:b/>
                <w:bCs/>
                <w:iCs/>
                <w:sz w:val="20"/>
                <w:szCs w:val="20"/>
              </w:rPr>
              <w:t>Concorrente</w:t>
            </w:r>
            <w:r>
              <w:rPr>
                <w:bCs/>
                <w:iCs/>
                <w:sz w:val="20"/>
                <w:szCs w:val="20"/>
                <w:vertAlign w:val="superscript"/>
              </w:rPr>
              <w:footnoteReference w:id="10"/>
            </w:r>
            <w:r>
              <w:rPr>
                <w:b/>
                <w:bCs/>
                <w:iCs/>
                <w:sz w:val="20"/>
                <w:szCs w:val="20"/>
              </w:rPr>
              <w:t>:</w:t>
            </w:r>
            <w:r>
              <w:rPr>
                <w:bCs/>
                <w:iCs/>
                <w:sz w:val="20"/>
                <w:szCs w:val="20"/>
              </w:rPr>
              <w:t xml:space="preserve"> [indicar]</w:t>
            </w:r>
          </w:p>
        </w:tc>
      </w:tr>
      <w:tr w14:paraId="54B3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4039" w:type="dxa"/>
          </w:tcPr>
          <w:p w14:paraId="4C21ACA9">
            <w:pPr>
              <w:rPr>
                <w:bCs/>
                <w:iCs/>
                <w:sz w:val="20"/>
                <w:szCs w:val="20"/>
              </w:rPr>
            </w:pPr>
            <w:r>
              <w:rPr>
                <w:b/>
                <w:bCs/>
                <w:iCs/>
                <w:sz w:val="20"/>
                <w:szCs w:val="20"/>
              </w:rPr>
              <w:t>Concorrência Eletrônica– LPI Nº:</w:t>
            </w:r>
            <w:r>
              <w:rPr>
                <w:bCs/>
                <w:iCs/>
                <w:sz w:val="20"/>
                <w:szCs w:val="20"/>
              </w:rPr>
              <w:t xml:space="preserve"> [indicar]</w:t>
            </w:r>
          </w:p>
        </w:tc>
        <w:tc>
          <w:tcPr>
            <w:tcW w:w="2241" w:type="dxa"/>
          </w:tcPr>
          <w:p w14:paraId="3CE26ADB">
            <w:pPr>
              <w:rPr>
                <w:bCs/>
                <w:iCs/>
                <w:sz w:val="20"/>
                <w:szCs w:val="20"/>
              </w:rPr>
            </w:pPr>
            <w:r>
              <w:rPr>
                <w:b/>
                <w:bCs/>
                <w:iCs/>
                <w:sz w:val="20"/>
                <w:szCs w:val="20"/>
              </w:rPr>
              <w:t>Lote Nº:</w:t>
            </w:r>
            <w:r>
              <w:rPr>
                <w:bCs/>
                <w:iCs/>
                <w:sz w:val="20"/>
                <w:szCs w:val="20"/>
              </w:rPr>
              <w:t xml:space="preserve"> [indicar]</w:t>
            </w:r>
          </w:p>
        </w:tc>
        <w:tc>
          <w:tcPr>
            <w:tcW w:w="2787" w:type="dxa"/>
          </w:tcPr>
          <w:p w14:paraId="63858B4D">
            <w:pPr>
              <w:rPr>
                <w:bCs/>
                <w:iCs/>
                <w:sz w:val="20"/>
                <w:szCs w:val="20"/>
              </w:rPr>
            </w:pPr>
            <w:r>
              <w:rPr>
                <w:b/>
                <w:bCs/>
                <w:iCs/>
                <w:sz w:val="20"/>
                <w:szCs w:val="20"/>
              </w:rPr>
              <w:t>Página:</w:t>
            </w:r>
            <w:r>
              <w:rPr>
                <w:bCs/>
                <w:iCs/>
                <w:sz w:val="20"/>
                <w:szCs w:val="20"/>
              </w:rPr>
              <w:t xml:space="preserve"> [indicar] de [indicar]</w:t>
            </w:r>
          </w:p>
        </w:tc>
      </w:tr>
      <w:tr w14:paraId="6A02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9067" w:type="dxa"/>
            <w:gridSpan w:val="3"/>
          </w:tcPr>
          <w:p w14:paraId="0231582C">
            <w:pPr>
              <w:rPr>
                <w:b/>
                <w:bCs/>
                <w:iCs/>
                <w:sz w:val="20"/>
                <w:szCs w:val="20"/>
              </w:rPr>
            </w:pPr>
            <w:r>
              <w:rPr>
                <w:b/>
                <w:bCs/>
                <w:iCs/>
                <w:sz w:val="20"/>
                <w:szCs w:val="20"/>
              </w:rPr>
              <w:t>Obra:</w:t>
            </w:r>
            <w:r>
              <w:rPr>
                <w:bCs/>
                <w:iCs/>
                <w:sz w:val="20"/>
                <w:szCs w:val="20"/>
              </w:rPr>
              <w:t xml:space="preserve"> [indicar a Obra]</w:t>
            </w:r>
          </w:p>
        </w:tc>
      </w:tr>
      <w:tr w14:paraId="55D4C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0" w:hRule="atLeast"/>
        </w:trPr>
        <w:tc>
          <w:tcPr>
            <w:tcW w:w="9067" w:type="dxa"/>
            <w:gridSpan w:val="3"/>
          </w:tcPr>
          <w:p w14:paraId="03F2B666">
            <w:pPr>
              <w:rPr>
                <w:bCs/>
                <w:iCs/>
                <w:sz w:val="20"/>
                <w:szCs w:val="20"/>
              </w:rPr>
            </w:pPr>
            <w:r>
              <w:rPr>
                <w:b/>
                <w:bCs/>
                <w:iCs/>
                <w:sz w:val="20"/>
                <w:szCs w:val="20"/>
              </w:rPr>
              <w:t>Data:</w:t>
            </w:r>
            <w:r>
              <w:rPr>
                <w:bCs/>
                <w:iCs/>
                <w:sz w:val="20"/>
                <w:szCs w:val="20"/>
              </w:rPr>
              <w:t xml:space="preserve"> [indicar]</w:t>
            </w:r>
          </w:p>
        </w:tc>
      </w:tr>
    </w:tbl>
    <w:p w14:paraId="299EC52E">
      <w:pPr>
        <w:rPr>
          <w:bCs/>
          <w:iCs/>
          <w:sz w:val="20"/>
          <w:szCs w:val="20"/>
        </w:rPr>
      </w:pPr>
    </w:p>
    <w:p w14:paraId="05FAC286">
      <w:pPr>
        <w:rPr>
          <w:bCs/>
          <w:i/>
          <w:iCs/>
          <w:sz w:val="20"/>
          <w:szCs w:val="20"/>
        </w:rPr>
      </w:pPr>
      <w:r>
        <w:rPr>
          <w:bCs/>
          <w:iCs/>
          <w:sz w:val="20"/>
          <w:szCs w:val="20"/>
        </w:rPr>
        <w:t>Para: [indicar o Contratante]</w:t>
      </w:r>
    </w:p>
    <w:p w14:paraId="1EA1ACAC">
      <w:pPr>
        <w:jc w:val="both"/>
        <w:rPr>
          <w:bCs/>
          <w:i/>
          <w:iCs/>
          <w:sz w:val="20"/>
          <w:szCs w:val="20"/>
        </w:rPr>
      </w:pPr>
      <w:r>
        <w:rPr>
          <w:bCs/>
          <w:iCs/>
          <w:sz w:val="20"/>
          <w:szCs w:val="20"/>
        </w:rPr>
        <w:t>Nós, abaixo assinados, declaramos que:</w:t>
      </w:r>
    </w:p>
    <w:p w14:paraId="1CCBC3CB">
      <w:pPr>
        <w:jc w:val="both"/>
        <w:rPr>
          <w:bCs/>
          <w:i/>
          <w:iCs/>
          <w:sz w:val="20"/>
          <w:szCs w:val="20"/>
        </w:rPr>
      </w:pPr>
      <w:r>
        <w:rPr>
          <w:bCs/>
          <w:iCs/>
          <w:sz w:val="20"/>
          <w:szCs w:val="20"/>
        </w:rPr>
        <w:t>Entendemos que, de acordo com suas condições, as propostas deverão estar respaldadas por uma Declaração de Manutenção da Proposta.</w:t>
      </w:r>
    </w:p>
    <w:p w14:paraId="5F3347F8">
      <w:pPr>
        <w:jc w:val="both"/>
        <w:rPr>
          <w:bCs/>
          <w:i/>
          <w:iCs/>
          <w:sz w:val="20"/>
          <w:szCs w:val="20"/>
        </w:rPr>
      </w:pPr>
      <w:r>
        <w:rPr>
          <w:bCs/>
          <w:iCs/>
          <w:sz w:val="20"/>
          <w:szCs w:val="20"/>
        </w:rPr>
        <w:t xml:space="preserve">Aceitamos que automaticamente seremos declarados inelegíveis para receber qualquer contrato com o Contratante por um período de </w:t>
      </w:r>
      <w:r>
        <w:rPr>
          <w:bCs/>
          <w:i/>
          <w:sz w:val="20"/>
          <w:szCs w:val="20"/>
        </w:rPr>
        <w:t>[número de mês ou anos]</w:t>
      </w:r>
      <w:r>
        <w:rPr>
          <w:bCs/>
          <w:iCs/>
          <w:sz w:val="20"/>
          <w:szCs w:val="20"/>
        </w:rPr>
        <w:t xml:space="preserve"> contado a partir de </w:t>
      </w:r>
      <w:r>
        <w:rPr>
          <w:bCs/>
          <w:i/>
          <w:sz w:val="20"/>
          <w:szCs w:val="20"/>
        </w:rPr>
        <w:t>[indicar a data]</w:t>
      </w:r>
      <w:r>
        <w:rPr>
          <w:bCs/>
          <w:iCs/>
          <w:sz w:val="20"/>
          <w:szCs w:val="20"/>
        </w:rPr>
        <w:t xml:space="preserve"> se violarmos nossas obrigações segundo as condições da proposta tais como:</w:t>
      </w:r>
    </w:p>
    <w:p w14:paraId="4E80D762">
      <w:pPr>
        <w:jc w:val="both"/>
        <w:rPr>
          <w:bCs/>
          <w:iCs/>
          <w:sz w:val="20"/>
          <w:szCs w:val="20"/>
        </w:rPr>
      </w:pPr>
      <w:r>
        <w:rPr>
          <w:bCs/>
          <w:iCs/>
          <w:sz w:val="20"/>
          <w:szCs w:val="20"/>
        </w:rPr>
        <w:t>(a) retirarmos nossa proposta durante o período de vigência da proposta especificado por nós na Carta de Apresentação da Proposta; ou</w:t>
      </w:r>
    </w:p>
    <w:p w14:paraId="4CEC9E23">
      <w:pPr>
        <w:jc w:val="both"/>
        <w:rPr>
          <w:bCs/>
          <w:iCs/>
          <w:sz w:val="20"/>
          <w:szCs w:val="20"/>
        </w:rPr>
      </w:pPr>
      <w:r>
        <w:rPr>
          <w:bCs/>
          <w:iCs/>
          <w:sz w:val="20"/>
          <w:szCs w:val="20"/>
        </w:rPr>
        <w:t>(b) depois de termos sido notificados da aceitação de nossa proposta durante o período de validade da mesma:</w:t>
      </w:r>
    </w:p>
    <w:p w14:paraId="7572DD0D">
      <w:pPr>
        <w:jc w:val="both"/>
        <w:rPr>
          <w:bCs/>
          <w:iCs/>
          <w:sz w:val="20"/>
          <w:szCs w:val="20"/>
        </w:rPr>
      </w:pPr>
      <w:r>
        <w:rPr>
          <w:bCs/>
          <w:iCs/>
          <w:sz w:val="20"/>
          <w:szCs w:val="20"/>
        </w:rPr>
        <w:t xml:space="preserve">(i) não assinarmos ou nos recusarmos a assinar o Contrato, se for exigido; ou </w:t>
      </w:r>
    </w:p>
    <w:p w14:paraId="127100D5">
      <w:pPr>
        <w:jc w:val="both"/>
        <w:rPr>
          <w:bCs/>
          <w:iCs/>
          <w:sz w:val="20"/>
          <w:szCs w:val="20"/>
        </w:rPr>
      </w:pPr>
      <w:r>
        <w:rPr>
          <w:bCs/>
          <w:iCs/>
          <w:sz w:val="20"/>
          <w:szCs w:val="20"/>
        </w:rPr>
        <w:t>(ii) não fornecermos ou nos recusarmos a fornecer a garantia de execução do Contrato em conformidade com as IAC.</w:t>
      </w:r>
    </w:p>
    <w:p w14:paraId="23F16C92">
      <w:pPr>
        <w:jc w:val="both"/>
        <w:rPr>
          <w:bCs/>
          <w:iCs/>
          <w:sz w:val="20"/>
          <w:szCs w:val="20"/>
        </w:rPr>
      </w:pPr>
      <w:r>
        <w:rPr>
          <w:bCs/>
          <w:iCs/>
          <w:sz w:val="20"/>
          <w:szCs w:val="20"/>
        </w:rPr>
        <w:t>Entendemos que esta Declaração de Manutenção da Proposta expirará se não formos adjudicatários, quando ocorrer o primeiro dos seguintes fatos:</w:t>
      </w:r>
    </w:p>
    <w:p w14:paraId="4B5F5C7F">
      <w:pPr>
        <w:jc w:val="both"/>
        <w:rPr>
          <w:bCs/>
          <w:iCs/>
          <w:sz w:val="20"/>
          <w:szCs w:val="20"/>
        </w:rPr>
      </w:pPr>
      <w:r>
        <w:rPr>
          <w:bCs/>
          <w:iCs/>
          <w:sz w:val="20"/>
          <w:szCs w:val="20"/>
        </w:rPr>
        <w:t xml:space="preserve">(a) recebemos uma cópia de sua comunicação com o nome do concorrente adjudicatário; ou </w:t>
      </w:r>
    </w:p>
    <w:p w14:paraId="6E646401">
      <w:pPr>
        <w:jc w:val="both"/>
        <w:rPr>
          <w:bCs/>
          <w:iCs/>
          <w:sz w:val="20"/>
          <w:szCs w:val="20"/>
        </w:rPr>
      </w:pPr>
      <w:r>
        <w:rPr>
          <w:bCs/>
          <w:iCs/>
          <w:sz w:val="20"/>
          <w:szCs w:val="20"/>
        </w:rPr>
        <w:t>(b) 30 (trinta) dias após a expiração de nossa proposta.</w:t>
      </w:r>
    </w:p>
    <w:p w14:paraId="4A2FEEE0">
      <w:pPr>
        <w:rPr>
          <w:bCs/>
          <w:iCs/>
          <w:sz w:val="20"/>
          <w:szCs w:val="20"/>
        </w:rPr>
      </w:pPr>
    </w:p>
    <w:tbl>
      <w:tblPr>
        <w:tblStyle w:val="12"/>
        <w:tblW w:w="907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51"/>
        <w:gridCol w:w="4526"/>
      </w:tblGrid>
      <w:tr w14:paraId="2E7A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51" w:type="dxa"/>
          </w:tcPr>
          <w:p w14:paraId="001A4458">
            <w:pPr>
              <w:rPr>
                <w:b/>
                <w:bCs/>
                <w:iCs/>
                <w:sz w:val="20"/>
                <w:szCs w:val="20"/>
              </w:rPr>
            </w:pPr>
            <w:r>
              <w:rPr>
                <w:b/>
                <w:bCs/>
                <w:iCs/>
                <w:sz w:val="20"/>
                <w:szCs w:val="20"/>
              </w:rPr>
              <w:t>Assinatura (</w:t>
            </w:r>
            <w:r>
              <w:rPr>
                <w:bCs/>
                <w:iCs/>
                <w:sz w:val="20"/>
                <w:szCs w:val="20"/>
              </w:rPr>
              <w:t>Devidamente autorizado para assinar a proposta em nome do Concorrente)</w:t>
            </w:r>
            <w:r>
              <w:rPr>
                <w:b/>
                <w:bCs/>
                <w:iCs/>
                <w:sz w:val="20"/>
                <w:szCs w:val="20"/>
              </w:rPr>
              <w:t>:</w:t>
            </w:r>
          </w:p>
        </w:tc>
        <w:tc>
          <w:tcPr>
            <w:tcW w:w="4526" w:type="dxa"/>
          </w:tcPr>
          <w:p w14:paraId="4B08B6E8">
            <w:pPr>
              <w:rPr>
                <w:b/>
                <w:bCs/>
                <w:iCs/>
                <w:sz w:val="20"/>
                <w:szCs w:val="20"/>
              </w:rPr>
            </w:pPr>
          </w:p>
        </w:tc>
      </w:tr>
      <w:tr w14:paraId="7921A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077" w:type="dxa"/>
            <w:gridSpan w:val="2"/>
          </w:tcPr>
          <w:p w14:paraId="0DC7D5E8">
            <w:pPr>
              <w:rPr>
                <w:b/>
                <w:bCs/>
                <w:iCs/>
                <w:sz w:val="20"/>
                <w:szCs w:val="20"/>
              </w:rPr>
            </w:pPr>
            <w:r>
              <w:rPr>
                <w:b/>
                <w:bCs/>
                <w:iCs/>
                <w:sz w:val="20"/>
                <w:szCs w:val="20"/>
              </w:rPr>
              <w:t>Nome completo e Cargo:</w:t>
            </w:r>
          </w:p>
        </w:tc>
      </w:tr>
    </w:tbl>
    <w:p w14:paraId="2EE5E4B0">
      <w:pPr>
        <w:rPr>
          <w:bCs/>
          <w:i/>
          <w:iCs/>
          <w:sz w:val="20"/>
          <w:szCs w:val="20"/>
        </w:rPr>
      </w:pPr>
    </w:p>
    <w:p w14:paraId="2FEBFA5B">
      <w:pPr>
        <w:rPr>
          <w:bCs/>
          <w:iCs/>
          <w:sz w:val="20"/>
          <w:szCs w:val="20"/>
        </w:rPr>
      </w:pPr>
    </w:p>
    <w:p w14:paraId="1278B3A0">
      <w:pPr>
        <w:rPr>
          <w:bCs/>
          <w:iCs/>
          <w:sz w:val="20"/>
          <w:szCs w:val="20"/>
        </w:rPr>
        <w:sectPr>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01EF20B8">
      <w:pPr>
        <w:pStyle w:val="87"/>
      </w:pPr>
      <w:bookmarkStart w:id="327" w:name="_Toc405799713"/>
      <w:bookmarkStart w:id="328" w:name="_Toc138424488"/>
      <w:bookmarkStart w:id="329" w:name="_Toc139302148"/>
      <w:bookmarkStart w:id="330" w:name="_Toc99021487"/>
      <w:bookmarkStart w:id="331" w:name="_Toc174536840"/>
      <w:bookmarkStart w:id="332" w:name="_Toc168130213"/>
      <w:bookmarkStart w:id="333" w:name="_Toc99023990"/>
      <w:bookmarkStart w:id="334" w:name="_Toc69970975"/>
      <w:r>
        <w:t>SEÇÃO 5 –</w:t>
      </w:r>
      <w:bookmarkEnd w:id="327"/>
      <w:r>
        <w:t xml:space="preserve"> PAÍSES ELEGÍVEIS</w:t>
      </w:r>
      <w:bookmarkEnd w:id="328"/>
      <w:bookmarkEnd w:id="329"/>
      <w:bookmarkEnd w:id="330"/>
      <w:bookmarkEnd w:id="331"/>
      <w:bookmarkEnd w:id="332"/>
      <w:bookmarkEnd w:id="333"/>
      <w:bookmarkEnd w:id="334"/>
    </w:p>
    <w:p w14:paraId="31B65681">
      <w:pPr>
        <w:jc w:val="both"/>
        <w:rPr>
          <w:b/>
          <w:bCs/>
          <w:iCs/>
        </w:rPr>
      </w:pPr>
      <w:r>
        <w:rPr>
          <w:b/>
          <w:bCs/>
          <w:iCs/>
        </w:rPr>
        <w:t>Elegibilidade para Fornecimento de Bens, Obras e Serviços em Aquisições Financiadas pelo FONPLATA</w:t>
      </w:r>
    </w:p>
    <w:p w14:paraId="34E784D0">
      <w:pPr>
        <w:jc w:val="both"/>
        <w:rPr>
          <w:b/>
          <w:bCs/>
          <w:iCs/>
        </w:rPr>
      </w:pPr>
      <w:r>
        <w:rPr>
          <w:b/>
          <w:bCs/>
          <w:iCs/>
        </w:rPr>
        <w:t>1 Concorrentes Elegíveis</w:t>
      </w:r>
    </w:p>
    <w:p w14:paraId="054BF7C4">
      <w:pPr>
        <w:jc w:val="both"/>
        <w:rPr>
          <w:rFonts w:hint="default"/>
        </w:rPr>
      </w:pPr>
      <w:r>
        <w:rPr>
          <w:rFonts w:hint="default"/>
        </w:rPr>
        <w:t>Os recursos do financiamento podem ser utilizados unicamente para o pagamento de obras, bens e serviços a serem</w:t>
      </w:r>
      <w:r>
        <w:rPr>
          <w:rFonts w:hint="default"/>
          <w:lang w:val="pt-BR"/>
        </w:rPr>
        <w:t xml:space="preserve">  </w:t>
      </w:r>
      <w:r>
        <w:rPr>
          <w:rFonts w:hint="default"/>
        </w:rPr>
        <w:t>contratados com pessoas fisicas ou jurídicas originárias dos países membros. No caso de pessoas jurídicas, será preciso</w:t>
      </w:r>
      <w:r>
        <w:rPr>
          <w:rFonts w:hint="default"/>
          <w:lang w:val="pt-BR"/>
        </w:rPr>
        <w:t xml:space="preserve"> </w:t>
      </w:r>
      <w:r>
        <w:rPr>
          <w:rFonts w:hint="default"/>
        </w:rPr>
        <w:t>verificar se cumprem as disposições legais do respectivo país membro no qual desenvolvem suas atividades,</w:t>
      </w:r>
      <w:r>
        <w:rPr>
          <w:rFonts w:hint="default"/>
          <w:lang w:val="pt-BR"/>
        </w:rPr>
        <w:t xml:space="preserve"> </w:t>
      </w:r>
      <w:r>
        <w:rPr>
          <w:rFonts w:hint="default"/>
        </w:rPr>
        <w:t xml:space="preserve">assegurando-se ainda, de que as condições de </w:t>
      </w:r>
      <w:r>
        <w:rPr>
          <w:rFonts w:hint="default"/>
          <w:lang w:val="pt-BR"/>
        </w:rPr>
        <w:t xml:space="preserve"> </w:t>
      </w:r>
      <w:r>
        <w:rPr>
          <w:rFonts w:hint="default"/>
        </w:rPr>
        <w:t>legibilidade sejam as essenciais para garantir sua capacidade para prestar</w:t>
      </w:r>
      <w:r>
        <w:rPr>
          <w:rFonts w:hint="default"/>
          <w:lang w:val="pt-BR"/>
        </w:rPr>
        <w:t xml:space="preserve"> </w:t>
      </w:r>
      <w:r>
        <w:rPr>
          <w:rFonts w:hint="default"/>
        </w:rPr>
        <w:t>os serviços contratados ou executar as obras e fornecer os bens adquiridos.</w:t>
      </w:r>
    </w:p>
    <w:p w14:paraId="16C77B58">
      <w:pPr>
        <w:jc w:val="both"/>
        <w:rPr>
          <w:rFonts w:hint="default"/>
        </w:rPr>
      </w:pPr>
      <w:r>
        <w:rPr>
          <w:rFonts w:hint="default"/>
        </w:rPr>
        <w:t>Pessoas jurídicas ou físicas de países não membros não são elegíveis para participar de contratos financiados total ou</w:t>
      </w:r>
      <w:r>
        <w:rPr>
          <w:rFonts w:hint="default"/>
          <w:lang w:val="pt-BR"/>
        </w:rPr>
        <w:t xml:space="preserve"> </w:t>
      </w:r>
      <w:r>
        <w:rPr>
          <w:rFonts w:hint="default"/>
        </w:rPr>
        <w:t>parcialmente pelo FONPLATA, com exceção dos casos de financiamento ou cofinanciamento para projetos fornecidos</w:t>
      </w:r>
      <w:r>
        <w:rPr>
          <w:rFonts w:hint="default"/>
          <w:lang w:val="pt-BR"/>
        </w:rPr>
        <w:t xml:space="preserve"> </w:t>
      </w:r>
      <w:r>
        <w:rPr>
          <w:rFonts w:hint="default"/>
        </w:rPr>
        <w:t>por outros órgãos de crédito com os quais o FONPLATA tenha estabelecido acordos para esses fins.</w:t>
      </w:r>
    </w:p>
    <w:p w14:paraId="5181E939">
      <w:pPr>
        <w:jc w:val="both"/>
        <w:rPr>
          <w:rFonts w:hint="default"/>
        </w:rPr>
      </w:pPr>
      <w:r>
        <w:rPr>
          <w:rFonts w:hint="default"/>
        </w:rPr>
        <w:t>No caso de parcerias fortuitas, consórcios ou similares, todos seus membros devem cumprir com a condição de</w:t>
      </w:r>
      <w:r>
        <w:rPr>
          <w:rFonts w:hint="default"/>
          <w:lang w:val="pt-BR"/>
        </w:rPr>
        <w:t xml:space="preserve"> </w:t>
      </w:r>
      <w:r>
        <w:rPr>
          <w:rFonts w:hint="default"/>
        </w:rPr>
        <w:t>elegibilidade aqui estabelecida.</w:t>
      </w:r>
    </w:p>
    <w:p w14:paraId="7F958095">
      <w:pPr>
        <w:numPr>
          <w:ilvl w:val="0"/>
          <w:numId w:val="40"/>
        </w:numPr>
        <w:jc w:val="both"/>
        <w:rPr>
          <w:rFonts w:hint="default"/>
          <w:b/>
          <w:bCs/>
          <w:iCs/>
        </w:rPr>
      </w:pPr>
      <w:r>
        <w:rPr>
          <w:rFonts w:hint="default"/>
          <w:b/>
          <w:bCs/>
          <w:iCs/>
        </w:rPr>
        <w:t>Critérios para o Estabelecimento de Elegibilidade</w:t>
      </w:r>
    </w:p>
    <w:p w14:paraId="48FF5AEA">
      <w:pPr>
        <w:numPr>
          <w:ilvl w:val="0"/>
          <w:numId w:val="0"/>
        </w:numPr>
        <w:spacing w:after="160" w:line="259" w:lineRule="auto"/>
        <w:jc w:val="both"/>
        <w:rPr>
          <w:rFonts w:hint="default"/>
          <w:b w:val="0"/>
          <w:bCs w:val="0"/>
          <w:iCs/>
        </w:rPr>
      </w:pPr>
      <w:r>
        <w:rPr>
          <w:rFonts w:hint="default"/>
          <w:b w:val="0"/>
          <w:bCs w:val="0"/>
          <w:iCs/>
        </w:rPr>
        <w:t>Um Concorrente será considerado como sendo de um país se ele for cidadão ou for constituído, incorporado ou registrado</w:t>
      </w:r>
      <w:r>
        <w:rPr>
          <w:rFonts w:hint="default"/>
          <w:b w:val="0"/>
          <w:bCs w:val="0"/>
          <w:iCs/>
          <w:lang w:val="pt-BR"/>
        </w:rPr>
        <w:t xml:space="preserve"> </w:t>
      </w:r>
      <w:r>
        <w:rPr>
          <w:rFonts w:hint="default"/>
          <w:b w:val="0"/>
          <w:bCs w:val="0"/>
          <w:iCs/>
        </w:rPr>
        <w:t>e operar de acordo com as disposições legais daquele pais.</w:t>
      </w:r>
    </w:p>
    <w:p w14:paraId="0318F8E8">
      <w:pPr>
        <w:numPr>
          <w:ilvl w:val="0"/>
          <w:numId w:val="0"/>
        </w:numPr>
        <w:spacing w:after="160" w:line="259" w:lineRule="auto"/>
        <w:jc w:val="both"/>
        <w:rPr>
          <w:rFonts w:hint="default"/>
          <w:b w:val="0"/>
          <w:bCs w:val="0"/>
          <w:iCs/>
        </w:rPr>
        <w:sectPr>
          <w:headerReference r:id="rId16"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r>
        <w:rPr>
          <w:rFonts w:hint="default"/>
          <w:b w:val="0"/>
          <w:bCs w:val="0"/>
          <w:iCs/>
        </w:rPr>
        <w:t>Os países elegíveis são: República Argentina, Estado Plurinacional da Bolívia, República Federativa do Brasil, República</w:t>
      </w:r>
      <w:r>
        <w:rPr>
          <w:rFonts w:hint="default"/>
          <w:b w:val="0"/>
          <w:bCs w:val="0"/>
          <w:iCs/>
          <w:lang w:val="pt-BR"/>
        </w:rPr>
        <w:t xml:space="preserve"> </w:t>
      </w:r>
      <w:r>
        <w:rPr>
          <w:rFonts w:hint="default"/>
          <w:b w:val="0"/>
          <w:bCs w:val="0"/>
          <w:iCs/>
        </w:rPr>
        <w:t>do Paraguai e República Oriental do Uruguai.</w:t>
      </w:r>
    </w:p>
    <w:p w14:paraId="1DAC4873">
      <w:pPr>
        <w:pStyle w:val="87"/>
      </w:pPr>
      <w:bookmarkStart w:id="335" w:name="_Toc168130214"/>
      <w:bookmarkStart w:id="336" w:name="_Toc138424489"/>
      <w:bookmarkStart w:id="337" w:name="_Toc99021488"/>
      <w:bookmarkStart w:id="338" w:name="_Toc174536841"/>
      <w:bookmarkStart w:id="339" w:name="_Toc139302149"/>
      <w:bookmarkStart w:id="340" w:name="_Toc69970976"/>
      <w:bookmarkStart w:id="341" w:name="_Toc99023991"/>
      <w:bookmarkStart w:id="342" w:name="_Toc405799715"/>
      <w:r>
        <w:t>PARTE 2 – REQUISITOS DAS OBRAS</w:t>
      </w:r>
      <w:bookmarkEnd w:id="335"/>
      <w:bookmarkEnd w:id="336"/>
      <w:bookmarkEnd w:id="337"/>
      <w:bookmarkEnd w:id="338"/>
      <w:bookmarkEnd w:id="339"/>
      <w:bookmarkEnd w:id="340"/>
      <w:bookmarkEnd w:id="341"/>
      <w:bookmarkEnd w:id="342"/>
    </w:p>
    <w:p w14:paraId="3E6AC982">
      <w:pPr>
        <w:rPr>
          <w:bCs/>
          <w:iCs/>
        </w:rPr>
      </w:pPr>
    </w:p>
    <w:p w14:paraId="55A22918">
      <w:pPr>
        <w:rPr>
          <w:bCs/>
          <w:iCs/>
        </w:rPr>
        <w:sectPr>
          <w:headerReference r:id="rId17"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7F9403E2">
      <w:pPr>
        <w:pStyle w:val="87"/>
      </w:pPr>
      <w:bookmarkStart w:id="343" w:name="_Toc69970977"/>
      <w:bookmarkStart w:id="344" w:name="_Toc168130215"/>
      <w:bookmarkStart w:id="345" w:name="_Toc99021489"/>
      <w:bookmarkStart w:id="346" w:name="_Toc138424490"/>
      <w:bookmarkStart w:id="347" w:name="_Toc99023992"/>
      <w:bookmarkStart w:id="348" w:name="_Toc405799716"/>
      <w:bookmarkStart w:id="349" w:name="_Toc174536842"/>
      <w:bookmarkStart w:id="350" w:name="_Toc139302150"/>
      <w:r>
        <w:t>SEÇÃO 6 – REQUISITOS DAS OBRAS</w:t>
      </w:r>
      <w:bookmarkEnd w:id="343"/>
      <w:bookmarkEnd w:id="344"/>
      <w:bookmarkEnd w:id="345"/>
      <w:bookmarkEnd w:id="346"/>
      <w:bookmarkEnd w:id="347"/>
      <w:bookmarkEnd w:id="348"/>
      <w:bookmarkEnd w:id="349"/>
      <w:bookmarkEnd w:id="350"/>
    </w:p>
    <w:p w14:paraId="4EE91502">
      <w:pPr>
        <w:jc w:val="center"/>
        <w:rPr>
          <w:b/>
          <w:bCs/>
        </w:rPr>
      </w:pPr>
      <w:r>
        <w:rPr>
          <w:b/>
          <w:bCs/>
        </w:rPr>
        <w:t>CONTEÚDO</w:t>
      </w:r>
    </w:p>
    <w:p w14:paraId="30CEAFDD">
      <w:pPr>
        <w:pStyle w:val="34"/>
        <w:tabs>
          <w:tab w:val="right" w:leader="dot" w:pos="9016"/>
        </w:tabs>
        <w:rPr>
          <w:rFonts w:hint="default" w:asciiTheme="minorHAnsi" w:hAnsiTheme="minorHAnsi" w:eastAsiaTheme="minorEastAsia"/>
          <w:sz w:val="24"/>
          <w:szCs w:val="24"/>
          <w:lang w:val="pt-BR" w:eastAsia="es-BO"/>
        </w:rPr>
      </w:pPr>
      <w:r>
        <w:rPr>
          <w:bCs/>
          <w:iCs/>
        </w:rPr>
        <w:fldChar w:fldCharType="begin"/>
      </w:r>
      <w:r>
        <w:rPr>
          <w:bCs/>
          <w:iCs/>
        </w:rPr>
        <w:instrText xml:space="preserve"> TOC \h \z \t "TITULO33;1;Estilo33;2" </w:instrText>
      </w:r>
      <w:r>
        <w:rPr>
          <w:bCs/>
          <w:iCs/>
        </w:rPr>
        <w:fldChar w:fldCharType="separate"/>
      </w:r>
      <w:r>
        <w:fldChar w:fldCharType="begin"/>
      </w:r>
      <w:r>
        <w:instrText xml:space="preserve"> HYPERLINK \l "_Toc174536595" </w:instrText>
      </w:r>
      <w:r>
        <w:fldChar w:fldCharType="separate"/>
      </w:r>
      <w:r>
        <w:rPr>
          <w:rStyle w:val="16"/>
        </w:rPr>
        <w:t xml:space="preserve">6.1 </w:t>
      </w:r>
      <w:r>
        <w:rPr>
          <w:rStyle w:val="16"/>
          <w:rFonts w:hint="default"/>
        </w:rPr>
        <w:t>–</w:t>
      </w:r>
      <w:r>
        <w:rPr>
          <w:rStyle w:val="16"/>
          <w:rFonts w:hint="default"/>
          <w:lang w:val="pt-BR"/>
        </w:rPr>
        <w:t xml:space="preserve"> </w:t>
      </w:r>
      <w:r>
        <w:rPr>
          <w:rStyle w:val="16"/>
        </w:rPr>
        <w:t>ESPECIFICAÇÕES TÉCNICAS</w:t>
      </w:r>
      <w:r>
        <w:tab/>
      </w:r>
      <w:r>
        <w:rPr>
          <w:rFonts w:hint="default"/>
          <w:lang w:val="pt-BR"/>
        </w:rPr>
        <w:t>9</w:t>
      </w:r>
      <w:r>
        <w:fldChar w:fldCharType="end"/>
      </w:r>
      <w:r>
        <w:rPr>
          <w:rFonts w:hint="default"/>
          <w:lang w:val="pt-BR"/>
        </w:rPr>
        <w:t>0</w:t>
      </w:r>
    </w:p>
    <w:p w14:paraId="73903F10">
      <w:pPr>
        <w:pStyle w:val="34"/>
        <w:tabs>
          <w:tab w:val="right" w:leader="dot" w:pos="9016"/>
        </w:tabs>
        <w:rPr>
          <w:rFonts w:hint="default" w:asciiTheme="minorHAnsi" w:hAnsiTheme="minorHAnsi" w:eastAsiaTheme="minorEastAsia"/>
          <w:sz w:val="24"/>
          <w:szCs w:val="24"/>
          <w:lang w:val="pt-BR" w:eastAsia="es-BO"/>
        </w:rPr>
      </w:pPr>
      <w:r>
        <w:fldChar w:fldCharType="begin"/>
      </w:r>
      <w:r>
        <w:instrText xml:space="preserve"> HYPERLINK \l "_Toc174536600" </w:instrText>
      </w:r>
      <w:r>
        <w:fldChar w:fldCharType="separate"/>
      </w:r>
      <w:r>
        <w:rPr>
          <w:rStyle w:val="16"/>
        </w:rPr>
        <w:t>6.2 – P</w:t>
      </w:r>
      <w:r>
        <w:rPr>
          <w:rStyle w:val="16"/>
          <w:rFonts w:hint="default"/>
          <w:lang w:val="pt-BR"/>
        </w:rPr>
        <w:t>ROJETO BÁSICO</w:t>
      </w:r>
      <w:r>
        <w:tab/>
      </w:r>
      <w:r>
        <w:rPr>
          <w:rFonts w:hint="default"/>
          <w:lang w:val="pt-BR"/>
        </w:rPr>
        <w:t>9</w:t>
      </w:r>
      <w:r>
        <w:fldChar w:fldCharType="end"/>
      </w:r>
      <w:r>
        <w:rPr>
          <w:rFonts w:hint="default"/>
          <w:lang w:val="pt-BR"/>
        </w:rPr>
        <w:t>0</w:t>
      </w:r>
    </w:p>
    <w:p w14:paraId="3B33E1B0">
      <w:pPr>
        <w:pStyle w:val="34"/>
        <w:tabs>
          <w:tab w:val="right" w:leader="dot" w:pos="9016"/>
        </w:tabs>
        <w:rPr>
          <w:rFonts w:hint="default" w:asciiTheme="minorHAnsi" w:hAnsiTheme="minorHAnsi" w:eastAsiaTheme="minorEastAsia"/>
          <w:color w:val="auto"/>
          <w:sz w:val="24"/>
          <w:szCs w:val="24"/>
          <w:lang w:val="pt-BR" w:eastAsia="es-BO"/>
        </w:rPr>
      </w:pPr>
      <w:r>
        <w:rPr>
          <w:color w:val="auto"/>
        </w:rPr>
        <w:fldChar w:fldCharType="begin"/>
      </w:r>
      <w:r>
        <w:rPr>
          <w:color w:val="auto"/>
        </w:rPr>
        <w:instrText xml:space="preserve"> HYPERLINK \l "_Toc174536601" </w:instrText>
      </w:r>
      <w:r>
        <w:rPr>
          <w:color w:val="auto"/>
        </w:rPr>
        <w:fldChar w:fldCharType="separate"/>
      </w:r>
      <w:r>
        <w:rPr>
          <w:rStyle w:val="16"/>
          <w:color w:val="auto"/>
        </w:rPr>
        <w:t xml:space="preserve">6.3 – </w:t>
      </w:r>
      <w:r>
        <w:rPr>
          <w:rStyle w:val="16"/>
          <w:rFonts w:hint="default"/>
          <w:color w:val="auto"/>
        </w:rPr>
        <w:t xml:space="preserve"> INFORMAÇÃO SUPLEMENTAR</w:t>
      </w:r>
      <w:r>
        <w:rPr>
          <w:color w:val="auto"/>
        </w:rPr>
        <w:tab/>
      </w:r>
      <w:r>
        <w:rPr>
          <w:rFonts w:hint="default"/>
          <w:color w:val="auto"/>
          <w:lang w:val="pt-BR"/>
        </w:rPr>
        <w:t>9</w:t>
      </w:r>
      <w:r>
        <w:rPr>
          <w:color w:val="auto"/>
        </w:rPr>
        <w:fldChar w:fldCharType="end"/>
      </w:r>
      <w:r>
        <w:rPr>
          <w:rFonts w:hint="default"/>
          <w:color w:val="auto"/>
          <w:lang w:val="pt-BR"/>
        </w:rPr>
        <w:t>0</w:t>
      </w:r>
    </w:p>
    <w:p w14:paraId="6A382F85">
      <w:pPr>
        <w:rPr>
          <w:bCs/>
          <w:iCs/>
        </w:rPr>
      </w:pPr>
      <w:r>
        <w:rPr>
          <w:bCs/>
          <w:iCs/>
        </w:rPr>
        <w:fldChar w:fldCharType="end"/>
      </w:r>
    </w:p>
    <w:p w14:paraId="757D1693">
      <w:pPr>
        <w:rPr>
          <w:bCs/>
          <w:iCs/>
        </w:rPr>
        <w:sectPr>
          <w:headerReference r:id="rId18"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12FFFCF5">
      <w:pPr>
        <w:pStyle w:val="77"/>
        <w:jc w:val="left"/>
      </w:pPr>
      <w:bookmarkStart w:id="351" w:name="_Toc174536595"/>
      <w:bookmarkStart w:id="352" w:name="_Toc168411542"/>
      <w:bookmarkStart w:id="353" w:name="_Hlk114479231"/>
      <w:bookmarkStart w:id="354" w:name="_Hlk514760164"/>
      <w:r>
        <w:t>6.1</w:t>
      </w:r>
      <w:r>
        <w:rPr>
          <w:rFonts w:hint="default"/>
          <w:lang w:val="pt-BR"/>
        </w:rPr>
        <w:t xml:space="preserve"> </w:t>
      </w:r>
      <w:r>
        <w:rPr>
          <w:rFonts w:hint="default"/>
        </w:rPr>
        <w:t>–</w:t>
      </w:r>
      <w:r>
        <w:t xml:space="preserve"> ESPECIFICAÇÕES TÉCNICAS</w:t>
      </w:r>
      <w:bookmarkEnd w:id="351"/>
      <w:bookmarkEnd w:id="352"/>
    </w:p>
    <w:p w14:paraId="12F30B77">
      <w:pPr>
        <w:jc w:val="left"/>
        <w:rPr>
          <w:bCs/>
          <w:iCs/>
        </w:rPr>
      </w:pPr>
      <w:r>
        <w:rPr>
          <w:rFonts w:hint="default"/>
          <w:bCs/>
          <w:iCs/>
          <w:lang w:val="pt-BR"/>
        </w:rPr>
        <w:t>Ver projeto executivo em anexo</w:t>
      </w:r>
    </w:p>
    <w:bookmarkEnd w:id="353"/>
    <w:bookmarkEnd w:id="354"/>
    <w:p w14:paraId="5430B8B0">
      <w:pPr>
        <w:pStyle w:val="77"/>
        <w:jc w:val="left"/>
        <w:rPr>
          <w:rFonts w:hint="default"/>
          <w:lang w:val="pt-BR"/>
        </w:rPr>
      </w:pPr>
      <w:bookmarkStart w:id="355" w:name="_Toc138837133"/>
      <w:bookmarkStart w:id="356" w:name="_Toc168411543"/>
      <w:bookmarkStart w:id="357" w:name="_Toc174536600"/>
      <w:r>
        <w:t xml:space="preserve">6.2 – </w:t>
      </w:r>
      <w:bookmarkEnd w:id="355"/>
      <w:bookmarkEnd w:id="356"/>
      <w:bookmarkEnd w:id="357"/>
      <w:r>
        <w:rPr>
          <w:rFonts w:hint="default"/>
        </w:rPr>
        <w:t>PLANTAS E DESENHOS</w:t>
      </w:r>
    </w:p>
    <w:p w14:paraId="4789C48C">
      <w:pPr>
        <w:pStyle w:val="77"/>
        <w:jc w:val="left"/>
      </w:pPr>
      <w:bookmarkStart w:id="358" w:name="_Toc174536601"/>
      <w:bookmarkStart w:id="359" w:name="_Toc138837134"/>
      <w:bookmarkStart w:id="360" w:name="_Toc168411544"/>
      <w:r>
        <w:rPr>
          <w:rFonts w:hint="default"/>
          <w:b w:val="0"/>
          <w:bCs w:val="0"/>
        </w:rPr>
        <w:t>Ver Plantas e Desenhos em anexo</w:t>
      </w:r>
    </w:p>
    <w:p w14:paraId="333EB0EF">
      <w:pPr>
        <w:pStyle w:val="77"/>
        <w:jc w:val="left"/>
        <w:rPr>
          <w:color w:val="auto"/>
        </w:rPr>
      </w:pPr>
      <w:r>
        <w:rPr>
          <w:color w:val="auto"/>
        </w:rPr>
        <w:t xml:space="preserve">6.3 – </w:t>
      </w:r>
      <w:bookmarkEnd w:id="358"/>
      <w:bookmarkEnd w:id="359"/>
      <w:bookmarkEnd w:id="360"/>
      <w:r>
        <w:rPr>
          <w:rFonts w:hint="default"/>
          <w:color w:val="auto"/>
        </w:rPr>
        <w:t>INFORMAÇÃO SUPLEMENTAR</w:t>
      </w:r>
    </w:p>
    <w:p w14:paraId="404DC907">
      <w:pPr>
        <w:rPr>
          <w:rFonts w:hint="default"/>
          <w:bCs/>
          <w:iCs/>
          <w:highlight w:val="none"/>
          <w:lang w:val="pt-BR"/>
        </w:rPr>
      </w:pPr>
      <w:r>
        <w:rPr>
          <w:rFonts w:hint="default"/>
          <w:bCs/>
          <w:iCs/>
          <w:highlight w:val="none"/>
        </w:rPr>
        <w:t>N</w:t>
      </w:r>
      <w:r>
        <w:rPr>
          <w:rFonts w:hint="default"/>
          <w:bCs/>
          <w:iCs/>
          <w:highlight w:val="none"/>
          <w:lang w:val="pt-BR"/>
        </w:rPr>
        <w:t>ão</w:t>
      </w:r>
      <w:r>
        <w:rPr>
          <w:rFonts w:hint="default"/>
          <w:bCs/>
          <w:iCs/>
          <w:highlight w:val="none"/>
        </w:rPr>
        <w:t xml:space="preserve"> </w:t>
      </w:r>
      <w:r>
        <w:rPr>
          <w:rFonts w:hint="default"/>
          <w:bCs/>
          <w:iCs/>
          <w:highlight w:val="none"/>
          <w:lang w:val="pt-BR"/>
        </w:rPr>
        <w:t>se</w:t>
      </w:r>
      <w:r>
        <w:rPr>
          <w:rFonts w:hint="default"/>
          <w:bCs/>
          <w:iCs/>
          <w:highlight w:val="none"/>
        </w:rPr>
        <w:t xml:space="preserve"> </w:t>
      </w:r>
      <w:r>
        <w:rPr>
          <w:rFonts w:hint="default"/>
          <w:bCs/>
          <w:iCs/>
          <w:highlight w:val="none"/>
          <w:lang w:val="pt-BR"/>
        </w:rPr>
        <w:t>aplica</w:t>
      </w:r>
    </w:p>
    <w:p w14:paraId="52C5203D">
      <w:pPr>
        <w:ind w:firstLine="708"/>
        <w:rPr>
          <w:bCs/>
          <w:iCs/>
        </w:rPr>
      </w:pPr>
      <w:r>
        <w:rPr>
          <w:bCs/>
          <w:iCs/>
        </w:rPr>
        <w:br w:type="page"/>
      </w:r>
    </w:p>
    <w:p w14:paraId="1FA6E032">
      <w:pPr>
        <w:jc w:val="both"/>
        <w:rPr>
          <w:bCs/>
          <w:iCs/>
          <w:sz w:val="20"/>
          <w:szCs w:val="20"/>
          <w:highlight w:val="yellow"/>
        </w:rPr>
        <w:sectPr>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26A6B89E">
      <w:pPr>
        <w:pStyle w:val="87"/>
      </w:pPr>
      <w:bookmarkStart w:id="361" w:name="_Toc174536843"/>
      <w:bookmarkStart w:id="362" w:name="_Toc168130216"/>
      <w:r>
        <w:t>PARTE 3 - CONTRATO</w:t>
      </w:r>
      <w:bookmarkEnd w:id="361"/>
      <w:bookmarkEnd w:id="362"/>
    </w:p>
    <w:p w14:paraId="45214905">
      <w:pPr>
        <w:jc w:val="both"/>
        <w:rPr>
          <w:bCs/>
          <w:iCs/>
          <w:sz w:val="20"/>
          <w:szCs w:val="20"/>
          <w:highlight w:val="yellow"/>
        </w:rPr>
      </w:pPr>
    </w:p>
    <w:p w14:paraId="2EEC865B">
      <w:pPr>
        <w:jc w:val="both"/>
        <w:rPr>
          <w:bCs/>
          <w:iCs/>
          <w:sz w:val="20"/>
          <w:szCs w:val="20"/>
          <w:highlight w:val="yellow"/>
        </w:rPr>
        <w:sectPr>
          <w:headerReference r:id="rId19"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7024CB5D">
      <w:pPr>
        <w:pStyle w:val="87"/>
        <w:rPr>
          <w:b w:val="0"/>
          <w:bCs w:val="0"/>
          <w:iCs/>
        </w:rPr>
      </w:pPr>
      <w:bookmarkStart w:id="363" w:name="_Toc99023994"/>
      <w:bookmarkStart w:id="364" w:name="_Toc99021491"/>
      <w:bookmarkStart w:id="365" w:name="_Toc138424492"/>
      <w:bookmarkStart w:id="366" w:name="_Toc69970979"/>
      <w:bookmarkStart w:id="367" w:name="_Toc174536844"/>
      <w:bookmarkStart w:id="368" w:name="_Toc168130217"/>
      <w:bookmarkStart w:id="369" w:name="_Toc405799718"/>
      <w:bookmarkStart w:id="370" w:name="_Toc139302152"/>
      <w:r>
        <w:t>SEÇÃO 7 - CONDIÇÕES GERAIS DO CONTRATO (CGC)</w:t>
      </w:r>
      <w:bookmarkEnd w:id="363"/>
      <w:bookmarkEnd w:id="364"/>
      <w:bookmarkEnd w:id="365"/>
      <w:bookmarkEnd w:id="366"/>
      <w:bookmarkEnd w:id="367"/>
      <w:bookmarkEnd w:id="368"/>
      <w:bookmarkEnd w:id="369"/>
      <w:bookmarkEnd w:id="370"/>
    </w:p>
    <w:p w14:paraId="0EB49DFD">
      <w:pPr>
        <w:jc w:val="center"/>
        <w:rPr>
          <w:b/>
          <w:bCs/>
          <w:iCs/>
        </w:rPr>
      </w:pPr>
      <w:bookmarkStart w:id="371" w:name="_Toc266861719"/>
      <w:bookmarkStart w:id="372" w:name="_Toc266861323"/>
      <w:r>
        <w:rPr>
          <w:b/>
          <w:bCs/>
          <w:iCs/>
        </w:rPr>
        <w:t>CONTEÚDO</w:t>
      </w:r>
      <w:bookmarkEnd w:id="371"/>
      <w:bookmarkEnd w:id="372"/>
    </w:p>
    <w:p w14:paraId="4FC47EE0">
      <w:pPr>
        <w:pStyle w:val="34"/>
        <w:tabs>
          <w:tab w:val="right" w:leader="dot" w:pos="9016"/>
        </w:tabs>
        <w:rPr>
          <w:rFonts w:asciiTheme="minorHAnsi" w:hAnsiTheme="minorHAnsi" w:eastAsiaTheme="minorEastAsia"/>
          <w:sz w:val="24"/>
          <w:szCs w:val="24"/>
          <w:lang w:val="es-BO" w:eastAsia="es-BO"/>
        </w:rPr>
      </w:pPr>
      <w:r>
        <w:rPr>
          <w:b/>
          <w:bCs/>
          <w:iCs/>
        </w:rPr>
        <w:fldChar w:fldCharType="begin"/>
      </w:r>
      <w:r>
        <w:rPr>
          <w:b/>
          <w:bCs/>
          <w:iCs/>
        </w:rPr>
        <w:instrText xml:space="preserve"> TOC \h \z \t "TITULO44;1;SUBTITULO22;2" </w:instrText>
      </w:r>
      <w:r>
        <w:rPr>
          <w:b/>
          <w:bCs/>
          <w:iCs/>
        </w:rPr>
        <w:fldChar w:fldCharType="separate"/>
      </w:r>
      <w:r>
        <w:fldChar w:fldCharType="begin"/>
      </w:r>
      <w:r>
        <w:instrText xml:space="preserve"> HYPERLINK \l "_Toc174522828" </w:instrText>
      </w:r>
      <w:r>
        <w:fldChar w:fldCharType="separate"/>
      </w:r>
      <w:r>
        <w:rPr>
          <w:rStyle w:val="16"/>
        </w:rPr>
        <w:t>A – GERAL</w:t>
      </w:r>
      <w:r>
        <w:tab/>
      </w:r>
      <w:r>
        <w:fldChar w:fldCharType="begin"/>
      </w:r>
      <w:r>
        <w:instrText xml:space="preserve"> PAGEREF _Toc174522828 \h </w:instrText>
      </w:r>
      <w:r>
        <w:fldChar w:fldCharType="separate"/>
      </w:r>
      <w:r>
        <w:t>91</w:t>
      </w:r>
      <w:r>
        <w:fldChar w:fldCharType="end"/>
      </w:r>
      <w:r>
        <w:fldChar w:fldCharType="end"/>
      </w:r>
    </w:p>
    <w:p w14:paraId="22399779">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"_Toc174522829" </w:instrText>
      </w:r>
      <w:r>
        <w:fldChar w:fldCharType="separate"/>
      </w:r>
      <w:r>
        <w:rPr>
          <w:rStyle w:val="16"/>
        </w:rPr>
        <w:t>1.</w:t>
      </w:r>
      <w:r>
        <w:rPr>
          <w:rFonts w:asciiTheme="minorHAnsi" w:hAnsiTheme="minorHAnsi" w:eastAsiaTheme="minorEastAsia"/>
          <w:sz w:val="24"/>
          <w:szCs w:val="24"/>
          <w:lang w:val="es-BO" w:eastAsia="es-BO"/>
        </w:rPr>
        <w:tab/>
      </w:r>
      <w:r>
        <w:rPr>
          <w:rStyle w:val="16"/>
        </w:rPr>
        <w:t>Definições</w:t>
      </w:r>
      <w:r>
        <w:tab/>
      </w:r>
      <w:r>
        <w:fldChar w:fldCharType="begin"/>
      </w:r>
      <w:r>
        <w:instrText xml:space="preserve"> PAGEREF _Toc174522829 \h </w:instrText>
      </w:r>
      <w:r>
        <w:fldChar w:fldCharType="separate"/>
      </w:r>
      <w:r>
        <w:t>91</w:t>
      </w:r>
      <w:r>
        <w:fldChar w:fldCharType="end"/>
      </w:r>
      <w:r>
        <w:fldChar w:fldCharType="end"/>
      </w:r>
    </w:p>
    <w:p w14:paraId="1D998326">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"_Toc174522830" </w:instrText>
      </w:r>
      <w:r>
        <w:fldChar w:fldCharType="separate"/>
      </w:r>
      <w:r>
        <w:rPr>
          <w:rStyle w:val="16"/>
        </w:rPr>
        <w:t>2.</w:t>
      </w:r>
      <w:r>
        <w:rPr>
          <w:rFonts w:asciiTheme="minorHAnsi" w:hAnsiTheme="minorHAnsi" w:eastAsiaTheme="minorEastAsia"/>
          <w:sz w:val="24"/>
          <w:szCs w:val="24"/>
          <w:lang w:val="es-BO" w:eastAsia="es-BO"/>
        </w:rPr>
        <w:tab/>
      </w:r>
      <w:r>
        <w:rPr>
          <w:rStyle w:val="16"/>
        </w:rPr>
        <w:t>Interpretação</w:t>
      </w:r>
      <w:r>
        <w:tab/>
      </w:r>
      <w:r>
        <w:fldChar w:fldCharType="begin"/>
      </w:r>
      <w:r>
        <w:instrText xml:space="preserve"> PAGEREF _Toc174522830 \h </w:instrText>
      </w:r>
      <w:r>
        <w:fldChar w:fldCharType="separate"/>
      </w:r>
      <w:r>
        <w:t>94</w:t>
      </w:r>
      <w:r>
        <w:fldChar w:fldCharType="end"/>
      </w:r>
      <w:r>
        <w:fldChar w:fldCharType="end"/>
      </w:r>
    </w:p>
    <w:p w14:paraId="018E99E9">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"_Toc174522831" </w:instrText>
      </w:r>
      <w:r>
        <w:fldChar w:fldCharType="separate"/>
      </w:r>
      <w:r>
        <w:rPr>
          <w:rStyle w:val="16"/>
        </w:rPr>
        <w:t>3.</w:t>
      </w:r>
      <w:r>
        <w:rPr>
          <w:rFonts w:asciiTheme="minorHAnsi" w:hAnsiTheme="minorHAnsi" w:eastAsiaTheme="minorEastAsia"/>
          <w:sz w:val="24"/>
          <w:szCs w:val="24"/>
          <w:lang w:val="es-BO" w:eastAsia="es-BO"/>
        </w:rPr>
        <w:tab/>
      </w:r>
      <w:r>
        <w:rPr>
          <w:rStyle w:val="16"/>
        </w:rPr>
        <w:t>Idioma e Legislação Aplicável</w:t>
      </w:r>
      <w:r>
        <w:tab/>
      </w:r>
      <w:r>
        <w:fldChar w:fldCharType="begin"/>
      </w:r>
      <w:r>
        <w:instrText xml:space="preserve"> PAGEREF _Toc174522831 \h </w:instrText>
      </w:r>
      <w:r>
        <w:fldChar w:fldCharType="separate"/>
      </w:r>
      <w:r>
        <w:t>95</w:t>
      </w:r>
      <w:r>
        <w:fldChar w:fldCharType="end"/>
      </w:r>
      <w:r>
        <w:fldChar w:fldCharType="end"/>
      </w:r>
    </w:p>
    <w:p w14:paraId="1FF2472A">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"_Toc174522832" </w:instrText>
      </w:r>
      <w:r>
        <w:fldChar w:fldCharType="separate"/>
      </w:r>
      <w:r>
        <w:rPr>
          <w:rStyle w:val="16"/>
        </w:rPr>
        <w:t>4.</w:t>
      </w:r>
      <w:r>
        <w:rPr>
          <w:rFonts w:asciiTheme="minorHAnsi" w:hAnsiTheme="minorHAnsi" w:eastAsiaTheme="minorEastAsia"/>
          <w:sz w:val="24"/>
          <w:szCs w:val="24"/>
          <w:lang w:val="es-BO" w:eastAsia="es-BO"/>
        </w:rPr>
        <w:tab/>
      </w:r>
      <w:r>
        <w:rPr>
          <w:rStyle w:val="16"/>
        </w:rPr>
        <w:t>Decisões do Gerente do Contrato</w:t>
      </w:r>
      <w:r>
        <w:tab/>
      </w:r>
      <w:r>
        <w:fldChar w:fldCharType="begin"/>
      </w:r>
      <w:r>
        <w:instrText xml:space="preserve"> PAGEREF _Toc174522832 \h </w:instrText>
      </w:r>
      <w:r>
        <w:fldChar w:fldCharType="separate"/>
      </w:r>
      <w:r>
        <w:t>95</w:t>
      </w:r>
      <w:r>
        <w:fldChar w:fldCharType="end"/>
      </w:r>
      <w:r>
        <w:fldChar w:fldCharType="end"/>
      </w:r>
    </w:p>
    <w:p w14:paraId="0958CF83">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"_Toc174522833" </w:instrText>
      </w:r>
      <w:r>
        <w:fldChar w:fldCharType="separate"/>
      </w:r>
      <w:r>
        <w:rPr>
          <w:rStyle w:val="16"/>
        </w:rPr>
        <w:t>5.</w:t>
      </w:r>
      <w:r>
        <w:rPr>
          <w:rFonts w:asciiTheme="minorHAnsi" w:hAnsiTheme="minorHAnsi" w:eastAsiaTheme="minorEastAsia"/>
          <w:sz w:val="24"/>
          <w:szCs w:val="24"/>
          <w:lang w:val="es-BO" w:eastAsia="es-BO"/>
        </w:rPr>
        <w:tab/>
      </w:r>
      <w:r>
        <w:rPr>
          <w:rStyle w:val="16"/>
        </w:rPr>
        <w:t>Delegação</w:t>
      </w:r>
      <w:r>
        <w:tab/>
      </w:r>
      <w:r>
        <w:fldChar w:fldCharType="begin"/>
      </w:r>
      <w:r>
        <w:instrText xml:space="preserve"> PAGEREF _Toc174522833 \h </w:instrText>
      </w:r>
      <w:r>
        <w:fldChar w:fldCharType="separate"/>
      </w:r>
      <w:r>
        <w:t>95</w:t>
      </w:r>
      <w:r>
        <w:fldChar w:fldCharType="end"/>
      </w:r>
      <w:r>
        <w:fldChar w:fldCharType="end"/>
      </w:r>
    </w:p>
    <w:p w14:paraId="0F1BDE76">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"_Toc174522834" </w:instrText>
      </w:r>
      <w:r>
        <w:fldChar w:fldCharType="separate"/>
      </w:r>
      <w:r>
        <w:rPr>
          <w:rStyle w:val="16"/>
        </w:rPr>
        <w:t>6.</w:t>
      </w:r>
      <w:r>
        <w:rPr>
          <w:rFonts w:asciiTheme="minorHAnsi" w:hAnsiTheme="minorHAnsi" w:eastAsiaTheme="minorEastAsia"/>
          <w:sz w:val="24"/>
          <w:szCs w:val="24"/>
          <w:lang w:val="es-BO" w:eastAsia="es-BO"/>
        </w:rPr>
        <w:tab/>
      </w:r>
      <w:r>
        <w:rPr>
          <w:rStyle w:val="16"/>
        </w:rPr>
        <w:t>Comunicação</w:t>
      </w:r>
      <w:r>
        <w:tab/>
      </w:r>
      <w:r>
        <w:fldChar w:fldCharType="begin"/>
      </w:r>
      <w:r>
        <w:instrText xml:space="preserve"> PAGEREF _Toc174522834 \h </w:instrText>
      </w:r>
      <w:r>
        <w:fldChar w:fldCharType="separate"/>
      </w:r>
      <w:r>
        <w:t>95</w:t>
      </w:r>
      <w:r>
        <w:fldChar w:fldCharType="end"/>
      </w:r>
      <w:r>
        <w:fldChar w:fldCharType="end"/>
      </w:r>
    </w:p>
    <w:p w14:paraId="2D66786A">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"_Toc174522835" </w:instrText>
      </w:r>
      <w:r>
        <w:fldChar w:fldCharType="separate"/>
      </w:r>
      <w:r>
        <w:rPr>
          <w:rStyle w:val="16"/>
        </w:rPr>
        <w:t>7.</w:t>
      </w:r>
      <w:r>
        <w:rPr>
          <w:rFonts w:asciiTheme="minorHAnsi" w:hAnsiTheme="minorHAnsi" w:eastAsiaTheme="minorEastAsia"/>
          <w:sz w:val="24"/>
          <w:szCs w:val="24"/>
          <w:lang w:val="es-BO" w:eastAsia="es-BO"/>
        </w:rPr>
        <w:tab/>
      </w:r>
      <w:r>
        <w:rPr>
          <w:rStyle w:val="16"/>
        </w:rPr>
        <w:t>Subcontratação</w:t>
      </w:r>
      <w:r>
        <w:tab/>
      </w:r>
      <w:r>
        <w:fldChar w:fldCharType="begin"/>
      </w:r>
      <w:r>
        <w:instrText xml:space="preserve"> PAGEREF _Toc174522835 \h </w:instrText>
      </w:r>
      <w:r>
        <w:fldChar w:fldCharType="separate"/>
      </w:r>
      <w:r>
        <w:t>96</w:t>
      </w:r>
      <w:r>
        <w:fldChar w:fldCharType="end"/>
      </w:r>
      <w:r>
        <w:fldChar w:fldCharType="end"/>
      </w:r>
    </w:p>
    <w:p w14:paraId="7CD9673C">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"_Toc174522836" </w:instrText>
      </w:r>
      <w:r>
        <w:fldChar w:fldCharType="separate"/>
      </w:r>
      <w:r>
        <w:rPr>
          <w:rStyle w:val="16"/>
        </w:rPr>
        <w:t>8.</w:t>
      </w:r>
      <w:r>
        <w:rPr>
          <w:rFonts w:asciiTheme="minorHAnsi" w:hAnsiTheme="minorHAnsi" w:eastAsiaTheme="minorEastAsia"/>
          <w:sz w:val="24"/>
          <w:szCs w:val="24"/>
          <w:lang w:val="es-BO" w:eastAsia="es-BO"/>
        </w:rPr>
        <w:tab/>
      </w:r>
      <w:r>
        <w:rPr>
          <w:rStyle w:val="16"/>
        </w:rPr>
        <w:t>Outros Contratados</w:t>
      </w:r>
      <w:r>
        <w:tab/>
      </w:r>
      <w:r>
        <w:fldChar w:fldCharType="begin"/>
      </w:r>
      <w:r>
        <w:instrText xml:space="preserve"> PAGEREF _Toc174522836 \h </w:instrText>
      </w:r>
      <w:r>
        <w:fldChar w:fldCharType="separate"/>
      </w:r>
      <w:r>
        <w:t>97</w:t>
      </w:r>
      <w:r>
        <w:fldChar w:fldCharType="end"/>
      </w:r>
      <w:r>
        <w:fldChar w:fldCharType="end"/>
      </w:r>
    </w:p>
    <w:p w14:paraId="1C0F67EB">
      <w:pPr>
        <w:pStyle w:val="17"/>
        <w:tabs>
          <w:tab w:val="left" w:pos="720"/>
          <w:tab w:val="right" w:leader="dot" w:pos="9016"/>
        </w:tabs>
        <w:rPr>
          <w:rFonts w:asciiTheme="minorHAnsi" w:hAnsiTheme="minorHAnsi" w:eastAsiaTheme="minorEastAsia"/>
          <w:sz w:val="24"/>
          <w:szCs w:val="24"/>
          <w:lang w:val="es-BO" w:eastAsia="es-BO"/>
        </w:rPr>
      </w:pPr>
      <w:r>
        <w:fldChar w:fldCharType="begin"/>
      </w:r>
      <w:r>
        <w:instrText xml:space="preserve"> HYPERLINK \l "_Toc174522837" </w:instrText>
      </w:r>
      <w:r>
        <w:fldChar w:fldCharType="separate"/>
      </w:r>
      <w:r>
        <w:rPr>
          <w:rStyle w:val="16"/>
        </w:rPr>
        <w:t>9.</w:t>
      </w:r>
      <w:r>
        <w:rPr>
          <w:rFonts w:asciiTheme="minorHAnsi" w:hAnsiTheme="minorHAnsi" w:eastAsiaTheme="minorEastAsia"/>
          <w:sz w:val="24"/>
          <w:szCs w:val="24"/>
          <w:lang w:val="es-BO" w:eastAsia="es-BO"/>
        </w:rPr>
        <w:tab/>
      </w:r>
      <w:r>
        <w:rPr>
          <w:rStyle w:val="16"/>
        </w:rPr>
        <w:t>Pessoal</w:t>
      </w:r>
      <w:r>
        <w:tab/>
      </w:r>
      <w:r>
        <w:fldChar w:fldCharType="begin"/>
      </w:r>
      <w:r>
        <w:instrText xml:space="preserve"> PAGEREF _Toc174522837 \h </w:instrText>
      </w:r>
      <w:r>
        <w:fldChar w:fldCharType="separate"/>
      </w:r>
      <w:r>
        <w:t>97</w:t>
      </w:r>
      <w:r>
        <w:fldChar w:fldCharType="end"/>
      </w:r>
      <w:r>
        <w:fldChar w:fldCharType="end"/>
      </w:r>
    </w:p>
    <w:p w14:paraId="2BD664B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"_Toc174522838" </w:instrText>
      </w:r>
      <w:r>
        <w:fldChar w:fldCharType="separate"/>
      </w:r>
      <w:r>
        <w:rPr>
          <w:rStyle w:val="16"/>
        </w:rPr>
        <w:t>10.</w:t>
      </w:r>
      <w:r>
        <w:rPr>
          <w:rFonts w:asciiTheme="minorHAnsi" w:hAnsiTheme="minorHAnsi" w:eastAsiaTheme="minorEastAsia"/>
          <w:sz w:val="24"/>
          <w:szCs w:val="24"/>
          <w:lang w:val="es-BO" w:eastAsia="es-BO"/>
        </w:rPr>
        <w:tab/>
      </w:r>
      <w:r>
        <w:rPr>
          <w:rStyle w:val="16"/>
        </w:rPr>
        <w:t>Riscos do Contratante e do Contratado</w:t>
      </w:r>
      <w:r>
        <w:tab/>
      </w:r>
      <w:r>
        <w:fldChar w:fldCharType="begin"/>
      </w:r>
      <w:r>
        <w:instrText xml:space="preserve"> PAGEREF _Toc174522838 \h </w:instrText>
      </w:r>
      <w:r>
        <w:fldChar w:fldCharType="separate"/>
      </w:r>
      <w:r>
        <w:t>97</w:t>
      </w:r>
      <w:r>
        <w:fldChar w:fldCharType="end"/>
      </w:r>
      <w:r>
        <w:fldChar w:fldCharType="end"/>
      </w:r>
    </w:p>
    <w:p w14:paraId="2775F056">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"_Toc174522839" </w:instrText>
      </w:r>
      <w:r>
        <w:fldChar w:fldCharType="separate"/>
      </w:r>
      <w:r>
        <w:rPr>
          <w:rStyle w:val="16"/>
        </w:rPr>
        <w:t>11.</w:t>
      </w:r>
      <w:r>
        <w:rPr>
          <w:rFonts w:asciiTheme="minorHAnsi" w:hAnsiTheme="minorHAnsi" w:eastAsiaTheme="minorEastAsia"/>
          <w:sz w:val="24"/>
          <w:szCs w:val="24"/>
          <w:lang w:val="es-BO" w:eastAsia="es-BO"/>
        </w:rPr>
        <w:tab/>
      </w:r>
      <w:r>
        <w:rPr>
          <w:rStyle w:val="16"/>
        </w:rPr>
        <w:t>Riscos do Contratante</w:t>
      </w:r>
      <w:r>
        <w:tab/>
      </w:r>
      <w:r>
        <w:fldChar w:fldCharType="begin"/>
      </w:r>
      <w:r>
        <w:instrText xml:space="preserve"> PAGEREF _Toc174522839 \h </w:instrText>
      </w:r>
      <w:r>
        <w:fldChar w:fldCharType="separate"/>
      </w:r>
      <w:r>
        <w:t>97</w:t>
      </w:r>
      <w:r>
        <w:fldChar w:fldCharType="end"/>
      </w:r>
      <w:r>
        <w:fldChar w:fldCharType="end"/>
      </w:r>
    </w:p>
    <w:p w14:paraId="4F55CDA2">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"_Toc174522840" </w:instrText>
      </w:r>
      <w:r>
        <w:fldChar w:fldCharType="separate"/>
      </w:r>
      <w:r>
        <w:rPr>
          <w:rStyle w:val="16"/>
        </w:rPr>
        <w:t>12.</w:t>
      </w:r>
      <w:r>
        <w:rPr>
          <w:rFonts w:asciiTheme="minorHAnsi" w:hAnsiTheme="minorHAnsi" w:eastAsiaTheme="minorEastAsia"/>
          <w:sz w:val="24"/>
          <w:szCs w:val="24"/>
          <w:lang w:val="es-BO" w:eastAsia="es-BO"/>
        </w:rPr>
        <w:tab/>
      </w:r>
      <w:r>
        <w:rPr>
          <w:rStyle w:val="16"/>
        </w:rPr>
        <w:t>Riscos do Contratado</w:t>
      </w:r>
      <w:r>
        <w:tab/>
      </w:r>
      <w:r>
        <w:fldChar w:fldCharType="begin"/>
      </w:r>
      <w:r>
        <w:instrText xml:space="preserve"> PAGEREF _Toc174522840 \h </w:instrText>
      </w:r>
      <w:r>
        <w:fldChar w:fldCharType="separate"/>
      </w:r>
      <w:r>
        <w:t>98</w:t>
      </w:r>
      <w:r>
        <w:fldChar w:fldCharType="end"/>
      </w:r>
      <w:r>
        <w:fldChar w:fldCharType="end"/>
      </w:r>
    </w:p>
    <w:p w14:paraId="0F9CBB8C">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"_Toc174522841" </w:instrText>
      </w:r>
      <w:r>
        <w:fldChar w:fldCharType="separate"/>
      </w:r>
      <w:r>
        <w:rPr>
          <w:rStyle w:val="16"/>
        </w:rPr>
        <w:t>13.</w:t>
      </w:r>
      <w:r>
        <w:rPr>
          <w:rFonts w:asciiTheme="minorHAnsi" w:hAnsiTheme="minorHAnsi" w:eastAsiaTheme="minorEastAsia"/>
          <w:sz w:val="24"/>
          <w:szCs w:val="24"/>
          <w:lang w:val="es-BO" w:eastAsia="es-BO"/>
        </w:rPr>
        <w:tab/>
      </w:r>
      <w:r>
        <w:rPr>
          <w:rStyle w:val="16"/>
        </w:rPr>
        <w:t>Seguro</w:t>
      </w:r>
      <w:r>
        <w:tab/>
      </w:r>
      <w:r>
        <w:fldChar w:fldCharType="begin"/>
      </w:r>
      <w:r>
        <w:instrText xml:space="preserve"> PAGEREF _Toc174522841 \h </w:instrText>
      </w:r>
      <w:r>
        <w:fldChar w:fldCharType="separate"/>
      </w:r>
      <w:r>
        <w:t>98</w:t>
      </w:r>
      <w:r>
        <w:fldChar w:fldCharType="end"/>
      </w:r>
      <w:r>
        <w:fldChar w:fldCharType="end"/>
      </w:r>
    </w:p>
    <w:p w14:paraId="10F28D79">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"_Toc174522842" </w:instrText>
      </w:r>
      <w:r>
        <w:fldChar w:fldCharType="separate"/>
      </w:r>
      <w:r>
        <w:rPr>
          <w:rStyle w:val="16"/>
        </w:rPr>
        <w:t>14.</w:t>
      </w:r>
      <w:r>
        <w:rPr>
          <w:rFonts w:asciiTheme="minorHAnsi" w:hAnsiTheme="minorHAnsi" w:eastAsiaTheme="minorEastAsia"/>
          <w:sz w:val="24"/>
          <w:szCs w:val="24"/>
          <w:lang w:val="es-BO" w:eastAsia="es-BO"/>
        </w:rPr>
        <w:tab/>
      </w:r>
      <w:r>
        <w:rPr>
          <w:rStyle w:val="16"/>
        </w:rPr>
        <w:t>Relatório de Inspeção ao Local das Obras</w:t>
      </w:r>
      <w:r>
        <w:tab/>
      </w:r>
      <w:r>
        <w:fldChar w:fldCharType="begin"/>
      </w:r>
      <w:r>
        <w:instrText xml:space="preserve"> PAGEREF _Toc174522842 \h </w:instrText>
      </w:r>
      <w:r>
        <w:fldChar w:fldCharType="separate"/>
      </w:r>
      <w:r>
        <w:t>99</w:t>
      </w:r>
      <w:r>
        <w:fldChar w:fldCharType="end"/>
      </w:r>
      <w:r>
        <w:fldChar w:fldCharType="end"/>
      </w:r>
    </w:p>
    <w:p w14:paraId="6D4FCA0C">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"_Toc174522843" </w:instrText>
      </w:r>
      <w:r>
        <w:fldChar w:fldCharType="separate"/>
      </w:r>
      <w:r>
        <w:rPr>
          <w:rStyle w:val="16"/>
        </w:rPr>
        <w:t>15.</w:t>
      </w:r>
      <w:r>
        <w:rPr>
          <w:rFonts w:asciiTheme="minorHAnsi" w:hAnsiTheme="minorHAnsi" w:eastAsiaTheme="minorEastAsia"/>
          <w:sz w:val="24"/>
          <w:szCs w:val="24"/>
          <w:lang w:val="es-BO" w:eastAsia="es-BO"/>
        </w:rPr>
        <w:tab/>
      </w:r>
      <w:r>
        <w:rPr>
          <w:rStyle w:val="16"/>
        </w:rPr>
        <w:t>Obrigações do Contratante</w:t>
      </w:r>
      <w:r>
        <w:tab/>
      </w:r>
      <w:r>
        <w:fldChar w:fldCharType="begin"/>
      </w:r>
      <w:r>
        <w:instrText xml:space="preserve"> PAGEREF _Toc174522843 \h </w:instrText>
      </w:r>
      <w:r>
        <w:fldChar w:fldCharType="separate"/>
      </w:r>
      <w:r>
        <w:t>99</w:t>
      </w:r>
      <w:r>
        <w:fldChar w:fldCharType="end"/>
      </w:r>
      <w:r>
        <w:fldChar w:fldCharType="end"/>
      </w:r>
    </w:p>
    <w:p w14:paraId="7375333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"_Toc174522844" </w:instrText>
      </w:r>
      <w:r>
        <w:fldChar w:fldCharType="separate"/>
      </w:r>
      <w:r>
        <w:rPr>
          <w:rStyle w:val="16"/>
        </w:rPr>
        <w:t>16.</w:t>
      </w:r>
      <w:r>
        <w:rPr>
          <w:rFonts w:asciiTheme="minorHAnsi" w:hAnsiTheme="minorHAnsi" w:eastAsiaTheme="minorEastAsia"/>
          <w:sz w:val="24"/>
          <w:szCs w:val="24"/>
          <w:lang w:val="es-BO" w:eastAsia="es-BO"/>
        </w:rPr>
        <w:tab/>
      </w:r>
      <w:r>
        <w:rPr>
          <w:rStyle w:val="16"/>
        </w:rPr>
        <w:t>Obrigações do Contratado</w:t>
      </w:r>
      <w:r>
        <w:tab/>
      </w:r>
      <w:r>
        <w:fldChar w:fldCharType="begin"/>
      </w:r>
      <w:r>
        <w:instrText xml:space="preserve"> PAGEREF _Toc174522844 \h </w:instrText>
      </w:r>
      <w:r>
        <w:fldChar w:fldCharType="separate"/>
      </w:r>
      <w:r>
        <w:t>101</w:t>
      </w:r>
      <w:r>
        <w:fldChar w:fldCharType="end"/>
      </w:r>
      <w:r>
        <w:fldChar w:fldCharType="end"/>
      </w:r>
    </w:p>
    <w:p w14:paraId="18CC2AD1">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"_Toc174522845" </w:instrText>
      </w:r>
      <w:r>
        <w:fldChar w:fldCharType="separate"/>
      </w:r>
      <w:r>
        <w:rPr>
          <w:rStyle w:val="16"/>
        </w:rPr>
        <w:t>17.</w:t>
      </w:r>
      <w:r>
        <w:rPr>
          <w:rFonts w:asciiTheme="minorHAnsi" w:hAnsiTheme="minorHAnsi" w:eastAsiaTheme="minorEastAsia"/>
          <w:sz w:val="24"/>
          <w:szCs w:val="24"/>
          <w:lang w:val="es-BO" w:eastAsia="es-BO"/>
        </w:rPr>
        <w:tab/>
      </w:r>
      <w:r>
        <w:rPr>
          <w:rStyle w:val="16"/>
        </w:rPr>
        <w:t>Obras a Serem Concluídas na Data Prevista para Conclusão</w:t>
      </w:r>
      <w:r>
        <w:tab/>
      </w:r>
      <w:r>
        <w:fldChar w:fldCharType="begin"/>
      </w:r>
      <w:r>
        <w:instrText xml:space="preserve"> PAGEREF _Toc174522845 \h </w:instrText>
      </w:r>
      <w:r>
        <w:fldChar w:fldCharType="separate"/>
      </w:r>
      <w:r>
        <w:t>102</w:t>
      </w:r>
      <w:r>
        <w:fldChar w:fldCharType="end"/>
      </w:r>
      <w:r>
        <w:fldChar w:fldCharType="end"/>
      </w:r>
    </w:p>
    <w:p w14:paraId="43B6155A">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"_Toc174522846" </w:instrText>
      </w:r>
      <w:r>
        <w:fldChar w:fldCharType="separate"/>
      </w:r>
      <w:r>
        <w:rPr>
          <w:rStyle w:val="16"/>
        </w:rPr>
        <w:t>18.</w:t>
      </w:r>
      <w:r>
        <w:rPr>
          <w:rFonts w:asciiTheme="minorHAnsi" w:hAnsiTheme="minorHAnsi" w:eastAsiaTheme="minorEastAsia"/>
          <w:sz w:val="24"/>
          <w:szCs w:val="24"/>
          <w:lang w:val="es-BO" w:eastAsia="es-BO"/>
        </w:rPr>
        <w:tab/>
      </w:r>
      <w:r>
        <w:rPr>
          <w:rStyle w:val="16"/>
        </w:rPr>
        <w:t>Aprovação do Gerente do Contrato</w:t>
      </w:r>
      <w:r>
        <w:tab/>
      </w:r>
      <w:r>
        <w:fldChar w:fldCharType="begin"/>
      </w:r>
      <w:r>
        <w:instrText xml:space="preserve"> PAGEREF _Toc174522846 \h </w:instrText>
      </w:r>
      <w:r>
        <w:fldChar w:fldCharType="separate"/>
      </w:r>
      <w:r>
        <w:t>102</w:t>
      </w:r>
      <w:r>
        <w:fldChar w:fldCharType="end"/>
      </w:r>
      <w:r>
        <w:fldChar w:fldCharType="end"/>
      </w:r>
    </w:p>
    <w:p w14:paraId="68BAB32F">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"_Toc174522847" </w:instrText>
      </w:r>
      <w:r>
        <w:fldChar w:fldCharType="separate"/>
      </w:r>
      <w:r>
        <w:rPr>
          <w:rStyle w:val="16"/>
        </w:rPr>
        <w:t>19.</w:t>
      </w:r>
      <w:r>
        <w:rPr>
          <w:rFonts w:asciiTheme="minorHAnsi" w:hAnsiTheme="minorHAnsi" w:eastAsiaTheme="minorEastAsia"/>
          <w:sz w:val="24"/>
          <w:szCs w:val="24"/>
          <w:lang w:val="es-BO" w:eastAsia="es-BO"/>
        </w:rPr>
        <w:tab/>
      </w:r>
      <w:r>
        <w:rPr>
          <w:rStyle w:val="16"/>
        </w:rPr>
        <w:t>Segurança</w:t>
      </w:r>
      <w:r>
        <w:tab/>
      </w:r>
      <w:r>
        <w:fldChar w:fldCharType="begin"/>
      </w:r>
      <w:r>
        <w:instrText xml:space="preserve"> PAGEREF _Toc174522847 \h </w:instrText>
      </w:r>
      <w:r>
        <w:fldChar w:fldCharType="separate"/>
      </w:r>
      <w:r>
        <w:t>103</w:t>
      </w:r>
      <w:r>
        <w:fldChar w:fldCharType="end"/>
      </w:r>
      <w:r>
        <w:fldChar w:fldCharType="end"/>
      </w:r>
    </w:p>
    <w:p w14:paraId="02C85330">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"_Toc174522848" </w:instrText>
      </w:r>
      <w:r>
        <w:fldChar w:fldCharType="separate"/>
      </w:r>
      <w:r>
        <w:rPr>
          <w:rStyle w:val="16"/>
        </w:rPr>
        <w:t>20.</w:t>
      </w:r>
      <w:r>
        <w:rPr>
          <w:rFonts w:asciiTheme="minorHAnsi" w:hAnsiTheme="minorHAnsi" w:eastAsiaTheme="minorEastAsia"/>
          <w:sz w:val="24"/>
          <w:szCs w:val="24"/>
          <w:lang w:val="es-BO" w:eastAsia="es-BO"/>
        </w:rPr>
        <w:tab/>
      </w:r>
      <w:r>
        <w:rPr>
          <w:rStyle w:val="16"/>
        </w:rPr>
        <w:t>Descobrimentos ou Achados</w:t>
      </w:r>
      <w:r>
        <w:tab/>
      </w:r>
      <w:r>
        <w:fldChar w:fldCharType="begin"/>
      </w:r>
      <w:r>
        <w:instrText xml:space="preserve"> PAGEREF _Toc174522848 \h </w:instrText>
      </w:r>
      <w:r>
        <w:fldChar w:fldCharType="separate"/>
      </w:r>
      <w:r>
        <w:t>103</w:t>
      </w:r>
      <w:r>
        <w:fldChar w:fldCharType="end"/>
      </w:r>
      <w:r>
        <w:fldChar w:fldCharType="end"/>
      </w:r>
    </w:p>
    <w:p w14:paraId="2BCE4FEE">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"_Toc174522849" </w:instrText>
      </w:r>
      <w:r>
        <w:fldChar w:fldCharType="separate"/>
      </w:r>
      <w:r>
        <w:rPr>
          <w:rStyle w:val="16"/>
        </w:rPr>
        <w:t>21.</w:t>
      </w:r>
      <w:r>
        <w:rPr>
          <w:rFonts w:asciiTheme="minorHAnsi" w:hAnsiTheme="minorHAnsi" w:eastAsiaTheme="minorEastAsia"/>
          <w:sz w:val="24"/>
          <w:szCs w:val="24"/>
          <w:lang w:val="es-BO" w:eastAsia="es-BO"/>
        </w:rPr>
        <w:tab/>
      </w:r>
      <w:r>
        <w:rPr>
          <w:rStyle w:val="16"/>
        </w:rPr>
        <w:t>Posse do Local das Obras</w:t>
      </w:r>
      <w:r>
        <w:tab/>
      </w:r>
      <w:r>
        <w:fldChar w:fldCharType="begin"/>
      </w:r>
      <w:r>
        <w:instrText xml:space="preserve"> PAGEREF _Toc174522849 \h </w:instrText>
      </w:r>
      <w:r>
        <w:fldChar w:fldCharType="separate"/>
      </w:r>
      <w:r>
        <w:t>103</w:t>
      </w:r>
      <w:r>
        <w:fldChar w:fldCharType="end"/>
      </w:r>
      <w:r>
        <w:fldChar w:fldCharType="end"/>
      </w:r>
    </w:p>
    <w:p w14:paraId="47FE2E2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"_Toc174522850" </w:instrText>
      </w:r>
      <w:r>
        <w:fldChar w:fldCharType="separate"/>
      </w:r>
      <w:r>
        <w:rPr>
          <w:rStyle w:val="16"/>
        </w:rPr>
        <w:t>22.</w:t>
      </w:r>
      <w:r>
        <w:rPr>
          <w:rFonts w:asciiTheme="minorHAnsi" w:hAnsiTheme="minorHAnsi" w:eastAsiaTheme="minorEastAsia"/>
          <w:sz w:val="24"/>
          <w:szCs w:val="24"/>
          <w:lang w:val="es-BO" w:eastAsia="es-BO"/>
        </w:rPr>
        <w:tab/>
      </w:r>
      <w:r>
        <w:rPr>
          <w:rStyle w:val="16"/>
        </w:rPr>
        <w:t>Acesso ao Local das Obras</w:t>
      </w:r>
      <w:r>
        <w:tab/>
      </w:r>
      <w:r>
        <w:fldChar w:fldCharType="begin"/>
      </w:r>
      <w:r>
        <w:instrText xml:space="preserve"> PAGEREF _Toc174522850 \h </w:instrText>
      </w:r>
      <w:r>
        <w:fldChar w:fldCharType="separate"/>
      </w:r>
      <w:r>
        <w:t>103</w:t>
      </w:r>
      <w:r>
        <w:fldChar w:fldCharType="end"/>
      </w:r>
      <w:r>
        <w:fldChar w:fldCharType="end"/>
      </w:r>
    </w:p>
    <w:p w14:paraId="4B96F44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"_Toc174522851" </w:instrText>
      </w:r>
      <w:r>
        <w:fldChar w:fldCharType="separate"/>
      </w:r>
      <w:r>
        <w:rPr>
          <w:rStyle w:val="16"/>
        </w:rPr>
        <w:t>23.</w:t>
      </w:r>
      <w:r>
        <w:rPr>
          <w:rFonts w:asciiTheme="minorHAnsi" w:hAnsiTheme="minorHAnsi" w:eastAsiaTheme="minorEastAsia"/>
          <w:sz w:val="24"/>
          <w:szCs w:val="24"/>
          <w:lang w:val="es-BO" w:eastAsia="es-BO"/>
        </w:rPr>
        <w:tab/>
      </w:r>
      <w:r>
        <w:rPr>
          <w:rStyle w:val="16"/>
        </w:rPr>
        <w:t>Instruções, Inspeções e Auditorias</w:t>
      </w:r>
      <w:r>
        <w:tab/>
      </w:r>
      <w:r>
        <w:fldChar w:fldCharType="begin"/>
      </w:r>
      <w:r>
        <w:instrText xml:space="preserve"> PAGEREF _Toc174522851 \h </w:instrText>
      </w:r>
      <w:r>
        <w:fldChar w:fldCharType="separate"/>
      </w:r>
      <w:r>
        <w:t>103</w:t>
      </w:r>
      <w:r>
        <w:fldChar w:fldCharType="end"/>
      </w:r>
      <w:r>
        <w:fldChar w:fldCharType="end"/>
      </w:r>
    </w:p>
    <w:p w14:paraId="56672C32">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"_Toc174522852" </w:instrText>
      </w:r>
      <w:r>
        <w:fldChar w:fldCharType="separate"/>
      </w:r>
      <w:r>
        <w:rPr>
          <w:rStyle w:val="16"/>
        </w:rPr>
        <w:t>24.</w:t>
      </w:r>
      <w:r>
        <w:rPr>
          <w:rFonts w:asciiTheme="minorHAnsi" w:hAnsiTheme="minorHAnsi" w:eastAsiaTheme="minorEastAsia"/>
          <w:sz w:val="24"/>
          <w:szCs w:val="24"/>
          <w:lang w:val="es-BO" w:eastAsia="es-BO"/>
        </w:rPr>
        <w:tab/>
      </w:r>
      <w:r>
        <w:rPr>
          <w:rStyle w:val="16"/>
        </w:rPr>
        <w:t>Resolução de Conflitos</w:t>
      </w:r>
      <w:r>
        <w:tab/>
      </w:r>
      <w:r>
        <w:fldChar w:fldCharType="begin"/>
      </w:r>
      <w:r>
        <w:instrText xml:space="preserve"> PAGEREF _Toc174522852 \h </w:instrText>
      </w:r>
      <w:r>
        <w:fldChar w:fldCharType="separate"/>
      </w:r>
      <w:r>
        <w:t>103</w:t>
      </w:r>
      <w:r>
        <w:fldChar w:fldCharType="end"/>
      </w:r>
      <w:r>
        <w:fldChar w:fldCharType="end"/>
      </w:r>
    </w:p>
    <w:p w14:paraId="0DC990F7">
      <w:pPr>
        <w:pStyle w:val="17"/>
        <w:tabs>
          <w:tab w:val="left" w:pos="960"/>
          <w:tab w:val="right" w:leader="dot" w:pos="9016"/>
        </w:tabs>
      </w:pPr>
      <w:r>
        <w:rPr>
          <w:rFonts w:hint="default"/>
        </w:rPr>
        <w:t xml:space="preserve">C – CONTROLE DE </w:t>
      </w:r>
      <w:r>
        <w:rPr>
          <w:rFonts w:hint="default"/>
          <w:lang w:val="pt-BR"/>
        </w:rPr>
        <w:t>TEMPO</w:t>
      </w:r>
      <w:r>
        <w:rPr>
          <w:rFonts w:hint="default"/>
        </w:rPr>
        <w:tab/>
      </w:r>
      <w:r>
        <w:rPr>
          <w:rFonts w:hint="default"/>
        </w:rPr>
        <w:t>105</w:t>
      </w:r>
    </w:p>
    <w:p w14:paraId="3D3BF0D0">
      <w:pPr>
        <w:pStyle w:val="17"/>
        <w:tabs>
          <w:tab w:val="left" w:pos="960"/>
          <w:tab w:val="right" w:leader="dot" w:pos="9016"/>
        </w:tabs>
      </w:pPr>
      <w:r>
        <w:rPr>
          <w:rFonts w:hint="default"/>
        </w:rPr>
        <w:t>25.</w:t>
      </w:r>
      <w:r>
        <w:rPr>
          <w:rFonts w:hint="default"/>
        </w:rPr>
        <w:tab/>
      </w:r>
      <w:r>
        <w:rPr>
          <w:rFonts w:hint="default"/>
        </w:rPr>
        <w:t>Cronograma de Implementação das Obras</w:t>
      </w:r>
      <w:r>
        <w:rPr>
          <w:rFonts w:hint="default"/>
        </w:rPr>
        <w:tab/>
      </w:r>
      <w:r>
        <w:rPr>
          <w:rFonts w:hint="default"/>
        </w:rPr>
        <w:t>103</w:t>
      </w:r>
    </w:p>
    <w:p w14:paraId="53FD5A1D">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"_Toc174522854" </w:instrText>
      </w:r>
      <w:r>
        <w:fldChar w:fldCharType="separate"/>
      </w:r>
      <w:r>
        <w:rPr>
          <w:rStyle w:val="16"/>
        </w:rPr>
        <w:t>26.</w:t>
      </w:r>
      <w:r>
        <w:rPr>
          <w:rFonts w:asciiTheme="minorHAnsi" w:hAnsiTheme="minorHAnsi" w:eastAsiaTheme="minorEastAsia"/>
          <w:sz w:val="24"/>
          <w:szCs w:val="24"/>
          <w:lang w:val="es-BO" w:eastAsia="es-BO"/>
        </w:rPr>
        <w:tab/>
      </w:r>
      <w:r>
        <w:rPr>
          <w:rStyle w:val="16"/>
        </w:rPr>
        <w:t>Alteração da Data Prevista para a Conclusão</w:t>
      </w:r>
      <w:r>
        <w:tab/>
      </w:r>
      <w:r>
        <w:fldChar w:fldCharType="begin"/>
      </w:r>
      <w:r>
        <w:instrText xml:space="preserve"> PAGEREF _Toc174522854 \h </w:instrText>
      </w:r>
      <w:r>
        <w:fldChar w:fldCharType="separate"/>
      </w:r>
      <w:r>
        <w:t>104</w:t>
      </w:r>
      <w:r>
        <w:fldChar w:fldCharType="end"/>
      </w:r>
      <w:r>
        <w:fldChar w:fldCharType="end"/>
      </w:r>
    </w:p>
    <w:p w14:paraId="2E6FFD2D">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"_Toc174522855" </w:instrText>
      </w:r>
      <w:r>
        <w:fldChar w:fldCharType="separate"/>
      </w:r>
      <w:r>
        <w:rPr>
          <w:rStyle w:val="16"/>
        </w:rPr>
        <w:t>27.</w:t>
      </w:r>
      <w:r>
        <w:rPr>
          <w:rFonts w:asciiTheme="minorHAnsi" w:hAnsiTheme="minorHAnsi" w:eastAsiaTheme="minorEastAsia"/>
          <w:sz w:val="24"/>
          <w:szCs w:val="24"/>
          <w:lang w:val="es-BO" w:eastAsia="es-BO"/>
        </w:rPr>
        <w:tab/>
      </w:r>
      <w:r>
        <w:rPr>
          <w:rStyle w:val="16"/>
        </w:rPr>
        <w:t>Antecipação</w:t>
      </w:r>
      <w:r>
        <w:tab/>
      </w:r>
      <w:r>
        <w:fldChar w:fldCharType="begin"/>
      </w:r>
      <w:r>
        <w:instrText xml:space="preserve"> PAGEREF _Toc174522855 \h </w:instrText>
      </w:r>
      <w:r>
        <w:fldChar w:fldCharType="separate"/>
      </w:r>
      <w:r>
        <w:t>105</w:t>
      </w:r>
      <w:r>
        <w:fldChar w:fldCharType="end"/>
      </w:r>
      <w:r>
        <w:fldChar w:fldCharType="end"/>
      </w:r>
    </w:p>
    <w:p w14:paraId="65FC2758">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"_Toc174522856" </w:instrText>
      </w:r>
      <w:r>
        <w:fldChar w:fldCharType="separate"/>
      </w:r>
      <w:r>
        <w:rPr>
          <w:rStyle w:val="16"/>
        </w:rPr>
        <w:t>28.</w:t>
      </w:r>
      <w:r>
        <w:rPr>
          <w:rFonts w:asciiTheme="minorHAnsi" w:hAnsiTheme="minorHAnsi" w:eastAsiaTheme="minorEastAsia"/>
          <w:sz w:val="24"/>
          <w:szCs w:val="24"/>
          <w:lang w:val="es-BO" w:eastAsia="es-BO"/>
        </w:rPr>
        <w:tab/>
      </w:r>
      <w:r>
        <w:rPr>
          <w:rStyle w:val="16"/>
        </w:rPr>
        <w:t>Atrasos Solicitados pelo Gerente do Contrato</w:t>
      </w:r>
      <w:r>
        <w:tab/>
      </w:r>
      <w:r>
        <w:fldChar w:fldCharType="begin"/>
      </w:r>
      <w:r>
        <w:instrText xml:space="preserve"> PAGEREF _Toc174522856 \h </w:instrText>
      </w:r>
      <w:r>
        <w:fldChar w:fldCharType="separate"/>
      </w:r>
      <w:r>
        <w:t>105</w:t>
      </w:r>
      <w:r>
        <w:fldChar w:fldCharType="end"/>
      </w:r>
      <w:r>
        <w:fldChar w:fldCharType="end"/>
      </w:r>
    </w:p>
    <w:p w14:paraId="2067FC2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"_Toc174522857" </w:instrText>
      </w:r>
      <w:r>
        <w:fldChar w:fldCharType="separate"/>
      </w:r>
      <w:r>
        <w:rPr>
          <w:rStyle w:val="16"/>
        </w:rPr>
        <w:t>29.</w:t>
      </w:r>
      <w:r>
        <w:rPr>
          <w:rFonts w:asciiTheme="minorHAnsi" w:hAnsiTheme="minorHAnsi" w:eastAsiaTheme="minorEastAsia"/>
          <w:sz w:val="24"/>
          <w:szCs w:val="24"/>
          <w:lang w:val="es-BO" w:eastAsia="es-BO"/>
        </w:rPr>
        <w:tab/>
      </w:r>
      <w:r>
        <w:rPr>
          <w:rStyle w:val="16"/>
        </w:rPr>
        <w:t>Reuniões de Gerenciamento</w:t>
      </w:r>
      <w:r>
        <w:tab/>
      </w:r>
      <w:r>
        <w:fldChar w:fldCharType="begin"/>
      </w:r>
      <w:r>
        <w:instrText xml:space="preserve"> PAGEREF _Toc174522857 \h </w:instrText>
      </w:r>
      <w:r>
        <w:fldChar w:fldCharType="separate"/>
      </w:r>
      <w:r>
        <w:t>105</w:t>
      </w:r>
      <w:r>
        <w:fldChar w:fldCharType="end"/>
      </w:r>
      <w:r>
        <w:fldChar w:fldCharType="end"/>
      </w:r>
    </w:p>
    <w:p w14:paraId="57EFDA1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"_Toc174522858" </w:instrText>
      </w:r>
      <w:r>
        <w:fldChar w:fldCharType="separate"/>
      </w:r>
      <w:r>
        <w:rPr>
          <w:rStyle w:val="16"/>
        </w:rPr>
        <w:t>30.</w:t>
      </w:r>
      <w:r>
        <w:rPr>
          <w:rFonts w:asciiTheme="minorHAnsi" w:hAnsiTheme="minorHAnsi" w:eastAsiaTheme="minorEastAsia"/>
          <w:sz w:val="24"/>
          <w:szCs w:val="24"/>
          <w:lang w:val="es-BO" w:eastAsia="es-BO"/>
        </w:rPr>
        <w:tab/>
      </w:r>
      <w:r>
        <w:rPr>
          <w:rStyle w:val="16"/>
        </w:rPr>
        <w:t>Alerta quanto a Circunstâncias Adversas</w:t>
      </w:r>
      <w:r>
        <w:tab/>
      </w:r>
      <w:r>
        <w:fldChar w:fldCharType="begin"/>
      </w:r>
      <w:r>
        <w:instrText xml:space="preserve"> PAGEREF _Toc174522858 \h </w:instrText>
      </w:r>
      <w:r>
        <w:fldChar w:fldCharType="separate"/>
      </w:r>
      <w:r>
        <w:t>105</w:t>
      </w:r>
      <w:r>
        <w:fldChar w:fldCharType="end"/>
      </w:r>
      <w:r>
        <w:fldChar w:fldCharType="end"/>
      </w:r>
    </w:p>
    <w:p w14:paraId="22EB1BF1">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"_Toc174522859" </w:instrText>
      </w:r>
      <w:r>
        <w:fldChar w:fldCharType="separate"/>
      </w:r>
      <w:r>
        <w:rPr>
          <w:rStyle w:val="16"/>
        </w:rPr>
        <w:t>C – CONTROLE DE QUALIDADE</w:t>
      </w:r>
      <w:r>
        <w:tab/>
      </w:r>
      <w:r>
        <w:fldChar w:fldCharType="begin"/>
      </w:r>
      <w:r>
        <w:instrText xml:space="preserve"> PAGEREF _Toc174522859 \h </w:instrText>
      </w:r>
      <w:r>
        <w:fldChar w:fldCharType="separate"/>
      </w:r>
      <w:r>
        <w:t>106</w:t>
      </w:r>
      <w:r>
        <w:fldChar w:fldCharType="end"/>
      </w:r>
      <w:r>
        <w:fldChar w:fldCharType="end"/>
      </w:r>
    </w:p>
    <w:p w14:paraId="7CC2C923">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"_Toc174522860" </w:instrText>
      </w:r>
      <w:r>
        <w:fldChar w:fldCharType="separate"/>
      </w:r>
      <w:r>
        <w:rPr>
          <w:rStyle w:val="16"/>
        </w:rPr>
        <w:t>31.</w:t>
      </w:r>
      <w:r>
        <w:rPr>
          <w:rFonts w:asciiTheme="minorHAnsi" w:hAnsiTheme="minorHAnsi" w:eastAsiaTheme="minorEastAsia"/>
          <w:sz w:val="24"/>
          <w:szCs w:val="24"/>
          <w:lang w:val="es-BO" w:eastAsia="es-BO"/>
        </w:rPr>
        <w:tab/>
      </w:r>
      <w:r>
        <w:rPr>
          <w:rStyle w:val="16"/>
        </w:rPr>
        <w:t>Identificação dos Defeitos</w:t>
      </w:r>
      <w:r>
        <w:tab/>
      </w:r>
      <w:r>
        <w:fldChar w:fldCharType="begin"/>
      </w:r>
      <w:r>
        <w:instrText xml:space="preserve"> PAGEREF _Toc174522860 \h </w:instrText>
      </w:r>
      <w:r>
        <w:fldChar w:fldCharType="separate"/>
      </w:r>
      <w:r>
        <w:t>106</w:t>
      </w:r>
      <w:r>
        <w:fldChar w:fldCharType="end"/>
      </w:r>
      <w:r>
        <w:fldChar w:fldCharType="end"/>
      </w:r>
    </w:p>
    <w:p w14:paraId="6CAB77D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"_Toc174522861" </w:instrText>
      </w:r>
      <w:r>
        <w:fldChar w:fldCharType="separate"/>
      </w:r>
      <w:r>
        <w:rPr>
          <w:rStyle w:val="16"/>
        </w:rPr>
        <w:t>32.</w:t>
      </w:r>
      <w:r>
        <w:rPr>
          <w:rFonts w:asciiTheme="minorHAnsi" w:hAnsiTheme="minorHAnsi" w:eastAsiaTheme="minorEastAsia"/>
          <w:sz w:val="24"/>
          <w:szCs w:val="24"/>
          <w:lang w:val="es-BO" w:eastAsia="es-BO"/>
        </w:rPr>
        <w:tab/>
      </w:r>
      <w:r>
        <w:rPr>
          <w:rStyle w:val="16"/>
        </w:rPr>
        <w:t>Ensaios e Testes</w:t>
      </w:r>
      <w:r>
        <w:tab/>
      </w:r>
      <w:r>
        <w:fldChar w:fldCharType="begin"/>
      </w:r>
      <w:r>
        <w:instrText xml:space="preserve"> PAGEREF _Toc174522861 \h </w:instrText>
      </w:r>
      <w:r>
        <w:fldChar w:fldCharType="separate"/>
      </w:r>
      <w:r>
        <w:t>106</w:t>
      </w:r>
      <w:r>
        <w:fldChar w:fldCharType="end"/>
      </w:r>
      <w:r>
        <w:fldChar w:fldCharType="end"/>
      </w:r>
    </w:p>
    <w:p w14:paraId="6F03AEEE">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"_Toc174522862" </w:instrText>
      </w:r>
      <w:r>
        <w:fldChar w:fldCharType="separate"/>
      </w:r>
      <w:r>
        <w:rPr>
          <w:rStyle w:val="16"/>
        </w:rPr>
        <w:t>33.</w:t>
      </w:r>
      <w:r>
        <w:rPr>
          <w:rFonts w:asciiTheme="minorHAnsi" w:hAnsiTheme="minorHAnsi" w:eastAsiaTheme="minorEastAsia"/>
          <w:sz w:val="24"/>
          <w:szCs w:val="24"/>
          <w:lang w:val="es-BO" w:eastAsia="es-BO"/>
        </w:rPr>
        <w:tab/>
      </w:r>
      <w:r>
        <w:rPr>
          <w:rStyle w:val="16"/>
        </w:rPr>
        <w:t>Correção de Defeitos</w:t>
      </w:r>
      <w:r>
        <w:tab/>
      </w:r>
      <w:r>
        <w:fldChar w:fldCharType="begin"/>
      </w:r>
      <w:r>
        <w:instrText xml:space="preserve"> PAGEREF _Toc174522862 \h </w:instrText>
      </w:r>
      <w:r>
        <w:fldChar w:fldCharType="separate"/>
      </w:r>
      <w:r>
        <w:t>106</w:t>
      </w:r>
      <w:r>
        <w:fldChar w:fldCharType="end"/>
      </w:r>
      <w:r>
        <w:fldChar w:fldCharType="end"/>
      </w:r>
    </w:p>
    <w:p w14:paraId="071C9A60">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"_Toc174522863" </w:instrText>
      </w:r>
      <w:r>
        <w:fldChar w:fldCharType="separate"/>
      </w:r>
      <w:r>
        <w:rPr>
          <w:rStyle w:val="16"/>
        </w:rPr>
        <w:t>34.</w:t>
      </w:r>
      <w:r>
        <w:rPr>
          <w:rFonts w:asciiTheme="minorHAnsi" w:hAnsiTheme="minorHAnsi" w:eastAsiaTheme="minorEastAsia"/>
          <w:sz w:val="24"/>
          <w:szCs w:val="24"/>
          <w:lang w:val="es-BO" w:eastAsia="es-BO"/>
        </w:rPr>
        <w:tab/>
      </w:r>
      <w:r>
        <w:rPr>
          <w:rStyle w:val="16"/>
        </w:rPr>
        <w:t>Avaliação da Execução das Obras</w:t>
      </w:r>
      <w:r>
        <w:tab/>
      </w:r>
      <w:r>
        <w:fldChar w:fldCharType="begin"/>
      </w:r>
      <w:r>
        <w:instrText xml:space="preserve"> PAGEREF _Toc174522863 \h </w:instrText>
      </w:r>
      <w:r>
        <w:fldChar w:fldCharType="separate"/>
      </w:r>
      <w:r>
        <w:t>106</w:t>
      </w:r>
      <w:r>
        <w:fldChar w:fldCharType="end"/>
      </w:r>
      <w:r>
        <w:fldChar w:fldCharType="end"/>
      </w:r>
    </w:p>
    <w:p w14:paraId="263C97BA">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"_Toc174522864" </w:instrText>
      </w:r>
      <w:r>
        <w:fldChar w:fldCharType="separate"/>
      </w:r>
      <w:r>
        <w:rPr>
          <w:rStyle w:val="16"/>
        </w:rPr>
        <w:t>D – CONTROLE DE CUSTOS</w:t>
      </w:r>
      <w:r>
        <w:tab/>
      </w:r>
      <w:r>
        <w:fldChar w:fldCharType="begin"/>
      </w:r>
      <w:r>
        <w:instrText xml:space="preserve"> PAGEREF _Toc174522864 \h </w:instrText>
      </w:r>
      <w:r>
        <w:fldChar w:fldCharType="separate"/>
      </w:r>
      <w:r>
        <w:t>107</w:t>
      </w:r>
      <w:r>
        <w:fldChar w:fldCharType="end"/>
      </w:r>
      <w:r>
        <w:fldChar w:fldCharType="end"/>
      </w:r>
    </w:p>
    <w:p w14:paraId="0B6EC04E">
      <w:pPr>
        <w:pStyle w:val="17"/>
        <w:tabs>
          <w:tab w:val="left" w:pos="960"/>
          <w:tab w:val="right" w:leader="dot" w:pos="9016"/>
        </w:tabs>
      </w:pPr>
      <w:r>
        <w:fldChar w:fldCharType="begin"/>
      </w:r>
      <w:r>
        <w:instrText xml:space="preserve"> HYPERLINK \l "_Toc174522865" </w:instrText>
      </w:r>
      <w:r>
        <w:fldChar w:fldCharType="separate"/>
      </w:r>
      <w:r>
        <w:rPr>
          <w:rStyle w:val="16"/>
        </w:rPr>
        <w:t>35.</w:t>
      </w:r>
      <w:r>
        <w:rPr>
          <w:rFonts w:asciiTheme="minorHAnsi" w:hAnsiTheme="minorHAnsi" w:eastAsiaTheme="minorEastAsia"/>
          <w:sz w:val="24"/>
          <w:szCs w:val="24"/>
          <w:lang w:val="es-BO" w:eastAsia="es-BO"/>
        </w:rPr>
        <w:tab/>
      </w:r>
      <w:r>
        <w:t>Cronograma Físico-Financeiro</w:t>
      </w:r>
      <w:r>
        <w:tab/>
      </w:r>
      <w:r>
        <w:fldChar w:fldCharType="end"/>
      </w:r>
      <w:r>
        <w:t>104</w:t>
      </w:r>
    </w:p>
    <w:p w14:paraId="36EC456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"_Toc174522866" </w:instrText>
      </w:r>
      <w:r>
        <w:fldChar w:fldCharType="separate"/>
      </w:r>
      <w:r>
        <w:rPr>
          <w:rStyle w:val="16"/>
        </w:rPr>
        <w:t>36.</w:t>
      </w:r>
      <w:r>
        <w:rPr>
          <w:rFonts w:asciiTheme="minorHAnsi" w:hAnsiTheme="minorHAnsi" w:eastAsiaTheme="minorEastAsia"/>
          <w:sz w:val="24"/>
          <w:szCs w:val="24"/>
          <w:lang w:val="es-BO" w:eastAsia="es-BO"/>
        </w:rPr>
        <w:tab/>
      </w:r>
      <w:r>
        <w:rPr>
          <w:rStyle w:val="16"/>
        </w:rPr>
        <w:t>Alterações de Quantidades</w:t>
      </w:r>
      <w:r>
        <w:tab/>
      </w:r>
      <w:r>
        <w:fldChar w:fldCharType="begin"/>
      </w:r>
      <w:r>
        <w:instrText xml:space="preserve"> PAGEREF _Toc174522866 \h </w:instrText>
      </w:r>
      <w:r>
        <w:fldChar w:fldCharType="separate"/>
      </w:r>
      <w:r>
        <w:t>107</w:t>
      </w:r>
      <w:r>
        <w:fldChar w:fldCharType="end"/>
      </w:r>
      <w:r>
        <w:fldChar w:fldCharType="end"/>
      </w:r>
    </w:p>
    <w:p w14:paraId="7E9D7EB6">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"_Toc174522867" </w:instrText>
      </w:r>
      <w:r>
        <w:fldChar w:fldCharType="separate"/>
      </w:r>
      <w:r>
        <w:rPr>
          <w:rStyle w:val="16"/>
        </w:rPr>
        <w:t>37.</w:t>
      </w:r>
      <w:r>
        <w:rPr>
          <w:rFonts w:asciiTheme="minorHAnsi" w:hAnsiTheme="minorHAnsi" w:eastAsiaTheme="minorEastAsia"/>
          <w:sz w:val="24"/>
          <w:szCs w:val="24"/>
          <w:lang w:val="es-BO" w:eastAsia="es-BO"/>
        </w:rPr>
        <w:tab/>
      </w:r>
      <w:r>
        <w:rPr>
          <w:rStyle w:val="16"/>
        </w:rPr>
        <w:t>Variações</w:t>
      </w:r>
      <w:r>
        <w:tab/>
      </w:r>
      <w:r>
        <w:fldChar w:fldCharType="begin"/>
      </w:r>
      <w:r>
        <w:instrText xml:space="preserve"> PAGEREF _Toc174522867 \h </w:instrText>
      </w:r>
      <w:r>
        <w:fldChar w:fldCharType="separate"/>
      </w:r>
      <w:r>
        <w:t>107</w:t>
      </w:r>
      <w:r>
        <w:fldChar w:fldCharType="end"/>
      </w:r>
      <w:r>
        <w:fldChar w:fldCharType="end"/>
      </w:r>
    </w:p>
    <w:p w14:paraId="0C6E70A5">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"_Toc174522868" </w:instrText>
      </w:r>
      <w:r>
        <w:fldChar w:fldCharType="separate"/>
      </w:r>
      <w:r>
        <w:rPr>
          <w:rStyle w:val="16"/>
        </w:rPr>
        <w:t>38.</w:t>
      </w:r>
      <w:r>
        <w:rPr>
          <w:rFonts w:asciiTheme="minorHAnsi" w:hAnsiTheme="minorHAnsi" w:eastAsiaTheme="minorEastAsia"/>
          <w:sz w:val="24"/>
          <w:szCs w:val="24"/>
          <w:lang w:val="es-BO" w:eastAsia="es-BO"/>
        </w:rPr>
        <w:tab/>
      </w:r>
      <w:r>
        <w:rPr>
          <w:rStyle w:val="16"/>
        </w:rPr>
        <w:t>Pagamento das Variações</w:t>
      </w:r>
      <w:r>
        <w:tab/>
      </w:r>
      <w:r>
        <w:fldChar w:fldCharType="begin"/>
      </w:r>
      <w:r>
        <w:instrText xml:space="preserve"> PAGEREF _Toc174522868 \h </w:instrText>
      </w:r>
      <w:r>
        <w:fldChar w:fldCharType="separate"/>
      </w:r>
      <w:r>
        <w:t>107</w:t>
      </w:r>
      <w:r>
        <w:fldChar w:fldCharType="end"/>
      </w:r>
      <w:r>
        <w:fldChar w:fldCharType="end"/>
      </w:r>
    </w:p>
    <w:p w14:paraId="4F02676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"_Toc174522869" </w:instrText>
      </w:r>
      <w:r>
        <w:fldChar w:fldCharType="separate"/>
      </w:r>
      <w:r>
        <w:rPr>
          <w:rStyle w:val="16"/>
        </w:rPr>
        <w:t>39.</w:t>
      </w:r>
      <w:r>
        <w:rPr>
          <w:rFonts w:asciiTheme="minorHAnsi" w:hAnsiTheme="minorHAnsi" w:eastAsiaTheme="minorEastAsia"/>
          <w:sz w:val="24"/>
          <w:szCs w:val="24"/>
          <w:lang w:val="es-BO" w:eastAsia="es-BO"/>
        </w:rPr>
        <w:tab/>
      </w:r>
      <w:r>
        <w:rPr>
          <w:rStyle w:val="16"/>
        </w:rPr>
        <w:t>Previsões de Fluxo de Caixa</w:t>
      </w:r>
      <w:r>
        <w:tab/>
      </w:r>
      <w:r>
        <w:fldChar w:fldCharType="begin"/>
      </w:r>
      <w:r>
        <w:instrText xml:space="preserve"> PAGEREF _Toc174522869 \h </w:instrText>
      </w:r>
      <w:r>
        <w:fldChar w:fldCharType="separate"/>
      </w:r>
      <w:r>
        <w:t>108</w:t>
      </w:r>
      <w:r>
        <w:fldChar w:fldCharType="end"/>
      </w:r>
      <w:r>
        <w:fldChar w:fldCharType="end"/>
      </w:r>
    </w:p>
    <w:p w14:paraId="75B2A773">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"_Toc174522870" </w:instrText>
      </w:r>
      <w:r>
        <w:fldChar w:fldCharType="separate"/>
      </w:r>
      <w:r>
        <w:rPr>
          <w:rStyle w:val="16"/>
        </w:rPr>
        <w:t>40.</w:t>
      </w:r>
      <w:r>
        <w:rPr>
          <w:rFonts w:asciiTheme="minorHAnsi" w:hAnsiTheme="minorHAnsi" w:eastAsiaTheme="minorEastAsia"/>
          <w:sz w:val="24"/>
          <w:szCs w:val="24"/>
          <w:lang w:val="es-BO" w:eastAsia="es-BO"/>
        </w:rPr>
        <w:tab/>
      </w:r>
      <w:r>
        <w:rPr>
          <w:rStyle w:val="16"/>
        </w:rPr>
        <w:t>Medições</w:t>
      </w:r>
      <w:r>
        <w:tab/>
      </w:r>
      <w:r>
        <w:fldChar w:fldCharType="begin"/>
      </w:r>
      <w:r>
        <w:instrText xml:space="preserve"> PAGEREF _Toc174522870 \h </w:instrText>
      </w:r>
      <w:r>
        <w:fldChar w:fldCharType="separate"/>
      </w:r>
      <w:r>
        <w:t>108</w:t>
      </w:r>
      <w:r>
        <w:fldChar w:fldCharType="end"/>
      </w:r>
      <w:r>
        <w:fldChar w:fldCharType="end"/>
      </w:r>
    </w:p>
    <w:p w14:paraId="12347F0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"_Toc174522871" </w:instrText>
      </w:r>
      <w:r>
        <w:fldChar w:fldCharType="separate"/>
      </w:r>
      <w:r>
        <w:rPr>
          <w:rStyle w:val="16"/>
        </w:rPr>
        <w:t>41.</w:t>
      </w:r>
      <w:r>
        <w:rPr>
          <w:rFonts w:asciiTheme="minorHAnsi" w:hAnsiTheme="minorHAnsi" w:eastAsiaTheme="minorEastAsia"/>
          <w:sz w:val="24"/>
          <w:szCs w:val="24"/>
          <w:lang w:val="es-BO" w:eastAsia="es-BO"/>
        </w:rPr>
        <w:tab/>
      </w:r>
      <w:r>
        <w:rPr>
          <w:rStyle w:val="16"/>
        </w:rPr>
        <w:t>Pagamentos</w:t>
      </w:r>
      <w:r>
        <w:tab/>
      </w:r>
      <w:r>
        <w:fldChar w:fldCharType="begin"/>
      </w:r>
      <w:r>
        <w:instrText xml:space="preserve"> PAGEREF _Toc174522871 \h </w:instrText>
      </w:r>
      <w:r>
        <w:fldChar w:fldCharType="separate"/>
      </w:r>
      <w:r>
        <w:t>109</w:t>
      </w:r>
      <w:r>
        <w:fldChar w:fldCharType="end"/>
      </w:r>
      <w:r>
        <w:fldChar w:fldCharType="end"/>
      </w:r>
    </w:p>
    <w:p w14:paraId="52768C09">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"_Toc174522872" </w:instrText>
      </w:r>
      <w:r>
        <w:fldChar w:fldCharType="separate"/>
      </w:r>
      <w:r>
        <w:rPr>
          <w:rStyle w:val="16"/>
        </w:rPr>
        <w:t>42.</w:t>
      </w:r>
      <w:r>
        <w:rPr>
          <w:rFonts w:asciiTheme="minorHAnsi" w:hAnsiTheme="minorHAnsi" w:eastAsiaTheme="minorEastAsia"/>
          <w:sz w:val="24"/>
          <w:szCs w:val="24"/>
          <w:lang w:val="es-BO" w:eastAsia="es-BO"/>
        </w:rPr>
        <w:tab/>
      </w:r>
      <w:r>
        <w:rPr>
          <w:rStyle w:val="16"/>
        </w:rPr>
        <w:t>Eventos Passíveis de Compensação</w:t>
      </w:r>
      <w:r>
        <w:tab/>
      </w:r>
      <w:r>
        <w:fldChar w:fldCharType="begin"/>
      </w:r>
      <w:r>
        <w:instrText xml:space="preserve"> PAGEREF _Toc174522872 \h </w:instrText>
      </w:r>
      <w:r>
        <w:fldChar w:fldCharType="separate"/>
      </w:r>
      <w:r>
        <w:t>109</w:t>
      </w:r>
      <w:r>
        <w:fldChar w:fldCharType="end"/>
      </w:r>
      <w:r>
        <w:fldChar w:fldCharType="end"/>
      </w:r>
    </w:p>
    <w:p w14:paraId="6C5153B3">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"_Toc174522873" </w:instrText>
      </w:r>
      <w:r>
        <w:fldChar w:fldCharType="separate"/>
      </w:r>
      <w:r>
        <w:rPr>
          <w:rStyle w:val="16"/>
        </w:rPr>
        <w:t>43.</w:t>
      </w:r>
      <w:r>
        <w:rPr>
          <w:rFonts w:asciiTheme="minorHAnsi" w:hAnsiTheme="minorHAnsi" w:eastAsiaTheme="minorEastAsia"/>
          <w:sz w:val="24"/>
          <w:szCs w:val="24"/>
          <w:lang w:val="es-BO" w:eastAsia="es-BO"/>
        </w:rPr>
        <w:tab/>
      </w:r>
      <w:r>
        <w:rPr>
          <w:rStyle w:val="16"/>
        </w:rPr>
        <w:t>Impostos, Tributos e Taxas</w:t>
      </w:r>
      <w:r>
        <w:tab/>
      </w:r>
      <w:r>
        <w:fldChar w:fldCharType="begin"/>
      </w:r>
      <w:r>
        <w:instrText xml:space="preserve"> PAGEREF _Toc174522873 \h </w:instrText>
      </w:r>
      <w:r>
        <w:fldChar w:fldCharType="separate"/>
      </w:r>
      <w:r>
        <w:t>111</w:t>
      </w:r>
      <w:r>
        <w:fldChar w:fldCharType="end"/>
      </w:r>
      <w:r>
        <w:fldChar w:fldCharType="end"/>
      </w:r>
    </w:p>
    <w:p w14:paraId="4CA9F9A2">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"_Toc174522874" </w:instrText>
      </w:r>
      <w:r>
        <w:fldChar w:fldCharType="separate"/>
      </w:r>
      <w:r>
        <w:rPr>
          <w:rStyle w:val="16"/>
        </w:rPr>
        <w:t>44.</w:t>
      </w:r>
      <w:r>
        <w:rPr>
          <w:rFonts w:asciiTheme="minorHAnsi" w:hAnsiTheme="minorHAnsi" w:eastAsiaTheme="minorEastAsia"/>
          <w:sz w:val="24"/>
          <w:szCs w:val="24"/>
          <w:lang w:val="es-BO" w:eastAsia="es-BO"/>
        </w:rPr>
        <w:tab/>
      </w:r>
      <w:r>
        <w:rPr>
          <w:rStyle w:val="16"/>
        </w:rPr>
        <w:t>Moeda do Pagamento</w:t>
      </w:r>
      <w:r>
        <w:tab/>
      </w:r>
      <w:r>
        <w:fldChar w:fldCharType="begin"/>
      </w:r>
      <w:r>
        <w:instrText xml:space="preserve"> PAGEREF _Toc174522874 \h </w:instrText>
      </w:r>
      <w:r>
        <w:fldChar w:fldCharType="separate"/>
      </w:r>
      <w:r>
        <w:t>111</w:t>
      </w:r>
      <w:r>
        <w:fldChar w:fldCharType="end"/>
      </w:r>
      <w:r>
        <w:fldChar w:fldCharType="end"/>
      </w:r>
    </w:p>
    <w:p w14:paraId="65C9845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"_Toc174522875" </w:instrText>
      </w:r>
      <w:r>
        <w:fldChar w:fldCharType="separate"/>
      </w:r>
      <w:r>
        <w:rPr>
          <w:rStyle w:val="16"/>
        </w:rPr>
        <w:t>45.</w:t>
      </w:r>
      <w:r>
        <w:rPr>
          <w:rFonts w:asciiTheme="minorHAnsi" w:hAnsiTheme="minorHAnsi" w:eastAsiaTheme="minorEastAsia"/>
          <w:sz w:val="24"/>
          <w:szCs w:val="24"/>
          <w:lang w:val="es-BO" w:eastAsia="es-BO"/>
        </w:rPr>
        <w:tab/>
      </w:r>
      <w:r>
        <w:rPr>
          <w:rStyle w:val="16"/>
        </w:rPr>
        <w:t>Reajuste de Preços</w:t>
      </w:r>
      <w:r>
        <w:tab/>
      </w:r>
      <w:r>
        <w:fldChar w:fldCharType="begin"/>
      </w:r>
      <w:r>
        <w:instrText xml:space="preserve"> PAGEREF _Toc174522875 \h </w:instrText>
      </w:r>
      <w:r>
        <w:fldChar w:fldCharType="separate"/>
      </w:r>
      <w:r>
        <w:t>111</w:t>
      </w:r>
      <w:r>
        <w:fldChar w:fldCharType="end"/>
      </w:r>
      <w:r>
        <w:fldChar w:fldCharType="end"/>
      </w:r>
    </w:p>
    <w:p w14:paraId="08909F69">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"_Toc174522876" </w:instrText>
      </w:r>
      <w:r>
        <w:fldChar w:fldCharType="separate"/>
      </w:r>
      <w:r>
        <w:rPr>
          <w:rStyle w:val="16"/>
        </w:rPr>
        <w:t>46.</w:t>
      </w:r>
      <w:r>
        <w:rPr>
          <w:rFonts w:asciiTheme="minorHAnsi" w:hAnsiTheme="minorHAnsi" w:eastAsiaTheme="minorEastAsia"/>
          <w:sz w:val="24"/>
          <w:szCs w:val="24"/>
          <w:lang w:val="es-BO" w:eastAsia="es-BO"/>
        </w:rPr>
        <w:tab/>
      </w:r>
      <w:r>
        <w:rPr>
          <w:rStyle w:val="16"/>
        </w:rPr>
        <w:t>Retenções</w:t>
      </w:r>
      <w:r>
        <w:tab/>
      </w:r>
      <w:r>
        <w:fldChar w:fldCharType="begin"/>
      </w:r>
      <w:r>
        <w:instrText xml:space="preserve"> PAGEREF _Toc174522876 \h </w:instrText>
      </w:r>
      <w:r>
        <w:fldChar w:fldCharType="separate"/>
      </w:r>
      <w:r>
        <w:t>112</w:t>
      </w:r>
      <w:r>
        <w:fldChar w:fldCharType="end"/>
      </w:r>
      <w:r>
        <w:fldChar w:fldCharType="end"/>
      </w:r>
    </w:p>
    <w:p w14:paraId="4696629E">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"_Toc174522877" </w:instrText>
      </w:r>
      <w:r>
        <w:fldChar w:fldCharType="separate"/>
      </w:r>
      <w:r>
        <w:rPr>
          <w:rStyle w:val="16"/>
        </w:rPr>
        <w:t>47.</w:t>
      </w:r>
      <w:r>
        <w:rPr>
          <w:rFonts w:asciiTheme="minorHAnsi" w:hAnsiTheme="minorHAnsi" w:eastAsiaTheme="minorEastAsia"/>
          <w:sz w:val="24"/>
          <w:szCs w:val="24"/>
          <w:lang w:val="es-BO" w:eastAsia="es-BO"/>
        </w:rPr>
        <w:tab/>
      </w:r>
      <w:r>
        <w:rPr>
          <w:rStyle w:val="16"/>
        </w:rPr>
        <w:t>Sanções Administrativas</w:t>
      </w:r>
      <w:r>
        <w:tab/>
      </w:r>
      <w:r>
        <w:fldChar w:fldCharType="begin"/>
      </w:r>
      <w:r>
        <w:instrText xml:space="preserve"> PAGEREF _Toc174522877 \h </w:instrText>
      </w:r>
      <w:r>
        <w:fldChar w:fldCharType="separate"/>
      </w:r>
      <w:r>
        <w:t>112</w:t>
      </w:r>
      <w:r>
        <w:fldChar w:fldCharType="end"/>
      </w:r>
      <w:r>
        <w:fldChar w:fldCharType="end"/>
      </w:r>
    </w:p>
    <w:p w14:paraId="10216D48">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"_Toc174522878" </w:instrText>
      </w:r>
      <w:r>
        <w:fldChar w:fldCharType="separate"/>
      </w:r>
      <w:r>
        <w:rPr>
          <w:rStyle w:val="16"/>
        </w:rPr>
        <w:t>48.</w:t>
      </w:r>
      <w:r>
        <w:rPr>
          <w:rFonts w:asciiTheme="minorHAnsi" w:hAnsiTheme="minorHAnsi" w:eastAsiaTheme="minorEastAsia"/>
          <w:sz w:val="24"/>
          <w:szCs w:val="24"/>
          <w:lang w:val="es-BO" w:eastAsia="es-BO"/>
        </w:rPr>
        <w:tab/>
      </w:r>
      <w:r>
        <w:rPr>
          <w:rStyle w:val="16"/>
        </w:rPr>
        <w:t>Antecipação da Conclusão</w:t>
      </w:r>
      <w:r>
        <w:tab/>
      </w:r>
      <w:r>
        <w:fldChar w:fldCharType="begin"/>
      </w:r>
      <w:r>
        <w:instrText xml:space="preserve"> PAGEREF _Toc174522878 \h </w:instrText>
      </w:r>
      <w:r>
        <w:fldChar w:fldCharType="separate"/>
      </w:r>
      <w:r>
        <w:t>113</w:t>
      </w:r>
      <w:r>
        <w:fldChar w:fldCharType="end"/>
      </w:r>
      <w:r>
        <w:fldChar w:fldCharType="end"/>
      </w:r>
    </w:p>
    <w:p w14:paraId="57BFE3FB">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"_Toc174522879" </w:instrText>
      </w:r>
      <w:r>
        <w:fldChar w:fldCharType="separate"/>
      </w:r>
      <w:r>
        <w:rPr>
          <w:rStyle w:val="16"/>
        </w:rPr>
        <w:t>49.</w:t>
      </w:r>
      <w:r>
        <w:rPr>
          <w:rFonts w:asciiTheme="minorHAnsi" w:hAnsiTheme="minorHAnsi" w:eastAsiaTheme="minorEastAsia"/>
          <w:sz w:val="24"/>
          <w:szCs w:val="24"/>
          <w:lang w:val="es-BO" w:eastAsia="es-BO"/>
        </w:rPr>
        <w:tab/>
      </w:r>
      <w:r>
        <w:rPr>
          <w:rStyle w:val="16"/>
        </w:rPr>
        <w:t>Adiantamento</w:t>
      </w:r>
      <w:r>
        <w:tab/>
      </w:r>
      <w:r>
        <w:fldChar w:fldCharType="begin"/>
      </w:r>
      <w:r>
        <w:instrText xml:space="preserve"> PAGEREF _Toc174522879 \h </w:instrText>
      </w:r>
      <w:r>
        <w:fldChar w:fldCharType="separate"/>
      </w:r>
      <w:r>
        <w:t>113</w:t>
      </w:r>
      <w:r>
        <w:fldChar w:fldCharType="end"/>
      </w:r>
      <w:r>
        <w:fldChar w:fldCharType="end"/>
      </w:r>
    </w:p>
    <w:p w14:paraId="38415135">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"_Toc174522880" </w:instrText>
      </w:r>
      <w:r>
        <w:fldChar w:fldCharType="separate"/>
      </w:r>
      <w:r>
        <w:rPr>
          <w:rStyle w:val="16"/>
        </w:rPr>
        <w:t>50.</w:t>
      </w:r>
      <w:r>
        <w:rPr>
          <w:rFonts w:asciiTheme="minorHAnsi" w:hAnsiTheme="minorHAnsi" w:eastAsiaTheme="minorEastAsia"/>
          <w:sz w:val="24"/>
          <w:szCs w:val="24"/>
          <w:lang w:val="es-BO" w:eastAsia="es-BO"/>
        </w:rPr>
        <w:tab/>
      </w:r>
      <w:r>
        <w:rPr>
          <w:rStyle w:val="16"/>
        </w:rPr>
        <w:t>Garantia de Execução do Contrato</w:t>
      </w:r>
      <w:r>
        <w:tab/>
      </w:r>
      <w:r>
        <w:fldChar w:fldCharType="begin"/>
      </w:r>
      <w:r>
        <w:instrText xml:space="preserve"> PAGEREF _Toc174522880 \h </w:instrText>
      </w:r>
      <w:r>
        <w:fldChar w:fldCharType="separate"/>
      </w:r>
      <w:r>
        <w:t>113</w:t>
      </w:r>
      <w:r>
        <w:fldChar w:fldCharType="end"/>
      </w:r>
      <w:r>
        <w:fldChar w:fldCharType="end"/>
      </w:r>
    </w:p>
    <w:p w14:paraId="4D965FD1">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"_Toc174522881" </w:instrText>
      </w:r>
      <w:r>
        <w:fldChar w:fldCharType="separate"/>
      </w:r>
      <w:r>
        <w:rPr>
          <w:rStyle w:val="16"/>
        </w:rPr>
        <w:t>51.</w:t>
      </w:r>
      <w:r>
        <w:rPr>
          <w:rFonts w:asciiTheme="minorHAnsi" w:hAnsiTheme="minorHAnsi" w:eastAsiaTheme="minorEastAsia"/>
          <w:sz w:val="24"/>
          <w:szCs w:val="24"/>
          <w:lang w:val="es-BO" w:eastAsia="es-BO"/>
        </w:rPr>
        <w:tab/>
      </w:r>
      <w:r>
        <w:rPr>
          <w:rStyle w:val="16"/>
        </w:rPr>
        <w:t>Serviços Adicionais</w:t>
      </w:r>
      <w:r>
        <w:tab/>
      </w:r>
      <w:r>
        <w:fldChar w:fldCharType="begin"/>
      </w:r>
      <w:r>
        <w:instrText xml:space="preserve"> PAGEREF _Toc174522881 \h </w:instrText>
      </w:r>
      <w:r>
        <w:fldChar w:fldCharType="separate"/>
      </w:r>
      <w:r>
        <w:t>113</w:t>
      </w:r>
      <w:r>
        <w:fldChar w:fldCharType="end"/>
      </w:r>
      <w:r>
        <w:fldChar w:fldCharType="end"/>
      </w:r>
    </w:p>
    <w:p w14:paraId="14D1F7DD">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"_Toc174522882" </w:instrText>
      </w:r>
      <w:r>
        <w:fldChar w:fldCharType="separate"/>
      </w:r>
      <w:r>
        <w:rPr>
          <w:rStyle w:val="16"/>
        </w:rPr>
        <w:t>52.</w:t>
      </w:r>
      <w:r>
        <w:rPr>
          <w:rFonts w:asciiTheme="minorHAnsi" w:hAnsiTheme="minorHAnsi" w:eastAsiaTheme="minorEastAsia"/>
          <w:sz w:val="24"/>
          <w:szCs w:val="24"/>
          <w:lang w:val="es-BO" w:eastAsia="es-BO"/>
        </w:rPr>
        <w:tab/>
      </w:r>
      <w:r>
        <w:rPr>
          <w:rStyle w:val="16"/>
        </w:rPr>
        <w:t>Reparação de Danos</w:t>
      </w:r>
      <w:r>
        <w:tab/>
      </w:r>
      <w:r>
        <w:fldChar w:fldCharType="begin"/>
      </w:r>
      <w:r>
        <w:instrText xml:space="preserve"> PAGEREF _Toc174522882 \h </w:instrText>
      </w:r>
      <w:r>
        <w:fldChar w:fldCharType="separate"/>
      </w:r>
      <w:r>
        <w:t>114</w:t>
      </w:r>
      <w:r>
        <w:fldChar w:fldCharType="end"/>
      </w:r>
      <w:r>
        <w:fldChar w:fldCharType="end"/>
      </w:r>
    </w:p>
    <w:p w14:paraId="5EB4BB14">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"_Toc174522883" </w:instrText>
      </w:r>
      <w:r>
        <w:fldChar w:fldCharType="separate"/>
      </w:r>
      <w:r>
        <w:rPr>
          <w:rStyle w:val="16"/>
        </w:rPr>
        <w:t>E – ENCERRAMENTO DO CONTRATO</w:t>
      </w:r>
      <w:r>
        <w:tab/>
      </w:r>
      <w:r>
        <w:fldChar w:fldCharType="begin"/>
      </w:r>
      <w:r>
        <w:instrText xml:space="preserve"> PAGEREF _Toc174522883 \h </w:instrText>
      </w:r>
      <w:r>
        <w:fldChar w:fldCharType="separate"/>
      </w:r>
      <w:r>
        <w:t>114</w:t>
      </w:r>
      <w:r>
        <w:fldChar w:fldCharType="end"/>
      </w:r>
      <w:r>
        <w:fldChar w:fldCharType="end"/>
      </w:r>
    </w:p>
    <w:p w14:paraId="6B33CF6D">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"_Toc174522884" </w:instrText>
      </w:r>
      <w:r>
        <w:fldChar w:fldCharType="separate"/>
      </w:r>
      <w:r>
        <w:rPr>
          <w:rStyle w:val="16"/>
        </w:rPr>
        <w:t>53.</w:t>
      </w:r>
      <w:r>
        <w:rPr>
          <w:rFonts w:asciiTheme="minorHAnsi" w:hAnsiTheme="minorHAnsi" w:eastAsiaTheme="minorEastAsia"/>
          <w:sz w:val="24"/>
          <w:szCs w:val="24"/>
          <w:lang w:val="es-BO" w:eastAsia="es-BO"/>
        </w:rPr>
        <w:tab/>
      </w:r>
      <w:r>
        <w:rPr>
          <w:rStyle w:val="16"/>
        </w:rPr>
        <w:t>Término</w:t>
      </w:r>
      <w:r>
        <w:tab/>
      </w:r>
      <w:r>
        <w:fldChar w:fldCharType="begin"/>
      </w:r>
      <w:r>
        <w:instrText xml:space="preserve"> PAGEREF _Toc174522884 \h </w:instrText>
      </w:r>
      <w:r>
        <w:fldChar w:fldCharType="separate"/>
      </w:r>
      <w:r>
        <w:t>114</w:t>
      </w:r>
      <w:r>
        <w:fldChar w:fldCharType="end"/>
      </w:r>
      <w:r>
        <w:fldChar w:fldCharType="end"/>
      </w:r>
    </w:p>
    <w:p w14:paraId="68F280EE">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"_Toc174522885" </w:instrText>
      </w:r>
      <w:r>
        <w:fldChar w:fldCharType="separate"/>
      </w:r>
      <w:r>
        <w:rPr>
          <w:rStyle w:val="16"/>
        </w:rPr>
        <w:t>54.</w:t>
      </w:r>
      <w:r>
        <w:rPr>
          <w:rFonts w:asciiTheme="minorHAnsi" w:hAnsiTheme="minorHAnsi" w:eastAsiaTheme="minorEastAsia"/>
          <w:sz w:val="24"/>
          <w:szCs w:val="24"/>
          <w:lang w:val="es-BO" w:eastAsia="es-BO"/>
        </w:rPr>
        <w:tab/>
      </w:r>
      <w:r>
        <w:rPr>
          <w:rStyle w:val="16"/>
        </w:rPr>
        <w:t>Posse pelo Contratante</w:t>
      </w:r>
      <w:r>
        <w:tab/>
      </w:r>
      <w:r>
        <w:fldChar w:fldCharType="begin"/>
      </w:r>
      <w:r>
        <w:instrText xml:space="preserve"> PAGEREF _Toc174522885 \h </w:instrText>
      </w:r>
      <w:r>
        <w:fldChar w:fldCharType="separate"/>
      </w:r>
      <w:r>
        <w:t>114</w:t>
      </w:r>
      <w:r>
        <w:fldChar w:fldCharType="end"/>
      </w:r>
      <w:r>
        <w:fldChar w:fldCharType="end"/>
      </w:r>
    </w:p>
    <w:p w14:paraId="29D798B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"_Toc174522886" </w:instrText>
      </w:r>
      <w:r>
        <w:fldChar w:fldCharType="separate"/>
      </w:r>
      <w:r>
        <w:rPr>
          <w:rStyle w:val="16"/>
        </w:rPr>
        <w:t>55.</w:t>
      </w:r>
      <w:r>
        <w:rPr>
          <w:rFonts w:asciiTheme="minorHAnsi" w:hAnsiTheme="minorHAnsi" w:eastAsiaTheme="minorEastAsia"/>
          <w:sz w:val="24"/>
          <w:szCs w:val="24"/>
          <w:lang w:val="es-BO" w:eastAsia="es-BO"/>
        </w:rPr>
        <w:tab/>
      </w:r>
      <w:r>
        <w:rPr>
          <w:rStyle w:val="16"/>
        </w:rPr>
        <w:t>Contabilização Final</w:t>
      </w:r>
      <w:r>
        <w:tab/>
      </w:r>
      <w:r>
        <w:fldChar w:fldCharType="begin"/>
      </w:r>
      <w:r>
        <w:instrText xml:space="preserve"> PAGEREF _Toc174522886 \h </w:instrText>
      </w:r>
      <w:r>
        <w:fldChar w:fldCharType="separate"/>
      </w:r>
      <w:r>
        <w:t>114</w:t>
      </w:r>
      <w:r>
        <w:fldChar w:fldCharType="end"/>
      </w:r>
      <w:r>
        <w:fldChar w:fldCharType="end"/>
      </w:r>
    </w:p>
    <w:p w14:paraId="05FE7E80">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"_Toc174522887" </w:instrText>
      </w:r>
      <w:r>
        <w:fldChar w:fldCharType="separate"/>
      </w:r>
      <w:r>
        <w:rPr>
          <w:rStyle w:val="16"/>
        </w:rPr>
        <w:t>56.</w:t>
      </w:r>
      <w:r>
        <w:rPr>
          <w:rFonts w:asciiTheme="minorHAnsi" w:hAnsiTheme="minorHAnsi" w:eastAsiaTheme="minorEastAsia"/>
          <w:sz w:val="24"/>
          <w:szCs w:val="24"/>
          <w:lang w:val="es-BO" w:eastAsia="es-BO"/>
        </w:rPr>
        <w:tab/>
      </w:r>
      <w:r>
        <w:rPr>
          <w:rStyle w:val="16"/>
        </w:rPr>
        <w:t>Manuais de Operação e Manutenção e Desenhos de Como Construído (As Built)</w:t>
      </w:r>
      <w:r>
        <w:tab/>
      </w:r>
      <w:r>
        <w:fldChar w:fldCharType="begin"/>
      </w:r>
      <w:r>
        <w:instrText xml:space="preserve"> PAGEREF _Toc174522887 \h </w:instrText>
      </w:r>
      <w:r>
        <w:fldChar w:fldCharType="separate"/>
      </w:r>
      <w:r>
        <w:t>115</w:t>
      </w:r>
      <w:r>
        <w:fldChar w:fldCharType="end"/>
      </w:r>
      <w:r>
        <w:fldChar w:fldCharType="end"/>
      </w:r>
    </w:p>
    <w:p w14:paraId="6F9A8664">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"_Toc174522888" </w:instrText>
      </w:r>
      <w:r>
        <w:fldChar w:fldCharType="separate"/>
      </w:r>
      <w:r>
        <w:rPr>
          <w:rStyle w:val="16"/>
        </w:rPr>
        <w:t>57.</w:t>
      </w:r>
      <w:r>
        <w:rPr>
          <w:rFonts w:asciiTheme="minorHAnsi" w:hAnsiTheme="minorHAnsi" w:eastAsiaTheme="minorEastAsia"/>
          <w:sz w:val="24"/>
          <w:szCs w:val="24"/>
          <w:lang w:val="es-BO" w:eastAsia="es-BO"/>
        </w:rPr>
        <w:tab/>
      </w:r>
      <w:r>
        <w:rPr>
          <w:rStyle w:val="16"/>
        </w:rPr>
        <w:t>Rescisão</w:t>
      </w:r>
      <w:r>
        <w:tab/>
      </w:r>
      <w:r>
        <w:fldChar w:fldCharType="begin"/>
      </w:r>
      <w:r>
        <w:instrText xml:space="preserve"> PAGEREF _Toc174522888 \h </w:instrText>
      </w:r>
      <w:r>
        <w:fldChar w:fldCharType="separate"/>
      </w:r>
      <w:r>
        <w:t>115</w:t>
      </w:r>
      <w:r>
        <w:fldChar w:fldCharType="end"/>
      </w:r>
      <w:r>
        <w:fldChar w:fldCharType="end"/>
      </w:r>
    </w:p>
    <w:p w14:paraId="61EAE775">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"_Toc174522889" </w:instrText>
      </w:r>
      <w:r>
        <w:fldChar w:fldCharType="separate"/>
      </w:r>
      <w:r>
        <w:rPr>
          <w:rStyle w:val="16"/>
        </w:rPr>
        <w:t>58.</w:t>
      </w:r>
      <w:r>
        <w:rPr>
          <w:rFonts w:asciiTheme="minorHAnsi" w:hAnsiTheme="minorHAnsi" w:eastAsiaTheme="minorEastAsia"/>
          <w:sz w:val="24"/>
          <w:szCs w:val="24"/>
          <w:lang w:val="es-BO" w:eastAsia="es-BO"/>
        </w:rPr>
        <w:tab/>
      </w:r>
      <w:r>
        <w:rPr>
          <w:rStyle w:val="16"/>
        </w:rPr>
        <w:t>Pagamento quando da Rescisão Contratual</w:t>
      </w:r>
      <w:r>
        <w:tab/>
      </w:r>
      <w:r>
        <w:fldChar w:fldCharType="begin"/>
      </w:r>
      <w:r>
        <w:instrText xml:space="preserve"> PAGEREF _Toc174522889 \h </w:instrText>
      </w:r>
      <w:r>
        <w:fldChar w:fldCharType="separate"/>
      </w:r>
      <w:r>
        <w:t>117</w:t>
      </w:r>
      <w:r>
        <w:fldChar w:fldCharType="end"/>
      </w:r>
      <w:r>
        <w:fldChar w:fldCharType="end"/>
      </w:r>
    </w:p>
    <w:p w14:paraId="3EE7BA5D">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"_Toc174522890" </w:instrText>
      </w:r>
      <w:r>
        <w:fldChar w:fldCharType="separate"/>
      </w:r>
      <w:r>
        <w:rPr>
          <w:rStyle w:val="16"/>
        </w:rPr>
        <w:t>59.</w:t>
      </w:r>
      <w:r>
        <w:rPr>
          <w:rFonts w:asciiTheme="minorHAnsi" w:hAnsiTheme="minorHAnsi" w:eastAsiaTheme="minorEastAsia"/>
          <w:sz w:val="24"/>
          <w:szCs w:val="24"/>
          <w:lang w:val="es-BO" w:eastAsia="es-BO"/>
        </w:rPr>
        <w:tab/>
      </w:r>
      <w:r>
        <w:rPr>
          <w:rStyle w:val="16"/>
        </w:rPr>
        <w:t>Propriedade</w:t>
      </w:r>
      <w:r>
        <w:tab/>
      </w:r>
      <w:r>
        <w:fldChar w:fldCharType="begin"/>
      </w:r>
      <w:r>
        <w:instrText xml:space="preserve"> PAGEREF _Toc174522890 \h </w:instrText>
      </w:r>
      <w:r>
        <w:fldChar w:fldCharType="separate"/>
      </w:r>
      <w:r>
        <w:t>117</w:t>
      </w:r>
      <w:r>
        <w:fldChar w:fldCharType="end"/>
      </w:r>
      <w:r>
        <w:fldChar w:fldCharType="end"/>
      </w:r>
    </w:p>
    <w:p w14:paraId="5EEB7534">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"_Toc174522891" </w:instrText>
      </w:r>
      <w:r>
        <w:fldChar w:fldCharType="separate"/>
      </w:r>
      <w:r>
        <w:rPr>
          <w:rStyle w:val="16"/>
        </w:rPr>
        <w:t>60.</w:t>
      </w:r>
      <w:r>
        <w:rPr>
          <w:rFonts w:asciiTheme="minorHAnsi" w:hAnsiTheme="minorHAnsi" w:eastAsiaTheme="minorEastAsia"/>
          <w:sz w:val="24"/>
          <w:szCs w:val="24"/>
          <w:lang w:val="es-BO" w:eastAsia="es-BO"/>
        </w:rPr>
        <w:tab/>
      </w:r>
      <w:r>
        <w:rPr>
          <w:rStyle w:val="16"/>
        </w:rPr>
        <w:t>Interrupção da Execução</w:t>
      </w:r>
      <w:r>
        <w:tab/>
      </w:r>
      <w:r>
        <w:fldChar w:fldCharType="begin"/>
      </w:r>
      <w:r>
        <w:instrText xml:space="preserve"> PAGEREF _Toc174522891 \h </w:instrText>
      </w:r>
      <w:r>
        <w:fldChar w:fldCharType="separate"/>
      </w:r>
      <w:r>
        <w:t>117</w:t>
      </w:r>
      <w:r>
        <w:fldChar w:fldCharType="end"/>
      </w:r>
      <w:r>
        <w:fldChar w:fldCharType="end"/>
      </w:r>
    </w:p>
    <w:p w14:paraId="2ABF8D04">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"_Toc174522892" </w:instrText>
      </w:r>
      <w:r>
        <w:fldChar w:fldCharType="separate"/>
      </w:r>
      <w:r>
        <w:rPr>
          <w:rStyle w:val="16"/>
        </w:rPr>
        <w:t>61.</w:t>
      </w:r>
      <w:r>
        <w:rPr>
          <w:rFonts w:asciiTheme="minorHAnsi" w:hAnsiTheme="minorHAnsi" w:eastAsiaTheme="minorEastAsia"/>
          <w:sz w:val="24"/>
          <w:szCs w:val="24"/>
          <w:lang w:val="es-BO" w:eastAsia="es-BO"/>
        </w:rPr>
        <w:tab/>
      </w:r>
      <w:r>
        <w:rPr>
          <w:rStyle w:val="16"/>
        </w:rPr>
        <w:t>Suspensão do Empréstimo do FONPLATA</w:t>
      </w:r>
      <w:r>
        <w:tab/>
      </w:r>
      <w:r>
        <w:fldChar w:fldCharType="begin"/>
      </w:r>
      <w:r>
        <w:instrText xml:space="preserve"> PAGEREF _Toc174522892 \h </w:instrText>
      </w:r>
      <w:r>
        <w:fldChar w:fldCharType="separate"/>
      </w:r>
      <w:r>
        <w:t>117</w:t>
      </w:r>
      <w:r>
        <w:fldChar w:fldCharType="end"/>
      </w:r>
      <w:r>
        <w:fldChar w:fldCharType="end"/>
      </w:r>
    </w:p>
    <w:p w14:paraId="72BC3048">
      <w:pPr>
        <w:pStyle w:val="34"/>
        <w:tabs>
          <w:tab w:val="right" w:leader="dot" w:pos="9016"/>
        </w:tabs>
        <w:rPr>
          <w:rFonts w:asciiTheme="minorHAnsi" w:hAnsiTheme="minorHAnsi" w:eastAsiaTheme="minorEastAsia"/>
          <w:sz w:val="24"/>
          <w:szCs w:val="24"/>
          <w:lang w:val="es-BO" w:eastAsia="es-BO"/>
        </w:rPr>
      </w:pPr>
      <w:r>
        <w:fldChar w:fldCharType="begin"/>
      </w:r>
      <w:r>
        <w:instrText xml:space="preserve"> HYPERLINK \l "_Toc174522893" </w:instrText>
      </w:r>
      <w:r>
        <w:fldChar w:fldCharType="separate"/>
      </w:r>
      <w:r>
        <w:rPr>
          <w:rStyle w:val="16"/>
        </w:rPr>
        <w:t>F–PRÁTICAS PROIBIDAS</w:t>
      </w:r>
      <w:r>
        <w:tab/>
      </w:r>
      <w:r>
        <w:fldChar w:fldCharType="begin"/>
      </w:r>
      <w:r>
        <w:instrText xml:space="preserve"> PAGEREF _Toc174522893 \h </w:instrText>
      </w:r>
      <w:r>
        <w:fldChar w:fldCharType="separate"/>
      </w:r>
      <w:r>
        <w:t>118</w:t>
      </w:r>
      <w:r>
        <w:fldChar w:fldCharType="end"/>
      </w:r>
      <w:r>
        <w:fldChar w:fldCharType="end"/>
      </w:r>
    </w:p>
    <w:p w14:paraId="0F8D3897">
      <w:pPr>
        <w:pStyle w:val="17"/>
        <w:tabs>
          <w:tab w:val="left" w:pos="960"/>
          <w:tab w:val="right" w:leader="dot" w:pos="9016"/>
        </w:tabs>
        <w:rPr>
          <w:rFonts w:asciiTheme="minorHAnsi" w:hAnsiTheme="minorHAnsi" w:eastAsiaTheme="minorEastAsia"/>
          <w:sz w:val="24"/>
          <w:szCs w:val="24"/>
          <w:lang w:val="es-BO" w:eastAsia="es-BO"/>
        </w:rPr>
      </w:pPr>
      <w:r>
        <w:fldChar w:fldCharType="begin"/>
      </w:r>
      <w:r>
        <w:instrText xml:space="preserve"> HYPERLINK \l "_Toc174522894" </w:instrText>
      </w:r>
      <w:r>
        <w:fldChar w:fldCharType="separate"/>
      </w:r>
      <w:r>
        <w:rPr>
          <w:rStyle w:val="16"/>
        </w:rPr>
        <w:t>62.</w:t>
      </w:r>
      <w:r>
        <w:rPr>
          <w:rFonts w:asciiTheme="minorHAnsi" w:hAnsiTheme="minorHAnsi" w:eastAsiaTheme="minorEastAsia"/>
          <w:sz w:val="24"/>
          <w:szCs w:val="24"/>
          <w:lang w:val="es-BO" w:eastAsia="es-BO"/>
        </w:rPr>
        <w:tab/>
      </w:r>
      <w:r>
        <w:rPr>
          <w:rStyle w:val="16"/>
        </w:rPr>
        <w:t>Práticas Proibidas</w:t>
      </w:r>
      <w:r>
        <w:tab/>
      </w:r>
      <w:r>
        <w:fldChar w:fldCharType="begin"/>
      </w:r>
      <w:r>
        <w:instrText xml:space="preserve"> PAGEREF _Toc174522894 \h </w:instrText>
      </w:r>
      <w:r>
        <w:fldChar w:fldCharType="separate"/>
      </w:r>
      <w:r>
        <w:t>118</w:t>
      </w:r>
      <w:r>
        <w:fldChar w:fldCharType="end"/>
      </w:r>
      <w:r>
        <w:fldChar w:fldCharType="end"/>
      </w:r>
    </w:p>
    <w:p w14:paraId="62DC5CEF">
      <w:pPr>
        <w:jc w:val="center"/>
        <w:rPr>
          <w:b/>
          <w:bCs/>
          <w:iCs/>
        </w:rPr>
      </w:pPr>
      <w:r>
        <w:rPr>
          <w:b/>
          <w:bCs/>
          <w:iCs/>
        </w:rPr>
        <w:fldChar w:fldCharType="end"/>
      </w:r>
    </w:p>
    <w:p w14:paraId="3BA96768">
      <w:pPr>
        <w:jc w:val="both"/>
        <w:rPr>
          <w:bCs/>
          <w:iCs/>
          <w:sz w:val="20"/>
          <w:szCs w:val="20"/>
        </w:rPr>
      </w:pPr>
      <w:r>
        <w:rPr>
          <w:bCs/>
          <w:iCs/>
          <w:sz w:val="20"/>
          <w:szCs w:val="20"/>
        </w:rPr>
        <w:br w:type="page"/>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753"/>
      </w:tblGrid>
      <w:tr w14:paraId="0183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7B8104B8">
            <w:pPr>
              <w:pStyle w:val="81"/>
            </w:pPr>
            <w:r>
              <w:rPr>
                <w:bCs/>
                <w:iCs w:val="0"/>
                <w:sz w:val="20"/>
                <w:szCs w:val="20"/>
              </w:rPr>
              <w:br w:type="page"/>
            </w:r>
            <w:bookmarkStart w:id="373" w:name="_Toc153209009"/>
            <w:bookmarkStart w:id="374" w:name="_Toc138437064"/>
            <w:bookmarkStart w:id="375" w:name="_Toc174522828"/>
            <w:bookmarkStart w:id="376" w:name="_Toc400964554"/>
            <w:bookmarkStart w:id="377" w:name="_Toc99021492"/>
            <w:bookmarkStart w:id="378" w:name="_Toc168130218"/>
            <w:bookmarkStart w:id="379" w:name="_Toc138424493"/>
            <w:bookmarkStart w:id="380" w:name="_Toc99023995"/>
            <w:bookmarkStart w:id="381" w:name="_Toc69970980"/>
            <w:bookmarkStart w:id="382" w:name="_Toc174536845"/>
            <w:bookmarkStart w:id="383" w:name="_Toc139302153"/>
            <w:bookmarkStart w:id="384" w:name="_Toc405799719"/>
            <w:r>
              <w:t>A – GERAL</w:t>
            </w:r>
            <w:bookmarkEnd w:id="373"/>
            <w:bookmarkEnd w:id="374"/>
            <w:bookmarkEnd w:id="375"/>
          </w:p>
        </w:tc>
      </w:tr>
      <w:tr w14:paraId="2E66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01B77A2">
            <w:pPr>
              <w:pStyle w:val="83"/>
            </w:pPr>
            <w:bookmarkStart w:id="385" w:name="_Toc153209010"/>
            <w:bookmarkStart w:id="386" w:name="_Toc174522829"/>
            <w:bookmarkStart w:id="387" w:name="_Toc138437065"/>
            <w:r>
              <w:t>1.</w:t>
            </w:r>
            <w:r>
              <w:tab/>
            </w:r>
            <w:r>
              <w:t>Definições</w:t>
            </w:r>
            <w:bookmarkEnd w:id="385"/>
            <w:bookmarkEnd w:id="386"/>
            <w:bookmarkEnd w:id="387"/>
          </w:p>
        </w:tc>
        <w:tc>
          <w:tcPr>
            <w:tcW w:w="6753" w:type="dxa"/>
          </w:tcPr>
          <w:p w14:paraId="0B08C059">
            <w:pPr>
              <w:spacing w:before="120" w:after="120" w:line="240" w:lineRule="auto"/>
              <w:ind w:left="739" w:hanging="708"/>
              <w:jc w:val="both"/>
              <w:rPr>
                <w:bCs/>
                <w:iCs/>
              </w:rPr>
            </w:pPr>
            <w:r>
              <w:rPr>
                <w:bCs/>
                <w:iCs/>
              </w:rPr>
              <w:t>1.1</w:t>
            </w:r>
            <w:r>
              <w:rPr>
                <w:bCs/>
                <w:iCs/>
              </w:rPr>
              <w:tab/>
            </w:r>
            <w:r>
              <w:rPr>
                <w:bCs/>
                <w:iCs/>
              </w:rPr>
              <w:t>Neste Contrato, os termos a seguir listados têm seus significados assim definidos:</w:t>
            </w:r>
          </w:p>
          <w:p w14:paraId="07A37994">
            <w:pPr>
              <w:spacing w:before="120" w:after="120" w:line="240" w:lineRule="auto"/>
              <w:ind w:left="1306" w:hanging="425"/>
              <w:jc w:val="both"/>
              <w:rPr>
                <w:bCs/>
                <w:iCs/>
              </w:rPr>
            </w:pPr>
            <w:r>
              <w:rPr>
                <w:bCs/>
                <w:iCs/>
              </w:rPr>
              <w:t>(a)</w:t>
            </w:r>
            <w:r>
              <w:rPr>
                <w:bCs/>
                <w:iCs/>
              </w:rPr>
              <w:tab/>
            </w:r>
            <w:r>
              <w:rPr>
                <w:b/>
                <w:bCs/>
                <w:iCs/>
              </w:rPr>
              <w:t>Bens</w:t>
            </w:r>
            <w:r>
              <w:rPr>
                <w:bCs/>
                <w:iCs/>
              </w:rPr>
              <w:t xml:space="preserve"> são todos os materiais e os equipamentos que o Contratado esteja obrigado a fornecer para execução das obras e serviços de conformidade com o contrato;</w:t>
            </w:r>
          </w:p>
          <w:p w14:paraId="0EB32741">
            <w:pPr>
              <w:spacing w:before="120" w:after="120" w:line="240" w:lineRule="auto"/>
              <w:ind w:left="1306" w:hanging="425"/>
              <w:jc w:val="both"/>
              <w:rPr>
                <w:bCs/>
                <w:iCs/>
              </w:rPr>
            </w:pPr>
            <w:r>
              <w:rPr>
                <w:bCs/>
                <w:iCs/>
              </w:rPr>
              <w:t>(b)</w:t>
            </w:r>
            <w:r>
              <w:rPr>
                <w:bCs/>
                <w:iCs/>
              </w:rPr>
              <w:tab/>
            </w:r>
            <w:r>
              <w:rPr>
                <w:b/>
                <w:bCs/>
                <w:iCs/>
              </w:rPr>
              <w:t>Canteiro de Obras</w:t>
            </w:r>
            <w:r>
              <w:rPr>
                <w:bCs/>
                <w:iCs/>
              </w:rPr>
              <w:t>: local integrante das Obras destinado à execução de processos mecânicos, elétricos, químicos ou biológicos;</w:t>
            </w:r>
          </w:p>
          <w:p w14:paraId="3B309469">
            <w:pPr>
              <w:spacing w:before="120" w:after="120" w:line="240" w:lineRule="auto"/>
              <w:ind w:left="1306" w:hanging="425"/>
              <w:jc w:val="both"/>
              <w:rPr>
                <w:bCs/>
                <w:iCs/>
              </w:rPr>
            </w:pPr>
            <w:r>
              <w:rPr>
                <w:bCs/>
                <w:iCs/>
              </w:rPr>
              <w:t>(c)</w:t>
            </w:r>
            <w:r>
              <w:rPr>
                <w:bCs/>
                <w:iCs/>
              </w:rPr>
              <w:tab/>
            </w:r>
            <w:r>
              <w:rPr>
                <w:b/>
                <w:bCs/>
                <w:iCs/>
              </w:rPr>
              <w:t xml:space="preserve">Contratado (a): </w:t>
            </w:r>
            <w:r>
              <w:rPr>
                <w:bCs/>
                <w:iCs/>
              </w:rPr>
              <w:t>sociedade ou consórcio cuja proposta para execução das Obras tenha sido aceita pelo Contratante;</w:t>
            </w:r>
          </w:p>
          <w:p w14:paraId="0B323BCE">
            <w:pPr>
              <w:spacing w:before="120" w:after="120" w:line="240" w:lineRule="auto"/>
              <w:ind w:left="1306" w:hanging="425"/>
              <w:jc w:val="both"/>
              <w:rPr>
                <w:bCs/>
                <w:iCs/>
              </w:rPr>
            </w:pPr>
            <w:r>
              <w:rPr>
                <w:bCs/>
                <w:iCs/>
              </w:rPr>
              <w:t>(d)</w:t>
            </w:r>
            <w:r>
              <w:rPr>
                <w:bCs/>
                <w:iCs/>
              </w:rPr>
              <w:tab/>
            </w:r>
            <w:r>
              <w:rPr>
                <w:b/>
                <w:bCs/>
                <w:iCs/>
              </w:rPr>
              <w:t>Contratante</w:t>
            </w:r>
            <w:r>
              <w:rPr>
                <w:bCs/>
                <w:iCs/>
              </w:rPr>
              <w:t xml:space="preserve"> - parte que em nome da Administração Pública contrata a execução das Obras pelo Contratado;</w:t>
            </w:r>
          </w:p>
          <w:p w14:paraId="0868A2AF">
            <w:pPr>
              <w:spacing w:before="120" w:after="120" w:line="240" w:lineRule="auto"/>
              <w:ind w:left="1306" w:hanging="425"/>
              <w:jc w:val="both"/>
              <w:rPr>
                <w:bCs/>
                <w:iCs/>
              </w:rPr>
            </w:pPr>
            <w:r>
              <w:rPr>
                <w:bCs/>
                <w:iCs/>
              </w:rPr>
              <w:t>(e)</w:t>
            </w:r>
            <w:r>
              <w:rPr>
                <w:bCs/>
                <w:iCs/>
              </w:rPr>
              <w:tab/>
            </w:r>
            <w:r>
              <w:rPr>
                <w:b/>
                <w:bCs/>
                <w:iCs/>
              </w:rPr>
              <w:t xml:space="preserve">Contrato: </w:t>
            </w:r>
            <w:r>
              <w:rPr>
                <w:bCs/>
                <w:iCs/>
              </w:rPr>
              <w:t>ajuste entre Contratante e Contratado para execução das Obras.  Integram o Contrato os documentos relacionados na subcláusula 2.3 das Condições Gerais do Contrato (CGC);</w:t>
            </w:r>
          </w:p>
          <w:p w14:paraId="2A0A72D6">
            <w:pPr>
              <w:spacing w:before="120" w:after="120" w:line="240" w:lineRule="auto"/>
              <w:ind w:left="1306" w:hanging="425"/>
              <w:jc w:val="both"/>
              <w:rPr>
                <w:bCs/>
                <w:iCs/>
              </w:rPr>
            </w:pPr>
            <w:r>
              <w:rPr>
                <w:bCs/>
                <w:iCs/>
              </w:rPr>
              <w:t>(f)</w:t>
            </w:r>
            <w:r>
              <w:rPr>
                <w:bCs/>
                <w:iCs/>
              </w:rPr>
              <w:tab/>
            </w:r>
            <w:r>
              <w:rPr>
                <w:b/>
                <w:bCs/>
                <w:iCs/>
              </w:rPr>
              <w:t xml:space="preserve">Cronograma Físico-Financeiro: </w:t>
            </w:r>
            <w:r>
              <w:rPr>
                <w:bCs/>
                <w:iCs/>
              </w:rPr>
              <w:t>é o documento que apresenta a programação de todas as atividades de construção de uma determinada Obra, distribuídas em ordem sequencial e cronológica ao longo do período de construção e mostrando o prazo de duração de cada uma delas e os respectivos percentuais de execução física e financeira mensal;</w:t>
            </w:r>
          </w:p>
          <w:p w14:paraId="11549005">
            <w:pPr>
              <w:spacing w:before="120" w:after="120" w:line="240" w:lineRule="auto"/>
              <w:ind w:left="1306" w:hanging="425"/>
              <w:jc w:val="both"/>
              <w:rPr>
                <w:bCs/>
                <w:iCs/>
              </w:rPr>
            </w:pPr>
            <w:r>
              <w:rPr>
                <w:bCs/>
                <w:iCs/>
              </w:rPr>
              <w:t>(g)</w:t>
            </w:r>
            <w:r>
              <w:rPr>
                <w:bCs/>
                <w:iCs/>
              </w:rPr>
              <w:tab/>
            </w:r>
            <w:r>
              <w:rPr>
                <w:b/>
                <w:bCs/>
                <w:iCs/>
              </w:rPr>
              <w:t>Data de Conclusão das Obras</w:t>
            </w:r>
            <w:r>
              <w:rPr>
                <w:bCs/>
                <w:iCs/>
              </w:rPr>
              <w:t>: data de conclusão das Obras, conforme atestado pelo Gerente do Contrato;</w:t>
            </w:r>
          </w:p>
          <w:p w14:paraId="4BD007BF">
            <w:pPr>
              <w:spacing w:before="120" w:after="120" w:line="240" w:lineRule="auto"/>
              <w:ind w:left="1306" w:hanging="425"/>
              <w:jc w:val="both"/>
              <w:rPr>
                <w:bCs/>
                <w:iCs/>
              </w:rPr>
            </w:pPr>
            <w:r>
              <w:rPr>
                <w:bCs/>
                <w:iCs/>
              </w:rPr>
              <w:t>(h)</w:t>
            </w:r>
            <w:r>
              <w:rPr>
                <w:bCs/>
                <w:iCs/>
              </w:rPr>
              <w:tab/>
            </w:r>
            <w:r>
              <w:rPr>
                <w:b/>
                <w:bCs/>
                <w:iCs/>
              </w:rPr>
              <w:t>Data de Início das Obras</w:t>
            </w:r>
            <w:r>
              <w:rPr>
                <w:bCs/>
                <w:iCs/>
              </w:rPr>
              <w:t>: data fixada nos Dados do Contrato (</w:t>
            </w:r>
            <w:r>
              <w:rPr>
                <w:b/>
                <w:bCs/>
                <w:iCs/>
              </w:rPr>
              <w:t>DDC</w:t>
            </w:r>
            <w:r>
              <w:rPr>
                <w:bCs/>
                <w:iCs/>
              </w:rPr>
              <w:t>) para o início da execução das Obras.  Esta data não coincidirá, necessariamente, com a data de posse do Local das Obras;</w:t>
            </w:r>
          </w:p>
          <w:p w14:paraId="0CC91EFE">
            <w:pPr>
              <w:spacing w:before="120" w:after="120" w:line="240" w:lineRule="auto"/>
              <w:ind w:left="1306" w:hanging="425"/>
              <w:jc w:val="both"/>
              <w:rPr>
                <w:bCs/>
                <w:iCs/>
              </w:rPr>
            </w:pPr>
            <w:r>
              <w:rPr>
                <w:bCs/>
                <w:iCs/>
              </w:rPr>
              <w:t>(i)</w:t>
            </w:r>
            <w:r>
              <w:rPr>
                <w:bCs/>
                <w:iCs/>
              </w:rPr>
              <w:tab/>
            </w:r>
            <w:r>
              <w:rPr>
                <w:b/>
                <w:bCs/>
                <w:iCs/>
              </w:rPr>
              <w:t>Data Prevista para a Conclusão das Obras</w:t>
            </w:r>
            <w:r>
              <w:rPr>
                <w:bCs/>
                <w:iCs/>
              </w:rPr>
              <w:t xml:space="preserve">: é a data em que se espera que o Contratado deva concluir as Obras.  A referida data consta dos </w:t>
            </w:r>
            <w:r>
              <w:rPr>
                <w:b/>
                <w:bCs/>
                <w:iCs/>
              </w:rPr>
              <w:t>DDC</w:t>
            </w:r>
            <w:r>
              <w:rPr>
                <w:bCs/>
                <w:iCs/>
              </w:rPr>
              <w:t xml:space="preserve"> podendo ser alterada, exclusivamente, a critério do Gerente do Contrato, mediante notificação de prorrogação de prazo ou de ordem de antecipação;</w:t>
            </w:r>
          </w:p>
          <w:p w14:paraId="566DF37F">
            <w:pPr>
              <w:spacing w:before="120" w:after="120" w:line="240" w:lineRule="auto"/>
              <w:ind w:left="1306" w:hanging="425"/>
              <w:jc w:val="both"/>
              <w:rPr>
                <w:bCs/>
                <w:iCs/>
              </w:rPr>
            </w:pPr>
            <w:r>
              <w:rPr>
                <w:bCs/>
                <w:iCs/>
              </w:rPr>
              <w:t>(j)</w:t>
            </w:r>
            <w:r>
              <w:rPr>
                <w:bCs/>
                <w:iCs/>
              </w:rPr>
              <w:tab/>
            </w:r>
            <w:r>
              <w:rPr>
                <w:b/>
                <w:bCs/>
                <w:iCs/>
              </w:rPr>
              <w:t xml:space="preserve">Defeito: </w:t>
            </w:r>
            <w:r>
              <w:rPr>
                <w:bCs/>
                <w:iCs/>
              </w:rPr>
              <w:t>qualquer parte da Obra executada em desacordo com o previsto no Contrato;</w:t>
            </w:r>
          </w:p>
          <w:p w14:paraId="43AB29E6">
            <w:pPr>
              <w:spacing w:before="120" w:after="120" w:line="240" w:lineRule="auto"/>
              <w:ind w:left="1306" w:hanging="425"/>
              <w:jc w:val="both"/>
              <w:rPr>
                <w:bCs/>
                <w:iCs/>
              </w:rPr>
            </w:pPr>
            <w:r>
              <w:rPr>
                <w:bCs/>
                <w:iCs/>
              </w:rPr>
              <w:t>(k)</w:t>
            </w:r>
            <w:r>
              <w:rPr>
                <w:bCs/>
                <w:iCs/>
              </w:rPr>
              <w:tab/>
            </w:r>
            <w:r>
              <w:rPr>
                <w:b/>
                <w:bCs/>
                <w:iCs/>
              </w:rPr>
              <w:t xml:space="preserve">Desenhos: </w:t>
            </w:r>
            <w:r>
              <w:rPr>
                <w:bCs/>
                <w:iCs/>
              </w:rPr>
              <w:t>desenhos, plantas, projetos, cálculos e outras informações fornecidas ou aprovadas pelo Gerente do Contrato para a execução do Contrato;</w:t>
            </w:r>
          </w:p>
          <w:p w14:paraId="59CD5AE3">
            <w:pPr>
              <w:spacing w:before="120" w:after="120" w:line="240" w:lineRule="auto"/>
              <w:ind w:left="1306" w:hanging="425"/>
              <w:jc w:val="both"/>
              <w:rPr>
                <w:bCs/>
                <w:iCs/>
              </w:rPr>
            </w:pPr>
            <w:r>
              <w:rPr>
                <w:bCs/>
                <w:iCs/>
              </w:rPr>
              <w:t>(l)</w:t>
            </w:r>
            <w:r>
              <w:rPr>
                <w:bCs/>
                <w:iCs/>
              </w:rPr>
              <w:tab/>
            </w:r>
            <w:r>
              <w:rPr>
                <w:b/>
                <w:bCs/>
                <w:iCs/>
              </w:rPr>
              <w:t>Dias</w:t>
            </w:r>
            <w:r>
              <w:rPr>
                <w:bCs/>
                <w:iCs/>
              </w:rPr>
              <w:t xml:space="preserve"> são dias corridos; </w:t>
            </w:r>
            <w:r>
              <w:rPr>
                <w:b/>
                <w:bCs/>
                <w:iCs/>
              </w:rPr>
              <w:t>Dias Úteis</w:t>
            </w:r>
            <w:r>
              <w:rPr>
                <w:bCs/>
                <w:iCs/>
              </w:rPr>
              <w:t xml:space="preserve"> excluem fins de semana e feriados; e Meses, são meses corridos;</w:t>
            </w:r>
          </w:p>
          <w:p w14:paraId="35812FAB">
            <w:pPr>
              <w:spacing w:before="120" w:after="120" w:line="240" w:lineRule="auto"/>
              <w:ind w:left="1306" w:hanging="425"/>
              <w:jc w:val="both"/>
              <w:rPr>
                <w:bCs/>
                <w:iCs/>
              </w:rPr>
            </w:pPr>
            <w:r>
              <w:rPr>
                <w:bCs/>
                <w:iCs/>
              </w:rPr>
              <w:t>(m)</w:t>
            </w:r>
            <w:r>
              <w:rPr>
                <w:bCs/>
                <w:iCs/>
              </w:rPr>
              <w:tab/>
            </w:r>
            <w:r>
              <w:rPr>
                <w:b/>
                <w:bCs/>
                <w:iCs/>
              </w:rPr>
              <w:t>Equipamentos</w:t>
            </w:r>
            <w:r>
              <w:rPr>
                <w:bCs/>
                <w:iCs/>
              </w:rPr>
              <w:t>: máquinas e veículos do Contratado, utilizados, temporariamente, no Local das Obras para a execução das Obras;</w:t>
            </w:r>
          </w:p>
          <w:p w14:paraId="34E6719E">
            <w:pPr>
              <w:spacing w:before="120" w:after="120" w:line="240" w:lineRule="auto"/>
              <w:ind w:left="1306" w:hanging="425"/>
              <w:jc w:val="both"/>
              <w:rPr>
                <w:bCs/>
                <w:iCs/>
              </w:rPr>
            </w:pPr>
            <w:r>
              <w:rPr>
                <w:bCs/>
                <w:iCs/>
              </w:rPr>
              <w:t>(n)</w:t>
            </w:r>
            <w:r>
              <w:rPr>
                <w:bCs/>
                <w:iCs/>
              </w:rPr>
              <w:tab/>
            </w:r>
            <w:r>
              <w:rPr>
                <w:b/>
                <w:bCs/>
                <w:iCs/>
              </w:rPr>
              <w:t>Engenheiro Residente do Contratado</w:t>
            </w:r>
            <w:r>
              <w:rPr>
                <w:bCs/>
                <w:iCs/>
              </w:rPr>
              <w:t>: é o representante credenciado do Contratado, com função executiva no canteiro de obras, durante todo o decorrer dos trabalhos;</w:t>
            </w:r>
          </w:p>
          <w:p w14:paraId="227BB12D">
            <w:pPr>
              <w:spacing w:before="120" w:after="120" w:line="240" w:lineRule="auto"/>
              <w:ind w:left="1306" w:hanging="425"/>
              <w:jc w:val="both"/>
              <w:rPr>
                <w:bCs/>
                <w:iCs/>
              </w:rPr>
            </w:pPr>
            <w:r>
              <w:rPr>
                <w:bCs/>
                <w:iCs/>
              </w:rPr>
              <w:t>(o)</w:t>
            </w:r>
            <w:r>
              <w:rPr>
                <w:bCs/>
                <w:iCs/>
              </w:rPr>
              <w:tab/>
            </w:r>
            <w:r>
              <w:rPr>
                <w:b/>
                <w:bCs/>
                <w:iCs/>
              </w:rPr>
              <w:t>Ensaios e Testes na Conclusão</w:t>
            </w:r>
            <w:r>
              <w:rPr>
                <w:bCs/>
                <w:iCs/>
              </w:rPr>
              <w:t>: significam os testes especificados no Contrato, acordados por ambas as Partes ou informados como uma Variação, executados de acordo com a cláusula 24 – Ensaios e Testes antes do término das Obras ou de uma Seção delas;</w:t>
            </w:r>
          </w:p>
          <w:p w14:paraId="47B733FB">
            <w:pPr>
              <w:spacing w:before="120" w:after="120" w:line="240" w:lineRule="auto"/>
              <w:ind w:left="1306" w:hanging="425"/>
              <w:jc w:val="both"/>
              <w:rPr>
                <w:bCs/>
                <w:iCs/>
              </w:rPr>
            </w:pPr>
            <w:r>
              <w:rPr>
                <w:bCs/>
                <w:iCs/>
              </w:rPr>
              <w:t xml:space="preserve">(p) </w:t>
            </w:r>
            <w:r>
              <w:rPr>
                <w:b/>
                <w:bCs/>
                <w:iCs/>
              </w:rPr>
              <w:t>Especificação</w:t>
            </w:r>
            <w:r>
              <w:rPr>
                <w:bCs/>
                <w:iCs/>
              </w:rPr>
              <w:t>: Especificação Técnica das Obras incluída no Contrato além de qualquer modificação ou acréscimo feito ou aprovado pelo Gerente do Contrato;</w:t>
            </w:r>
          </w:p>
          <w:p w14:paraId="08084231">
            <w:pPr>
              <w:spacing w:before="120" w:after="120" w:line="240" w:lineRule="auto"/>
              <w:ind w:left="1306" w:hanging="425"/>
              <w:jc w:val="both"/>
              <w:rPr>
                <w:bCs/>
                <w:iCs/>
              </w:rPr>
            </w:pPr>
            <w:r>
              <w:rPr>
                <w:bCs/>
                <w:iCs/>
              </w:rPr>
              <w:t>(q)</w:t>
            </w:r>
            <w:r>
              <w:rPr>
                <w:bCs/>
                <w:iCs/>
              </w:rPr>
              <w:tab/>
            </w:r>
            <w:r>
              <w:rPr>
                <w:b/>
                <w:bCs/>
                <w:iCs/>
              </w:rPr>
              <w:t xml:space="preserve">Eventos Passíveis de Compensação: </w:t>
            </w:r>
            <w:r>
              <w:rPr>
                <w:bCs/>
                <w:iCs/>
              </w:rPr>
              <w:t>aqueles definidos na cláusula 42;</w:t>
            </w:r>
          </w:p>
          <w:p w14:paraId="6FDD49AD">
            <w:pPr>
              <w:spacing w:before="120" w:after="120" w:line="240" w:lineRule="auto"/>
              <w:ind w:left="1306" w:hanging="425"/>
              <w:jc w:val="both"/>
              <w:rPr>
                <w:bCs/>
                <w:iCs/>
              </w:rPr>
            </w:pPr>
            <w:r>
              <w:rPr>
                <w:bCs/>
                <w:iCs/>
              </w:rPr>
              <w:t>(r)</w:t>
            </w:r>
            <w:r>
              <w:rPr>
                <w:bCs/>
                <w:iCs/>
              </w:rPr>
              <w:tab/>
            </w:r>
            <w:r>
              <w:rPr>
                <w:b/>
                <w:bCs/>
                <w:iCs/>
              </w:rPr>
              <w:t>Fiscalização</w:t>
            </w:r>
            <w:r>
              <w:rPr>
                <w:bCs/>
                <w:iCs/>
              </w:rPr>
              <w:t>: equipe de profissionais do Contratante (chefiadas pelo Gerente do Contrato) encarregada da fiscalização da execução das Obras e;</w:t>
            </w:r>
          </w:p>
          <w:p w14:paraId="27E19EB4">
            <w:pPr>
              <w:spacing w:before="120" w:after="120" w:line="240" w:lineRule="auto"/>
              <w:ind w:left="1306" w:hanging="425"/>
              <w:jc w:val="both"/>
              <w:rPr>
                <w:bCs/>
                <w:iCs/>
              </w:rPr>
            </w:pPr>
            <w:r>
              <w:rPr>
                <w:bCs/>
                <w:iCs/>
              </w:rPr>
              <w:t>(s)</w:t>
            </w:r>
            <w:r>
              <w:rPr>
                <w:bCs/>
                <w:iCs/>
              </w:rPr>
              <w:tab/>
            </w:r>
            <w:r>
              <w:rPr>
                <w:b/>
                <w:bCs/>
                <w:iCs/>
              </w:rPr>
              <w:t>FONPLATA</w:t>
            </w:r>
            <w:r>
              <w:rPr>
                <w:bCs/>
                <w:iCs/>
              </w:rPr>
              <w:t>: significa FONPLATA, Banco de Desenvolvimento;</w:t>
            </w:r>
          </w:p>
          <w:p w14:paraId="018C7043">
            <w:pPr>
              <w:spacing w:before="120" w:after="120" w:line="240" w:lineRule="auto"/>
              <w:ind w:left="1306" w:hanging="425"/>
              <w:jc w:val="both"/>
              <w:rPr>
                <w:bCs/>
                <w:iCs/>
              </w:rPr>
            </w:pPr>
            <w:r>
              <w:rPr>
                <w:bCs/>
                <w:iCs/>
              </w:rPr>
              <w:t>(t)</w:t>
            </w:r>
            <w:r>
              <w:rPr>
                <w:bCs/>
                <w:iCs/>
              </w:rPr>
              <w:tab/>
            </w:r>
            <w:r>
              <w:rPr>
                <w:b/>
                <w:bCs/>
                <w:iCs/>
              </w:rPr>
              <w:t xml:space="preserve">Força Maior: </w:t>
            </w:r>
            <w:r>
              <w:rPr>
                <w:bCs/>
                <w:iCs/>
              </w:rPr>
              <w:t>significa um acontecimento que escapa ao controle razoável de uma das Partes, não é previsível, é inevitável e faz com que o cumprimento das obrigações contratuais dessa Parte seja impossível ou tão pouco viável que se pode razoavelmente considerar impossível em tais circunstâncias;</w:t>
            </w:r>
          </w:p>
          <w:p w14:paraId="0886B312">
            <w:pPr>
              <w:spacing w:before="120" w:after="120" w:line="240" w:lineRule="auto"/>
              <w:ind w:left="1306" w:hanging="425"/>
              <w:jc w:val="both"/>
              <w:rPr>
                <w:bCs/>
                <w:iCs/>
              </w:rPr>
            </w:pPr>
            <w:r>
              <w:rPr>
                <w:bCs/>
                <w:iCs/>
              </w:rPr>
              <w:t>(u)</w:t>
            </w:r>
            <w:r>
              <w:rPr>
                <w:bCs/>
                <w:iCs/>
              </w:rPr>
              <w:tab/>
            </w:r>
            <w:r>
              <w:rPr>
                <w:b/>
                <w:bCs/>
                <w:iCs/>
              </w:rPr>
              <w:t>Gerente do Contrato</w:t>
            </w:r>
            <w:r>
              <w:rPr>
                <w:bCs/>
                <w:iCs/>
              </w:rPr>
              <w:t xml:space="preserve">: pessoa designada nos </w:t>
            </w:r>
            <w:r>
              <w:rPr>
                <w:b/>
                <w:bCs/>
                <w:iCs/>
              </w:rPr>
              <w:t>DDC</w:t>
            </w:r>
            <w:r>
              <w:rPr>
                <w:bCs/>
                <w:iCs/>
              </w:rPr>
              <w:t>, responsável pela chefia da equipe de Fiscalização da execução das Obras e pela administração do Contrato, e notificado ao Contratado, para atuar como Gerente do Contrato);</w:t>
            </w:r>
          </w:p>
          <w:p w14:paraId="76484061">
            <w:pPr>
              <w:spacing w:before="120" w:after="120" w:line="240" w:lineRule="auto"/>
              <w:ind w:left="1306" w:hanging="425"/>
              <w:jc w:val="both"/>
              <w:rPr>
                <w:bCs/>
                <w:iCs/>
              </w:rPr>
            </w:pPr>
            <w:r>
              <w:rPr>
                <w:bCs/>
                <w:iCs/>
              </w:rPr>
              <w:t>(v)</w:t>
            </w:r>
            <w:r>
              <w:rPr>
                <w:bCs/>
                <w:iCs/>
              </w:rPr>
              <w:tab/>
            </w:r>
            <w:r>
              <w:rPr>
                <w:b/>
                <w:bCs/>
                <w:iCs/>
              </w:rPr>
              <w:t xml:space="preserve">Local das Obras: </w:t>
            </w:r>
            <w:r>
              <w:rPr>
                <w:bCs/>
                <w:iCs/>
              </w:rPr>
              <w:t xml:space="preserve">área destinada à execução das Obras e descrita nos </w:t>
            </w:r>
            <w:r>
              <w:rPr>
                <w:b/>
                <w:bCs/>
                <w:iCs/>
              </w:rPr>
              <w:t>DDC</w:t>
            </w:r>
            <w:r>
              <w:rPr>
                <w:bCs/>
                <w:iCs/>
              </w:rPr>
              <w:t>;</w:t>
            </w:r>
          </w:p>
          <w:p w14:paraId="5BE1ADFA">
            <w:pPr>
              <w:spacing w:before="120" w:after="120" w:line="240" w:lineRule="auto"/>
              <w:ind w:left="1306" w:hanging="425"/>
              <w:jc w:val="both"/>
              <w:rPr>
                <w:bCs/>
                <w:iCs/>
              </w:rPr>
            </w:pPr>
            <w:r>
              <w:rPr>
                <w:bCs/>
                <w:iCs/>
              </w:rPr>
              <w:t>(x)</w:t>
            </w:r>
            <w:r>
              <w:rPr>
                <w:bCs/>
                <w:iCs/>
              </w:rPr>
              <w:tab/>
            </w:r>
            <w:r>
              <w:rPr>
                <w:b/>
                <w:bCs/>
                <w:iCs/>
              </w:rPr>
              <w:t>Materiais</w:t>
            </w:r>
            <w:r>
              <w:rPr>
                <w:bCs/>
                <w:iCs/>
              </w:rPr>
              <w:t>: suprimentos, incluindo perecíveis, utilizados pelo Contratado e incorporados às Obras;</w:t>
            </w:r>
          </w:p>
          <w:p w14:paraId="7DB7F491">
            <w:pPr>
              <w:spacing w:before="120" w:after="120" w:line="240" w:lineRule="auto"/>
              <w:ind w:left="1306" w:hanging="425"/>
              <w:jc w:val="both"/>
              <w:rPr>
                <w:bCs/>
                <w:iCs/>
              </w:rPr>
            </w:pPr>
            <w:r>
              <w:rPr>
                <w:bCs/>
                <w:iCs/>
              </w:rPr>
              <w:t>(w)</w:t>
            </w:r>
            <w:r>
              <w:rPr>
                <w:bCs/>
                <w:iCs/>
              </w:rPr>
              <w:tab/>
            </w:r>
            <w:r>
              <w:rPr>
                <w:b/>
                <w:bCs/>
                <w:iCs/>
              </w:rPr>
              <w:t xml:space="preserve">Matriz de Riscos: </w:t>
            </w:r>
            <w:r>
              <w:rPr>
                <w:bCs/>
                <w:iCs/>
              </w:rPr>
              <w:t>cláusula contratual definidora de riscos e de responsabilidades entre as partes e caracterizadora do equilíbrio econômico-financeiro inicial do contrato, em termos de ônus financeiro decorrente de eventos supervenientes à contratação;</w:t>
            </w:r>
          </w:p>
          <w:p w14:paraId="725BB6E6">
            <w:pPr>
              <w:spacing w:before="120" w:after="120" w:line="240" w:lineRule="auto"/>
              <w:ind w:left="1306" w:hanging="425"/>
              <w:jc w:val="both"/>
              <w:rPr>
                <w:bCs/>
                <w:iCs/>
              </w:rPr>
            </w:pPr>
            <w:r>
              <w:rPr>
                <w:bCs/>
                <w:iCs/>
              </w:rPr>
              <w:t>(y)</w:t>
            </w:r>
            <w:r>
              <w:rPr>
                <w:bCs/>
                <w:iCs/>
              </w:rPr>
              <w:tab/>
            </w:r>
            <w:r>
              <w:rPr>
                <w:b/>
                <w:bCs/>
                <w:iCs/>
              </w:rPr>
              <w:t>Mutuário</w:t>
            </w:r>
            <w:r>
              <w:rPr>
                <w:bCs/>
                <w:iCs/>
              </w:rPr>
              <w:t>: designa a quem o Financiamento é colocado à disposição;</w:t>
            </w:r>
          </w:p>
          <w:p w14:paraId="50029A4E">
            <w:pPr>
              <w:spacing w:before="120" w:after="120" w:line="240" w:lineRule="auto"/>
              <w:ind w:left="1306" w:hanging="425"/>
              <w:jc w:val="both"/>
              <w:rPr>
                <w:bCs/>
                <w:iCs/>
              </w:rPr>
            </w:pPr>
            <w:r>
              <w:rPr>
                <w:bCs/>
                <w:iCs/>
              </w:rPr>
              <w:t>(z)</w:t>
            </w:r>
            <w:r>
              <w:rPr>
                <w:bCs/>
                <w:iCs/>
              </w:rPr>
              <w:tab/>
            </w:r>
            <w:r>
              <w:rPr>
                <w:b/>
                <w:bCs/>
                <w:iCs/>
              </w:rPr>
              <w:t xml:space="preserve">Obra(s): </w:t>
            </w:r>
            <w:r>
              <w:rPr>
                <w:bCs/>
                <w:iCs/>
              </w:rPr>
              <w:t xml:space="preserve">conjunto dos serviços e edificações cuja execução, instalação ou construção encontra-se descrita no Contrato, conforme definido nos </w:t>
            </w:r>
            <w:r>
              <w:rPr>
                <w:b/>
                <w:bCs/>
                <w:iCs/>
              </w:rPr>
              <w:t>DDC</w:t>
            </w:r>
            <w:r>
              <w:rPr>
                <w:bCs/>
                <w:iCs/>
              </w:rPr>
              <w:t>;</w:t>
            </w:r>
          </w:p>
          <w:p w14:paraId="148F72C9">
            <w:pPr>
              <w:spacing w:before="120" w:after="120" w:line="240" w:lineRule="auto"/>
              <w:ind w:left="1306" w:hanging="425"/>
              <w:jc w:val="both"/>
              <w:rPr>
                <w:bCs/>
                <w:iCs/>
              </w:rPr>
            </w:pPr>
            <w:r>
              <w:rPr>
                <w:bCs/>
                <w:iCs/>
              </w:rPr>
              <w:t>(aa)</w:t>
            </w:r>
            <w:r>
              <w:rPr>
                <w:bCs/>
                <w:iCs/>
              </w:rPr>
              <w:tab/>
            </w:r>
            <w:r>
              <w:rPr>
                <w:b/>
                <w:bCs/>
                <w:iCs/>
              </w:rPr>
              <w:t>Obras Provisórias</w:t>
            </w:r>
            <w:r>
              <w:rPr>
                <w:bCs/>
                <w:iCs/>
              </w:rPr>
              <w:t>: Obras ou serviços de caráter provisório, projetados, executados e/ou instalados pelo Contratado, necessários à execução e/ou instalação das Obras;</w:t>
            </w:r>
          </w:p>
          <w:p w14:paraId="4E83E576">
            <w:pPr>
              <w:spacing w:before="120" w:after="120" w:line="240" w:lineRule="auto"/>
              <w:ind w:left="1306" w:hanging="425"/>
              <w:jc w:val="both"/>
              <w:rPr>
                <w:bCs/>
                <w:iCs/>
              </w:rPr>
            </w:pPr>
            <w:r>
              <w:rPr>
                <w:bCs/>
                <w:iCs/>
              </w:rPr>
              <w:t>(bb)</w:t>
            </w:r>
            <w:r>
              <w:rPr>
                <w:bCs/>
                <w:iCs/>
              </w:rPr>
              <w:tab/>
            </w:r>
            <w:r>
              <w:rPr>
                <w:b/>
                <w:bCs/>
                <w:iCs/>
              </w:rPr>
              <w:t xml:space="preserve">Ordem de Serviço: </w:t>
            </w:r>
            <w:r>
              <w:rPr>
                <w:bCs/>
                <w:iCs/>
              </w:rPr>
              <w:t>Ordem de Serviço emitida pelo Contratante para o início da Obra ou de uma etapa da mesma;</w:t>
            </w:r>
          </w:p>
          <w:p w14:paraId="5A86467A">
            <w:pPr>
              <w:spacing w:before="120" w:after="120" w:line="240" w:lineRule="auto"/>
              <w:ind w:left="1306" w:hanging="425"/>
              <w:jc w:val="both"/>
              <w:rPr>
                <w:bCs/>
                <w:iCs/>
              </w:rPr>
            </w:pPr>
            <w:r>
              <w:rPr>
                <w:bCs/>
                <w:iCs/>
              </w:rPr>
              <w:t>(cc)</w:t>
            </w:r>
            <w:r>
              <w:rPr>
                <w:bCs/>
                <w:iCs/>
              </w:rPr>
              <w:tab/>
            </w:r>
            <w:r>
              <w:rPr>
                <w:b/>
                <w:bCs/>
                <w:iCs/>
              </w:rPr>
              <w:t>Parte</w:t>
            </w:r>
            <w:r>
              <w:rPr>
                <w:bCs/>
                <w:iCs/>
              </w:rPr>
              <w:t>: significa o Contratante ou o Empreiteiro, conforme o contexto exigir.  Partes - significa o Contratante e o Contratado:</w:t>
            </w:r>
          </w:p>
          <w:p w14:paraId="7932DD2B">
            <w:pPr>
              <w:spacing w:before="120" w:after="120" w:line="240" w:lineRule="auto"/>
              <w:ind w:left="1306" w:hanging="425"/>
              <w:jc w:val="both"/>
              <w:rPr>
                <w:bCs/>
                <w:iCs/>
              </w:rPr>
            </w:pPr>
            <w:r>
              <w:rPr>
                <w:bCs/>
                <w:iCs/>
              </w:rPr>
              <w:t>(dd)</w:t>
            </w:r>
            <w:r>
              <w:rPr>
                <w:bCs/>
                <w:iCs/>
              </w:rPr>
              <w:tab/>
            </w:r>
            <w:r>
              <w:rPr>
                <w:b/>
                <w:bCs/>
                <w:iCs/>
              </w:rPr>
              <w:t>Período de Correção dos Defeitos (PCD)</w:t>
            </w:r>
            <w:r>
              <w:rPr>
                <w:bCs/>
                <w:iCs/>
              </w:rPr>
              <w:t xml:space="preserve">: é o período após a Data de Conclusão, estabelecido nos </w:t>
            </w:r>
            <w:r>
              <w:rPr>
                <w:b/>
                <w:bCs/>
                <w:iCs/>
              </w:rPr>
              <w:t>DDC</w:t>
            </w:r>
            <w:r>
              <w:rPr>
                <w:bCs/>
                <w:iCs/>
              </w:rPr>
              <w:t>, durante o qual o Contratante ainda poderá notificar a existência de defeitos a serem corrigidos pelo Contratado;</w:t>
            </w:r>
          </w:p>
          <w:p w14:paraId="11543F2A">
            <w:pPr>
              <w:spacing w:before="120" w:after="120" w:line="240" w:lineRule="auto"/>
              <w:ind w:left="1306" w:hanging="425"/>
              <w:jc w:val="both"/>
              <w:rPr>
                <w:bCs/>
                <w:iCs/>
              </w:rPr>
            </w:pPr>
            <w:r>
              <w:rPr>
                <w:bCs/>
                <w:iCs/>
              </w:rPr>
              <w:t>(ee)</w:t>
            </w:r>
            <w:r>
              <w:rPr>
                <w:bCs/>
                <w:iCs/>
              </w:rPr>
              <w:tab/>
            </w:r>
            <w:r>
              <w:rPr>
                <w:b/>
                <w:bCs/>
                <w:iCs/>
              </w:rPr>
              <w:t xml:space="preserve">PGAS: </w:t>
            </w:r>
            <w:r>
              <w:rPr>
                <w:bCs/>
                <w:iCs/>
              </w:rPr>
              <w:t>Plano de Gestão Ambiental e Social;</w:t>
            </w:r>
          </w:p>
          <w:p w14:paraId="72F0FF6F">
            <w:pPr>
              <w:spacing w:before="120" w:after="120" w:line="240" w:lineRule="auto"/>
              <w:ind w:left="1306" w:hanging="425"/>
              <w:jc w:val="both"/>
              <w:rPr>
                <w:bCs/>
                <w:iCs/>
              </w:rPr>
            </w:pPr>
            <w:r>
              <w:rPr>
                <w:bCs/>
                <w:iCs/>
              </w:rPr>
              <w:t>(ff)</w:t>
            </w:r>
            <w:r>
              <w:rPr>
                <w:bCs/>
                <w:iCs/>
              </w:rPr>
              <w:tab/>
            </w:r>
            <w:r>
              <w:rPr>
                <w:b/>
                <w:bCs/>
                <w:iCs/>
              </w:rPr>
              <w:t>Preço do Contrato</w:t>
            </w:r>
            <w:r>
              <w:rPr>
                <w:bCs/>
                <w:iCs/>
              </w:rPr>
              <w:t>: preço do Contrato a ser assinado;</w:t>
            </w:r>
          </w:p>
          <w:p w14:paraId="736DB896">
            <w:pPr>
              <w:spacing w:before="120" w:after="120" w:line="240" w:lineRule="auto"/>
              <w:ind w:left="1306" w:hanging="425"/>
              <w:jc w:val="both"/>
              <w:rPr>
                <w:bCs/>
                <w:iCs/>
              </w:rPr>
            </w:pPr>
            <w:r>
              <w:rPr>
                <w:bCs/>
                <w:iCs/>
              </w:rPr>
              <w:t>(gg)</w:t>
            </w:r>
            <w:r>
              <w:rPr>
                <w:bCs/>
                <w:iCs/>
              </w:rPr>
              <w:tab/>
            </w:r>
            <w:r>
              <w:rPr>
                <w:b/>
                <w:bCs/>
                <w:iCs/>
              </w:rPr>
              <w:t xml:space="preserve">Preço Inicial do Contrato: </w:t>
            </w:r>
            <w:r>
              <w:rPr>
                <w:bCs/>
                <w:iCs/>
              </w:rPr>
              <w:t>preço descrito na Carta de Aceitação;</w:t>
            </w:r>
          </w:p>
          <w:p w14:paraId="70EDED0E">
            <w:pPr>
              <w:spacing w:before="120" w:after="120" w:line="240" w:lineRule="auto"/>
              <w:ind w:left="1306" w:hanging="425"/>
              <w:jc w:val="both"/>
              <w:rPr>
                <w:bCs/>
                <w:iCs/>
              </w:rPr>
            </w:pPr>
            <w:r>
              <w:rPr>
                <w:bCs/>
                <w:iCs/>
              </w:rPr>
              <w:t>(hh)</w:t>
            </w:r>
            <w:r>
              <w:rPr>
                <w:bCs/>
                <w:iCs/>
              </w:rPr>
              <w:tab/>
            </w:r>
            <w:r>
              <w:rPr>
                <w:b/>
                <w:bCs/>
                <w:iCs/>
              </w:rPr>
              <w:t>Projeto Básico</w:t>
            </w:r>
            <w:r>
              <w:rPr>
                <w:bCs/>
                <w:iCs/>
              </w:rPr>
              <w:t>: conjunto de elementos necessários e suficientes, com nível de precisão adequado para definir e dimensionar perfeitamente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 É o projeto que permite a licitação das Obras;</w:t>
            </w:r>
          </w:p>
          <w:p w14:paraId="448444CE">
            <w:pPr>
              <w:spacing w:before="120" w:after="120" w:line="240" w:lineRule="auto"/>
              <w:ind w:left="1306" w:hanging="425"/>
              <w:jc w:val="both"/>
              <w:rPr>
                <w:bCs/>
                <w:iCs/>
              </w:rPr>
            </w:pPr>
            <w:r>
              <w:rPr>
                <w:bCs/>
                <w:iCs/>
              </w:rPr>
              <w:t>(iii)</w:t>
            </w:r>
            <w:r>
              <w:rPr>
                <w:bCs/>
                <w:iCs/>
              </w:rPr>
              <w:tab/>
            </w:r>
            <w:r>
              <w:rPr>
                <w:b/>
                <w:bCs/>
                <w:iCs/>
              </w:rPr>
              <w:t xml:space="preserve">Projeto Executivo: </w:t>
            </w:r>
            <w:r>
              <w:rPr>
                <w:bCs/>
                <w:iCs/>
              </w:rPr>
              <w:t>conjunto de elementos necessários e suficientes à execução completa da obra, com o detalhamento das soluções previstas no projeto básico, a identificação de serviços, de materiais e de equipamentos a serem incorporados à obra, bem como suas especificações técnicas, de acordo com as normas técnicas pertinentes;</w:t>
            </w:r>
          </w:p>
          <w:p w14:paraId="63AA4A1D">
            <w:pPr>
              <w:spacing w:before="120" w:after="120" w:line="240" w:lineRule="auto"/>
              <w:ind w:left="1306" w:hanging="425"/>
              <w:jc w:val="both"/>
              <w:rPr>
                <w:bCs/>
                <w:iCs/>
              </w:rPr>
            </w:pPr>
            <w:r>
              <w:rPr>
                <w:bCs/>
                <w:iCs/>
              </w:rPr>
              <w:t>(jj)</w:t>
            </w:r>
            <w:r>
              <w:rPr>
                <w:bCs/>
                <w:iCs/>
              </w:rPr>
              <w:tab/>
            </w:r>
            <w:r>
              <w:rPr>
                <w:b/>
                <w:bCs/>
                <w:iCs/>
              </w:rPr>
              <w:t>Preço Inicial do Contrato</w:t>
            </w:r>
            <w:r>
              <w:rPr>
                <w:bCs/>
                <w:iCs/>
              </w:rPr>
              <w:t>: Preço do Contrato indicado na Carta de Aceitação do Contratante;</w:t>
            </w:r>
          </w:p>
          <w:p w14:paraId="7D63184A">
            <w:pPr>
              <w:spacing w:before="120" w:after="120" w:line="240" w:lineRule="auto"/>
              <w:ind w:left="1306" w:hanging="425"/>
              <w:jc w:val="both"/>
              <w:rPr>
                <w:bCs/>
                <w:iCs/>
              </w:rPr>
            </w:pPr>
            <w:r>
              <w:rPr>
                <w:bCs/>
                <w:iCs/>
              </w:rPr>
              <w:t>(kk)</w:t>
            </w:r>
            <w:r>
              <w:rPr>
                <w:bCs/>
                <w:iCs/>
              </w:rPr>
              <w:tab/>
            </w:r>
            <w:r>
              <w:rPr>
                <w:b/>
                <w:bCs/>
                <w:iCs/>
              </w:rPr>
              <w:t xml:space="preserve">Reajustamento: </w:t>
            </w:r>
            <w:r>
              <w:rPr>
                <w:bCs/>
                <w:iCs/>
              </w:rPr>
              <w:t>forma de manutenção do equilíbrio econômico-financeiro de Contrato consistente na aplicação do índice de correção monetária previsto no Contrato, que deve retratar a variação efetiva do custo de produção, admitida a adoção de índices específicos ou setoriais;</w:t>
            </w:r>
          </w:p>
          <w:p w14:paraId="080E079F">
            <w:pPr>
              <w:spacing w:before="120" w:after="120" w:line="240" w:lineRule="auto"/>
              <w:ind w:left="1306" w:hanging="425"/>
              <w:jc w:val="both"/>
              <w:rPr>
                <w:bCs/>
                <w:iCs/>
              </w:rPr>
            </w:pPr>
            <w:r>
              <w:rPr>
                <w:bCs/>
                <w:iCs/>
              </w:rPr>
              <w:t>(ll)</w:t>
            </w:r>
            <w:r>
              <w:rPr>
                <w:bCs/>
                <w:iCs/>
              </w:rPr>
              <w:tab/>
            </w:r>
            <w:r>
              <w:rPr>
                <w:b/>
                <w:bCs/>
                <w:iCs/>
              </w:rPr>
              <w:t>Reequilíbrio Econômico-Financeiro</w:t>
            </w:r>
            <w:r>
              <w:rPr>
                <w:bCs/>
                <w:iCs/>
              </w:rPr>
              <w:t>: preserva o valor contratado das variações anormais da economia, provocadas por fatos extracontratuais, supervenientes à apresentação da proposta e, em geral, imprevisíveis ou, se previsíveis, de consequências incalculáveis, decorrentes da ocorrência de caso fortuito, de força maior ou nos casos em que um ato geral e abstrato praticado pelo Estado afeta indiretamente o Contrato, impedindo a sua execução nos termos inicialmente pactuados, superveniente à apresentação da proposta e capaz de retardar ou impedir a regular execução das Obras e do Contrato;</w:t>
            </w:r>
          </w:p>
          <w:p w14:paraId="5875D48D">
            <w:pPr>
              <w:spacing w:before="120" w:after="120" w:line="240" w:lineRule="auto"/>
              <w:ind w:left="1306" w:hanging="425"/>
              <w:jc w:val="both"/>
              <w:rPr>
                <w:bCs/>
                <w:iCs/>
              </w:rPr>
            </w:pPr>
            <w:r>
              <w:rPr>
                <w:bCs/>
                <w:iCs/>
              </w:rPr>
              <w:t>(mm)</w:t>
            </w:r>
            <w:r>
              <w:rPr>
                <w:bCs/>
                <w:iCs/>
              </w:rPr>
              <w:tab/>
            </w:r>
            <w:r>
              <w:rPr>
                <w:b/>
                <w:bCs/>
                <w:iCs/>
              </w:rPr>
              <w:t>Regime de Execução</w:t>
            </w:r>
            <w:r>
              <w:rPr>
                <w:bCs/>
                <w:iCs/>
              </w:rPr>
              <w:t>: Empreitada por Preço Unitário – é o contrato no qual os pagamentos são efetuados contra o progresso da Obra segundo medições das quantidades efetivamente executadas, sendo multiplicados os quantitativos medidos pelos preços unitários constantes da planilha de quantidades, que é a planilha contendo a relação de todos os itens de serviços e materiais incluídos na Obra, para os quais o Contratado cotou seus preços unitários.  A planilha de quantidades devidamente preenchida, corrigida e assinada pelo Contratado fará parte integrante do Contrato;</w:t>
            </w:r>
          </w:p>
          <w:p w14:paraId="65A3DD5D">
            <w:pPr>
              <w:spacing w:before="120" w:after="120" w:line="240" w:lineRule="auto"/>
              <w:ind w:left="1306" w:hanging="425"/>
              <w:jc w:val="both"/>
              <w:rPr>
                <w:bCs/>
                <w:iCs/>
              </w:rPr>
            </w:pPr>
            <w:r>
              <w:rPr>
                <w:bCs/>
                <w:iCs/>
              </w:rPr>
              <w:t>(nn)</w:t>
            </w:r>
            <w:r>
              <w:rPr>
                <w:bCs/>
                <w:iCs/>
              </w:rPr>
              <w:tab/>
            </w:r>
            <w:r>
              <w:rPr>
                <w:b/>
                <w:bCs/>
                <w:iCs/>
              </w:rPr>
              <w:t>Relatório de Controle Ambiental (RCA)</w:t>
            </w:r>
            <w:r>
              <w:rPr>
                <w:bCs/>
                <w:iCs/>
              </w:rPr>
              <w:t>: documento que relata a conformidade ou não conformidade ao atendimento das medidas mitigadoras e de controle ambiental.  É exigido na fase de instalação ou de operação;</w:t>
            </w:r>
          </w:p>
          <w:p w14:paraId="761561C1">
            <w:pPr>
              <w:spacing w:before="120" w:after="120" w:line="240" w:lineRule="auto"/>
              <w:ind w:left="1306" w:hanging="425"/>
              <w:jc w:val="both"/>
              <w:rPr>
                <w:bCs/>
                <w:iCs/>
              </w:rPr>
            </w:pPr>
            <w:r>
              <w:rPr>
                <w:bCs/>
                <w:iCs/>
              </w:rPr>
              <w:t>(oo)</w:t>
            </w:r>
            <w:r>
              <w:rPr>
                <w:bCs/>
                <w:iCs/>
              </w:rPr>
              <w:tab/>
            </w:r>
            <w:r>
              <w:rPr>
                <w:b/>
                <w:bCs/>
                <w:iCs/>
              </w:rPr>
              <w:t>Serviços Adicionais</w:t>
            </w:r>
            <w:r>
              <w:rPr>
                <w:bCs/>
                <w:iCs/>
              </w:rPr>
              <w:t>: conjunto de serviços não previstos originalmente, sujeitos a remuneração calculada com base na utilização efetiva de pessoal, material e equipamento do Contratado;</w:t>
            </w:r>
          </w:p>
          <w:p w14:paraId="274B8018">
            <w:pPr>
              <w:spacing w:before="120" w:after="120" w:line="240" w:lineRule="auto"/>
              <w:ind w:left="1306" w:hanging="425"/>
              <w:jc w:val="both"/>
              <w:rPr>
                <w:bCs/>
                <w:iCs/>
              </w:rPr>
            </w:pPr>
            <w:r>
              <w:rPr>
                <w:bCs/>
                <w:iCs/>
              </w:rPr>
              <w:t>(pp)</w:t>
            </w:r>
            <w:r>
              <w:rPr>
                <w:bCs/>
                <w:iCs/>
              </w:rPr>
              <w:tab/>
            </w:r>
            <w:r>
              <w:rPr>
                <w:b/>
                <w:bCs/>
                <w:iCs/>
              </w:rPr>
              <w:t xml:space="preserve">Subcontratado: </w:t>
            </w:r>
            <w:r>
              <w:rPr>
                <w:bCs/>
                <w:iCs/>
              </w:rPr>
              <w:t>pessoa jurídica que mantenha um contrato com o Contratado para a execução de parte das Obras;</w:t>
            </w:r>
          </w:p>
          <w:p w14:paraId="0C7D06AD">
            <w:pPr>
              <w:spacing w:before="120" w:after="120" w:line="240" w:lineRule="auto"/>
              <w:ind w:left="1306" w:hanging="425"/>
              <w:jc w:val="both"/>
              <w:rPr>
                <w:bCs/>
                <w:iCs/>
              </w:rPr>
            </w:pPr>
            <w:r>
              <w:rPr>
                <w:bCs/>
                <w:iCs/>
              </w:rPr>
              <w:t>(qq)</w:t>
            </w:r>
            <w:r>
              <w:rPr>
                <w:bCs/>
                <w:iCs/>
              </w:rPr>
              <w:tab/>
            </w:r>
            <w:r>
              <w:rPr>
                <w:b/>
                <w:bCs/>
                <w:iCs/>
              </w:rPr>
              <w:t>Superfaturamento</w:t>
            </w:r>
            <w:r>
              <w:rPr>
                <w:bCs/>
                <w:iCs/>
              </w:rPr>
              <w:t>: dano provocado ao Contratante, caracterizado, entre outras situações, por:</w:t>
            </w:r>
          </w:p>
          <w:p w14:paraId="0B79C81A">
            <w:pPr>
              <w:spacing w:before="120" w:after="120" w:line="240" w:lineRule="auto"/>
              <w:ind w:left="1306" w:hanging="425"/>
              <w:jc w:val="both"/>
              <w:rPr>
                <w:bCs/>
                <w:iCs/>
              </w:rPr>
            </w:pPr>
            <w:r>
              <w:rPr>
                <w:bCs/>
                <w:iCs/>
              </w:rPr>
              <w:t>(i)</w:t>
            </w:r>
            <w:r>
              <w:rPr>
                <w:bCs/>
                <w:iCs/>
              </w:rPr>
              <w:tab/>
            </w:r>
            <w:r>
              <w:rPr>
                <w:bCs/>
                <w:iCs/>
              </w:rPr>
              <w:t>medição de quantidades superiores às efetivamente executadas ou fornecidas;</w:t>
            </w:r>
          </w:p>
          <w:p w14:paraId="09FFE560">
            <w:pPr>
              <w:spacing w:before="120" w:after="120" w:line="240" w:lineRule="auto"/>
              <w:ind w:left="1306" w:hanging="425"/>
              <w:jc w:val="both"/>
              <w:rPr>
                <w:bCs/>
                <w:iCs/>
              </w:rPr>
            </w:pPr>
            <w:r>
              <w:rPr>
                <w:bCs/>
                <w:iCs/>
              </w:rPr>
              <w:t>(ii)</w:t>
            </w:r>
            <w:r>
              <w:rPr>
                <w:bCs/>
                <w:iCs/>
              </w:rPr>
              <w:tab/>
            </w:r>
            <w:r>
              <w:rPr>
                <w:bCs/>
                <w:iCs/>
              </w:rPr>
              <w:t>deficiência na execução de obras e de serviços de engenharia que resulte em diminuição da sua qualidade, vida útil ou segurança;</w:t>
            </w:r>
          </w:p>
          <w:p w14:paraId="0304D28D">
            <w:pPr>
              <w:spacing w:before="120" w:after="120" w:line="240" w:lineRule="auto"/>
              <w:ind w:left="1306" w:hanging="425"/>
              <w:jc w:val="both"/>
              <w:rPr>
                <w:bCs/>
                <w:iCs/>
              </w:rPr>
            </w:pPr>
            <w:r>
              <w:rPr>
                <w:bCs/>
                <w:iCs/>
              </w:rPr>
              <w:t>(iii)</w:t>
            </w:r>
            <w:r>
              <w:rPr>
                <w:bCs/>
                <w:iCs/>
              </w:rPr>
              <w:tab/>
            </w:r>
            <w:r>
              <w:rPr>
                <w:bCs/>
                <w:iCs/>
              </w:rPr>
              <w:t>alterações no orçamento de obras e de serviços de engenharia que causem desequilíbrio econômico-financeiro do contrato em favor do contratado; e</w:t>
            </w:r>
          </w:p>
          <w:p w14:paraId="21A9E49E">
            <w:pPr>
              <w:spacing w:before="120" w:after="120" w:line="240" w:lineRule="auto"/>
              <w:ind w:left="1306" w:hanging="425"/>
              <w:jc w:val="both"/>
              <w:rPr>
                <w:bCs/>
                <w:iCs/>
              </w:rPr>
            </w:pPr>
            <w:r>
              <w:rPr>
                <w:bCs/>
                <w:iCs/>
              </w:rPr>
              <w:t>(iv)</w:t>
            </w:r>
            <w:r>
              <w:rPr>
                <w:bCs/>
                <w:iCs/>
              </w:rPr>
              <w:tab/>
            </w:r>
            <w:r>
              <w:rPr>
                <w:bCs/>
                <w:iCs/>
              </w:rPr>
              <w:t>outras alterações de cláusulas financeiras que gerem recebimentos contratuais antecipados, distorção do cronograma físico-financeiro, prorrogação injustificada do prazo contratual com custos adicionais para o Contratante ou reajuste irregular de preços.</w:t>
            </w:r>
          </w:p>
          <w:p w14:paraId="7E9E23AC">
            <w:pPr>
              <w:spacing w:before="120" w:after="120" w:line="240" w:lineRule="auto"/>
              <w:ind w:left="1306" w:hanging="425"/>
              <w:jc w:val="both"/>
              <w:rPr>
                <w:bCs/>
                <w:iCs/>
              </w:rPr>
            </w:pPr>
            <w:r>
              <w:rPr>
                <w:bCs/>
                <w:iCs/>
              </w:rPr>
              <w:t>(rr)</w:t>
            </w:r>
            <w:r>
              <w:rPr>
                <w:bCs/>
                <w:iCs/>
              </w:rPr>
              <w:tab/>
            </w:r>
            <w:r>
              <w:rPr>
                <w:b/>
                <w:bCs/>
                <w:iCs/>
              </w:rPr>
              <w:t>Supervisão</w:t>
            </w:r>
            <w:r>
              <w:rPr>
                <w:bCs/>
                <w:iCs/>
              </w:rPr>
              <w:t>: equipe de profissionais contratada para supervisionar a execução das Obras, auxiliando a Fiscalização;</w:t>
            </w:r>
          </w:p>
          <w:p w14:paraId="4BAB8608">
            <w:pPr>
              <w:spacing w:before="120" w:after="120" w:line="240" w:lineRule="auto"/>
              <w:ind w:left="1306" w:hanging="425"/>
              <w:jc w:val="both"/>
              <w:rPr>
                <w:bCs/>
                <w:iCs/>
              </w:rPr>
            </w:pPr>
            <w:r>
              <w:rPr>
                <w:bCs/>
                <w:iCs/>
              </w:rPr>
              <w:t>(ss)</w:t>
            </w:r>
            <w:r>
              <w:rPr>
                <w:bCs/>
                <w:iCs/>
              </w:rPr>
              <w:tab/>
            </w:r>
            <w:r>
              <w:rPr>
                <w:b/>
                <w:bCs/>
                <w:iCs/>
              </w:rPr>
              <w:t xml:space="preserve">Termo de Recebimento: </w:t>
            </w:r>
            <w:r>
              <w:rPr>
                <w:bCs/>
                <w:iCs/>
              </w:rPr>
              <w:t>certificado emitido pelo Gerente do Contrato atestando a conclusão e o recebimento, total ou parcial, das Obras pelo Contratante, em caráter provisório [Termo de Recebimento Parcial (TRP) das Obras] ou definitivo [Termo de Recebimento Definitivo (TRD) das Obras]; e</w:t>
            </w:r>
          </w:p>
          <w:p w14:paraId="67B8DF8E">
            <w:pPr>
              <w:spacing w:before="120" w:after="120" w:line="240" w:lineRule="auto"/>
              <w:ind w:left="1306" w:hanging="425"/>
              <w:jc w:val="both"/>
              <w:rPr>
                <w:bCs/>
                <w:iCs/>
              </w:rPr>
            </w:pPr>
            <w:r>
              <w:rPr>
                <w:bCs/>
                <w:iCs/>
              </w:rPr>
              <w:t>(tt)</w:t>
            </w:r>
            <w:r>
              <w:rPr>
                <w:bCs/>
                <w:iCs/>
              </w:rPr>
              <w:tab/>
            </w:r>
            <w:r>
              <w:rPr>
                <w:b/>
                <w:bCs/>
                <w:iCs/>
              </w:rPr>
              <w:t>Variação</w:t>
            </w:r>
            <w:r>
              <w:rPr>
                <w:bCs/>
                <w:iCs/>
              </w:rPr>
              <w:t>: instrução, por escrito, do Gerente do Contrato que modifique as Obras.</w:t>
            </w:r>
          </w:p>
        </w:tc>
      </w:tr>
      <w:tr w14:paraId="4FBA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19584EA">
            <w:pPr>
              <w:pStyle w:val="83"/>
              <w:rPr>
                <w:b w:val="0"/>
                <w:iCs w:val="0"/>
              </w:rPr>
            </w:pPr>
            <w:bookmarkStart w:id="388" w:name="_Toc153209011"/>
            <w:bookmarkStart w:id="389" w:name="_Toc174522830"/>
            <w:bookmarkStart w:id="390" w:name="_Toc138437066"/>
            <w:r>
              <w:t>2.</w:t>
            </w:r>
            <w:r>
              <w:tab/>
            </w:r>
            <w:r>
              <w:t>Interpretação</w:t>
            </w:r>
            <w:bookmarkEnd w:id="388"/>
            <w:bookmarkEnd w:id="389"/>
            <w:bookmarkEnd w:id="390"/>
          </w:p>
        </w:tc>
        <w:tc>
          <w:tcPr>
            <w:tcW w:w="6753" w:type="dxa"/>
          </w:tcPr>
          <w:p w14:paraId="64E039CF">
            <w:pPr>
              <w:spacing w:before="120" w:after="120" w:line="240" w:lineRule="auto"/>
              <w:ind w:left="739" w:hanging="708"/>
              <w:jc w:val="both"/>
              <w:rPr>
                <w:bCs/>
                <w:iCs/>
              </w:rPr>
            </w:pPr>
            <w:r>
              <w:rPr>
                <w:bCs/>
                <w:iCs/>
              </w:rPr>
              <w:t>2.1</w:t>
            </w:r>
            <w:r>
              <w:rPr>
                <w:bCs/>
                <w:iCs/>
              </w:rPr>
              <w:tab/>
            </w:r>
            <w:r>
              <w:rPr>
                <w:bCs/>
                <w:iCs/>
              </w:rPr>
              <w:t>Quando da interpretação das Condições Gerais do Contrato (CGC), as palavras usadas no singular significam também o plural, masculino também significa feminino e vice-versa.  Os cabeçalhos não alterarão a interpretação das cláusulas.  As palavras utilizadas na redação do Contrato têm seu significado habitual, a menos que definidas de modo diverso.  O Gerente do Contrato fornecerá instruções para o esclarecimento de questões que surgirem a respeito das Condições Gerais do Contrato (CGC).</w:t>
            </w:r>
          </w:p>
          <w:p w14:paraId="05027F6E">
            <w:pPr>
              <w:spacing w:before="120" w:after="120" w:line="240" w:lineRule="auto"/>
              <w:ind w:left="739" w:hanging="708"/>
              <w:jc w:val="both"/>
              <w:rPr>
                <w:bCs/>
                <w:iCs/>
              </w:rPr>
            </w:pPr>
            <w:r>
              <w:rPr>
                <w:bCs/>
                <w:iCs/>
              </w:rPr>
              <w:t>2.2</w:t>
            </w:r>
            <w:r>
              <w:rPr>
                <w:bCs/>
                <w:iCs/>
              </w:rPr>
              <w:tab/>
            </w:r>
            <w:r>
              <w:rPr>
                <w:bCs/>
                <w:iCs/>
              </w:rPr>
              <w:t>Caso conclusões parciais de partes da Obra estejam previstas nas CGC, as referências à Data de Conclusão e à Data Prevista para a Conclusão aplicam-se a qualquer parte das Obras.</w:t>
            </w:r>
          </w:p>
          <w:p w14:paraId="79DEA0E1">
            <w:pPr>
              <w:spacing w:before="120" w:after="120" w:line="240" w:lineRule="auto"/>
              <w:ind w:left="739" w:hanging="708"/>
              <w:jc w:val="both"/>
              <w:rPr>
                <w:bCs/>
                <w:iCs/>
              </w:rPr>
            </w:pPr>
            <w:r>
              <w:rPr>
                <w:bCs/>
                <w:iCs/>
              </w:rPr>
              <w:t>2.3</w:t>
            </w:r>
            <w:r>
              <w:rPr>
                <w:bCs/>
                <w:iCs/>
              </w:rPr>
              <w:tab/>
            </w:r>
            <w:r>
              <w:rPr>
                <w:bCs/>
                <w:iCs/>
              </w:rPr>
              <w:t>Os documentos relacionados a seguir integram o presente Contrato, independente de transcrição:</w:t>
            </w:r>
          </w:p>
          <w:p w14:paraId="56D6660F">
            <w:pPr>
              <w:spacing w:before="120" w:after="120" w:line="240" w:lineRule="auto"/>
              <w:ind w:left="1306" w:hanging="425"/>
              <w:jc w:val="both"/>
              <w:rPr>
                <w:bCs/>
                <w:iCs/>
              </w:rPr>
            </w:pPr>
            <w:r>
              <w:rPr>
                <w:bCs/>
                <w:iCs/>
              </w:rPr>
              <w:t>(a)</w:t>
            </w:r>
            <w:r>
              <w:rPr>
                <w:bCs/>
                <w:iCs/>
              </w:rPr>
              <w:tab/>
            </w:r>
            <w:r>
              <w:rPr>
                <w:bCs/>
                <w:iCs/>
              </w:rPr>
              <w:t>Termo de Contrato;</w:t>
            </w:r>
          </w:p>
          <w:p w14:paraId="0F16F9DF">
            <w:pPr>
              <w:spacing w:before="120" w:after="120" w:line="240" w:lineRule="auto"/>
              <w:ind w:left="1306" w:hanging="425"/>
              <w:jc w:val="both"/>
              <w:rPr>
                <w:bCs/>
                <w:iCs/>
              </w:rPr>
            </w:pPr>
            <w:r>
              <w:rPr>
                <w:bCs/>
                <w:iCs/>
              </w:rPr>
              <w:t>(b)</w:t>
            </w:r>
            <w:r>
              <w:rPr>
                <w:bCs/>
                <w:iCs/>
              </w:rPr>
              <w:tab/>
            </w:r>
            <w:r>
              <w:rPr>
                <w:bCs/>
                <w:iCs/>
              </w:rPr>
              <w:t>Carta de Aceitação;</w:t>
            </w:r>
          </w:p>
          <w:p w14:paraId="10450AF7">
            <w:pPr>
              <w:spacing w:before="120" w:after="120" w:line="240" w:lineRule="auto"/>
              <w:ind w:left="1306" w:hanging="425"/>
              <w:jc w:val="both"/>
              <w:rPr>
                <w:bCs/>
                <w:iCs/>
              </w:rPr>
            </w:pPr>
            <w:r>
              <w:rPr>
                <w:bCs/>
                <w:iCs/>
              </w:rPr>
              <w:t>(c)</w:t>
            </w:r>
            <w:r>
              <w:rPr>
                <w:bCs/>
                <w:iCs/>
              </w:rPr>
              <w:tab/>
            </w:r>
            <w:r>
              <w:rPr>
                <w:iCs/>
                <w:lang w:val="pt-PT"/>
              </w:rPr>
              <w:t>Proposta</w:t>
            </w:r>
            <w:r>
              <w:rPr>
                <w:iCs/>
              </w:rPr>
              <w:t xml:space="preserve"> do</w:t>
            </w:r>
            <w:r>
              <w:rPr>
                <w:bCs/>
                <w:iCs/>
              </w:rPr>
              <w:t xml:space="preserve"> Contratado;</w:t>
            </w:r>
          </w:p>
          <w:p w14:paraId="54F6D39F">
            <w:pPr>
              <w:spacing w:before="120" w:after="120" w:line="240" w:lineRule="auto"/>
              <w:ind w:left="1306" w:hanging="425"/>
              <w:jc w:val="both"/>
              <w:rPr>
                <w:bCs/>
                <w:iCs/>
              </w:rPr>
            </w:pPr>
            <w:r>
              <w:rPr>
                <w:bCs/>
                <w:iCs/>
              </w:rPr>
              <w:t>(d)</w:t>
            </w:r>
            <w:r>
              <w:rPr>
                <w:bCs/>
                <w:iCs/>
              </w:rPr>
              <w:tab/>
            </w:r>
            <w:r>
              <w:rPr>
                <w:bCs/>
                <w:iCs/>
              </w:rPr>
              <w:t>Dados do Contrato (</w:t>
            </w:r>
            <w:r>
              <w:rPr>
                <w:b/>
                <w:bCs/>
                <w:iCs/>
              </w:rPr>
              <w:t>DDC</w:t>
            </w:r>
            <w:r>
              <w:rPr>
                <w:bCs/>
                <w:iCs/>
              </w:rPr>
              <w:t>);</w:t>
            </w:r>
          </w:p>
          <w:p w14:paraId="505CD5F6">
            <w:pPr>
              <w:spacing w:before="120" w:after="120" w:line="240" w:lineRule="auto"/>
              <w:ind w:left="1306" w:hanging="425"/>
              <w:jc w:val="both"/>
              <w:rPr>
                <w:bCs/>
                <w:iCs/>
              </w:rPr>
            </w:pPr>
            <w:r>
              <w:rPr>
                <w:bCs/>
                <w:iCs/>
              </w:rPr>
              <w:t>(e)</w:t>
            </w:r>
            <w:r>
              <w:rPr>
                <w:bCs/>
                <w:iCs/>
              </w:rPr>
              <w:tab/>
            </w:r>
            <w:r>
              <w:rPr>
                <w:bCs/>
                <w:iCs/>
              </w:rPr>
              <w:t>Anexos do Contrato;</w:t>
            </w:r>
          </w:p>
          <w:p w14:paraId="37F6339E">
            <w:pPr>
              <w:spacing w:before="120" w:after="120" w:line="240" w:lineRule="auto"/>
              <w:ind w:left="1306" w:hanging="425"/>
              <w:jc w:val="both"/>
              <w:rPr>
                <w:bCs/>
                <w:iCs/>
              </w:rPr>
            </w:pPr>
            <w:r>
              <w:rPr>
                <w:bCs/>
                <w:iCs/>
              </w:rPr>
              <w:t>(f)</w:t>
            </w:r>
            <w:r>
              <w:rPr>
                <w:bCs/>
                <w:iCs/>
              </w:rPr>
              <w:tab/>
            </w:r>
            <w:r>
              <w:rPr>
                <w:bCs/>
                <w:iCs/>
              </w:rPr>
              <w:t>Condições Gerais do Contrato (CGC);</w:t>
            </w:r>
          </w:p>
          <w:p w14:paraId="2BA8BCF7">
            <w:pPr>
              <w:spacing w:before="120" w:after="120" w:line="240" w:lineRule="auto"/>
              <w:ind w:left="1306" w:hanging="425"/>
              <w:jc w:val="both"/>
              <w:rPr>
                <w:bCs/>
                <w:iCs/>
              </w:rPr>
            </w:pPr>
            <w:r>
              <w:rPr>
                <w:bCs/>
                <w:iCs/>
              </w:rPr>
              <w:t>(g)</w:t>
            </w:r>
            <w:r>
              <w:rPr>
                <w:bCs/>
                <w:iCs/>
              </w:rPr>
              <w:tab/>
            </w:r>
            <w:r>
              <w:rPr>
                <w:bCs/>
                <w:iCs/>
              </w:rPr>
              <w:t xml:space="preserve">Matriz de Riscos, caso aplicável; </w:t>
            </w:r>
          </w:p>
          <w:p w14:paraId="2EBBA54B">
            <w:pPr>
              <w:spacing w:before="120" w:after="120" w:line="240" w:lineRule="auto"/>
              <w:ind w:left="1306" w:hanging="425"/>
              <w:jc w:val="both"/>
              <w:rPr>
                <w:bCs/>
                <w:iCs/>
              </w:rPr>
            </w:pPr>
            <w:r>
              <w:rPr>
                <w:bCs/>
                <w:iCs/>
              </w:rPr>
              <w:t>(h)</w:t>
            </w:r>
            <w:r>
              <w:rPr>
                <w:bCs/>
                <w:iCs/>
              </w:rPr>
              <w:tab/>
            </w:r>
            <w:r>
              <w:rPr>
                <w:bCs/>
                <w:iCs/>
              </w:rPr>
              <w:t>Planilha de Quantidades e Cronograma de Atividades (Físico-Financeiro);</w:t>
            </w:r>
          </w:p>
          <w:p w14:paraId="44AB0A35">
            <w:pPr>
              <w:spacing w:before="120" w:after="120" w:line="240" w:lineRule="auto"/>
              <w:ind w:left="1306" w:hanging="425"/>
              <w:jc w:val="both"/>
              <w:rPr>
                <w:bCs/>
                <w:iCs/>
              </w:rPr>
            </w:pPr>
            <w:r>
              <w:rPr>
                <w:bCs/>
                <w:iCs/>
              </w:rPr>
              <w:t>(i)</w:t>
            </w:r>
            <w:r>
              <w:rPr>
                <w:bCs/>
                <w:iCs/>
              </w:rPr>
              <w:tab/>
            </w:r>
            <w:r>
              <w:rPr>
                <w:bCs/>
                <w:iCs/>
              </w:rPr>
              <w:t>Especificações Técnicas;</w:t>
            </w:r>
          </w:p>
          <w:p w14:paraId="4B62276F">
            <w:pPr>
              <w:spacing w:before="120" w:after="120" w:line="240" w:lineRule="auto"/>
              <w:ind w:left="1306" w:hanging="425"/>
              <w:jc w:val="both"/>
              <w:rPr>
                <w:bCs/>
                <w:iCs/>
              </w:rPr>
            </w:pPr>
            <w:r>
              <w:rPr>
                <w:bCs/>
                <w:iCs/>
              </w:rPr>
              <w:t>(j)</w:t>
            </w:r>
            <w:r>
              <w:rPr>
                <w:bCs/>
                <w:iCs/>
              </w:rPr>
              <w:tab/>
            </w:r>
            <w:r>
              <w:rPr>
                <w:bCs/>
                <w:iCs/>
              </w:rPr>
              <w:t xml:space="preserve">Plantas e Desenhos; </w:t>
            </w:r>
          </w:p>
          <w:p w14:paraId="192CB0D3">
            <w:pPr>
              <w:spacing w:before="120" w:after="120" w:line="240" w:lineRule="auto"/>
              <w:ind w:left="1306" w:hanging="425"/>
              <w:jc w:val="both"/>
              <w:rPr>
                <w:bCs/>
                <w:iCs/>
              </w:rPr>
            </w:pPr>
            <w:r>
              <w:rPr>
                <w:bCs/>
                <w:iCs/>
              </w:rPr>
              <w:t>(k)</w:t>
            </w:r>
            <w:r>
              <w:rPr>
                <w:bCs/>
                <w:iCs/>
              </w:rPr>
              <w:tab/>
            </w:r>
            <w:r>
              <w:rPr>
                <w:bCs/>
                <w:iCs/>
              </w:rPr>
              <w:t xml:space="preserve">qualquer documento relacionado nos </w:t>
            </w:r>
            <w:r>
              <w:rPr>
                <w:b/>
                <w:bCs/>
                <w:iCs/>
              </w:rPr>
              <w:t>DDC</w:t>
            </w:r>
            <w:r>
              <w:rPr>
                <w:bCs/>
                <w:iCs/>
              </w:rPr>
              <w:t xml:space="preserve"> como parte integrante do Contrato.</w:t>
            </w:r>
          </w:p>
        </w:tc>
      </w:tr>
      <w:tr w14:paraId="7090B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691D113">
            <w:pPr>
              <w:pStyle w:val="83"/>
            </w:pPr>
            <w:bookmarkStart w:id="391" w:name="_Toc174522831"/>
            <w:bookmarkStart w:id="392" w:name="_Toc138437067"/>
            <w:bookmarkStart w:id="393" w:name="_Toc56168288"/>
            <w:bookmarkStart w:id="394" w:name="_Toc99025953"/>
            <w:bookmarkStart w:id="395" w:name="_Toc20735913"/>
            <w:bookmarkStart w:id="396" w:name="_Toc153209012"/>
            <w:r>
              <w:t>3.</w:t>
            </w:r>
            <w:r>
              <w:tab/>
            </w:r>
            <w:r>
              <w:t>Idioma e Legislação Aplicável</w:t>
            </w:r>
            <w:bookmarkEnd w:id="391"/>
            <w:bookmarkEnd w:id="392"/>
            <w:bookmarkEnd w:id="393"/>
            <w:bookmarkEnd w:id="394"/>
            <w:bookmarkEnd w:id="395"/>
            <w:bookmarkEnd w:id="396"/>
          </w:p>
        </w:tc>
        <w:tc>
          <w:tcPr>
            <w:tcW w:w="6753" w:type="dxa"/>
          </w:tcPr>
          <w:p w14:paraId="23452E80">
            <w:pPr>
              <w:spacing w:before="120" w:after="120" w:line="240" w:lineRule="auto"/>
              <w:ind w:left="739" w:hanging="708"/>
              <w:jc w:val="both"/>
            </w:pPr>
            <w:r>
              <w:rPr>
                <w:bCs/>
                <w:iCs/>
              </w:rPr>
              <w:t>3.1</w:t>
            </w:r>
            <w:r>
              <w:rPr>
                <w:bCs/>
                <w:iCs/>
              </w:rPr>
              <w:tab/>
            </w:r>
            <w:r>
              <w:t xml:space="preserve">Este Contrato é assinado no idioma português falado no Brasil, pelo qual se regerão obrigatoriamente todos os assuntos relacionados com o mesmo ou com seu significado ou interpretação. </w:t>
            </w:r>
          </w:p>
          <w:p w14:paraId="4E4C6099">
            <w:pPr>
              <w:spacing w:before="120" w:after="120" w:line="240" w:lineRule="auto"/>
              <w:ind w:left="739" w:hanging="708"/>
              <w:jc w:val="both"/>
              <w:rPr>
                <w:bCs/>
                <w:iCs/>
              </w:rPr>
            </w:pPr>
            <w:r>
              <w:rPr>
                <w:bCs/>
                <w:iCs/>
              </w:rPr>
              <w:t>3.2</w:t>
            </w:r>
            <w:r>
              <w:rPr>
                <w:bCs/>
                <w:iCs/>
              </w:rPr>
              <w:tab/>
            </w:r>
            <w:r>
              <w:rPr>
                <w:bCs/>
                <w:iCs/>
              </w:rPr>
              <w:t xml:space="preserve">Aplica-se subsidiariamente a legislação brasileira nos casos não previstos nas Políticas </w:t>
            </w:r>
            <w:r>
              <w:t>para Aquisição de Bens, Obras e Serviços em Operações Financiadas pelo FONPLATA (R.D. 1394/2017)</w:t>
            </w:r>
            <w:r>
              <w:rPr>
                <w:bCs/>
                <w:iCs/>
              </w:rPr>
              <w:t>.</w:t>
            </w:r>
          </w:p>
        </w:tc>
      </w:tr>
      <w:tr w14:paraId="2075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779D8CC">
            <w:pPr>
              <w:pStyle w:val="83"/>
            </w:pPr>
            <w:bookmarkStart w:id="397" w:name="_Toc56168289"/>
            <w:bookmarkStart w:id="398" w:name="_Toc153209013"/>
            <w:bookmarkStart w:id="399" w:name="_Toc138437068"/>
            <w:bookmarkStart w:id="400" w:name="_Toc99025954"/>
            <w:bookmarkStart w:id="401" w:name="_Toc20735914"/>
            <w:bookmarkStart w:id="402" w:name="_Toc174522832"/>
            <w:r>
              <w:t>4.</w:t>
            </w:r>
            <w:r>
              <w:tab/>
            </w:r>
            <w:r>
              <w:t>Decisões do Gerente do Contrato</w:t>
            </w:r>
            <w:bookmarkEnd w:id="397"/>
            <w:bookmarkEnd w:id="398"/>
            <w:bookmarkEnd w:id="399"/>
            <w:bookmarkEnd w:id="400"/>
            <w:bookmarkEnd w:id="401"/>
            <w:bookmarkEnd w:id="402"/>
          </w:p>
        </w:tc>
        <w:tc>
          <w:tcPr>
            <w:tcW w:w="6753" w:type="dxa"/>
          </w:tcPr>
          <w:p w14:paraId="4BD1B845">
            <w:pPr>
              <w:spacing w:before="120" w:after="120" w:line="240" w:lineRule="auto"/>
              <w:ind w:left="739" w:hanging="708"/>
              <w:jc w:val="both"/>
              <w:rPr>
                <w:bCs/>
                <w:iCs/>
              </w:rPr>
            </w:pPr>
            <w:r>
              <w:rPr>
                <w:bCs/>
                <w:iCs/>
              </w:rPr>
              <w:t>4.1</w:t>
            </w:r>
            <w:r>
              <w:rPr>
                <w:bCs/>
                <w:iCs/>
              </w:rPr>
              <w:tab/>
            </w:r>
            <w:r>
              <w:rPr>
                <w:bCs/>
                <w:iCs/>
              </w:rPr>
              <w:t xml:space="preserve">Salvo disposição expressa em contrário, o Gerente do Contrato atuará como representante do </w:t>
            </w:r>
            <w:r>
              <w:rPr>
                <w:b/>
                <w:bCs/>
                <w:iCs/>
              </w:rPr>
              <w:t>Contratante</w:t>
            </w:r>
            <w:r>
              <w:rPr>
                <w:bCs/>
                <w:iCs/>
              </w:rPr>
              <w:t xml:space="preserve">, competindo-lhe decidir a respeito de questões relativas ao contrato surgidas entre o </w:t>
            </w:r>
            <w:r>
              <w:rPr>
                <w:b/>
                <w:bCs/>
                <w:iCs/>
              </w:rPr>
              <w:t>Contratante</w:t>
            </w:r>
            <w:r>
              <w:rPr>
                <w:bCs/>
                <w:iCs/>
              </w:rPr>
              <w:t xml:space="preserve"> e o </w:t>
            </w:r>
            <w:r>
              <w:rPr>
                <w:b/>
                <w:bCs/>
                <w:iCs/>
              </w:rPr>
              <w:t>Contratado</w:t>
            </w:r>
            <w:r>
              <w:rPr>
                <w:bCs/>
                <w:iCs/>
              </w:rPr>
              <w:t>.</w:t>
            </w:r>
            <w:bookmarkStart w:id="403" w:name="_Hlk139266863"/>
          </w:p>
          <w:p w14:paraId="30530306">
            <w:pPr>
              <w:spacing w:before="120" w:after="120" w:line="240" w:lineRule="auto"/>
              <w:ind w:left="739" w:hanging="708"/>
              <w:jc w:val="both"/>
              <w:rPr>
                <w:bCs/>
                <w:iCs/>
              </w:rPr>
            </w:pPr>
            <w:r>
              <w:rPr>
                <w:bCs/>
                <w:iCs/>
              </w:rPr>
              <w:t>4.2</w:t>
            </w:r>
            <w:r>
              <w:rPr>
                <w:bCs/>
                <w:iCs/>
              </w:rPr>
              <w:tab/>
            </w:r>
            <w:r>
              <w:rPr>
                <w:bCs/>
                <w:iCs/>
              </w:rPr>
              <w:t xml:space="preserve">O Gerente do Contrato e a equipe de Fiscalização do </w:t>
            </w:r>
            <w:r>
              <w:rPr>
                <w:b/>
                <w:bCs/>
                <w:iCs/>
              </w:rPr>
              <w:t>Contratante</w:t>
            </w:r>
            <w:r>
              <w:rPr>
                <w:bCs/>
                <w:iCs/>
              </w:rPr>
              <w:t xml:space="preserve"> estão indicados nos </w:t>
            </w:r>
            <w:r>
              <w:rPr>
                <w:b/>
                <w:bCs/>
                <w:iCs/>
              </w:rPr>
              <w:t>DDC</w:t>
            </w:r>
            <w:bookmarkEnd w:id="403"/>
            <w:r>
              <w:rPr>
                <w:bCs/>
                <w:iCs/>
              </w:rPr>
              <w:t>.</w:t>
            </w:r>
          </w:p>
        </w:tc>
      </w:tr>
      <w:tr w14:paraId="7DB6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63CCA3C">
            <w:pPr>
              <w:pStyle w:val="83"/>
            </w:pPr>
            <w:bookmarkStart w:id="404" w:name="_Toc153209014"/>
            <w:bookmarkStart w:id="405" w:name="_Toc174522833"/>
            <w:bookmarkStart w:id="406" w:name="_Toc138437069"/>
            <w:r>
              <w:t>5.</w:t>
            </w:r>
            <w:r>
              <w:tab/>
            </w:r>
            <w:r>
              <w:t>Delegação</w:t>
            </w:r>
            <w:bookmarkEnd w:id="404"/>
            <w:bookmarkEnd w:id="405"/>
            <w:bookmarkEnd w:id="406"/>
          </w:p>
        </w:tc>
        <w:tc>
          <w:tcPr>
            <w:tcW w:w="6753" w:type="dxa"/>
          </w:tcPr>
          <w:p w14:paraId="3759E983">
            <w:pPr>
              <w:spacing w:before="120" w:after="120" w:line="240" w:lineRule="auto"/>
              <w:ind w:left="739" w:hanging="708"/>
              <w:jc w:val="both"/>
              <w:rPr>
                <w:bCs/>
                <w:iCs/>
              </w:rPr>
            </w:pPr>
            <w:r>
              <w:rPr>
                <w:bCs/>
                <w:iCs/>
              </w:rPr>
              <w:t>5.1</w:t>
            </w:r>
            <w:r>
              <w:rPr>
                <w:bCs/>
                <w:iCs/>
              </w:rPr>
              <w:tab/>
            </w:r>
            <w:r>
              <w:rPr>
                <w:bCs/>
                <w:iCs/>
              </w:rPr>
              <w:t xml:space="preserve">É facultada ao Gerente do Contrato, desde que notificado previamente o </w:t>
            </w:r>
            <w:r>
              <w:rPr>
                <w:b/>
                <w:bCs/>
                <w:iCs/>
              </w:rPr>
              <w:t>Contratado</w:t>
            </w:r>
            <w:r>
              <w:rPr>
                <w:bCs/>
                <w:iCs/>
              </w:rPr>
              <w:t>, a delegação de quaisquer de suas atribuições e responsabilidades, bem como revogar a delegação.</w:t>
            </w:r>
          </w:p>
        </w:tc>
      </w:tr>
      <w:tr w14:paraId="3125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6CF2EAA">
            <w:pPr>
              <w:pStyle w:val="83"/>
            </w:pPr>
            <w:bookmarkStart w:id="407" w:name="_Toc153209015"/>
            <w:bookmarkStart w:id="408" w:name="_Toc174522834"/>
            <w:bookmarkStart w:id="409" w:name="_Toc138437070"/>
            <w:r>
              <w:t>6.</w:t>
            </w:r>
            <w:r>
              <w:tab/>
            </w:r>
            <w:r>
              <w:t>Comunicação</w:t>
            </w:r>
            <w:bookmarkEnd w:id="407"/>
            <w:bookmarkEnd w:id="408"/>
            <w:bookmarkEnd w:id="409"/>
          </w:p>
        </w:tc>
        <w:tc>
          <w:tcPr>
            <w:tcW w:w="6753" w:type="dxa"/>
          </w:tcPr>
          <w:p w14:paraId="0B9475DB">
            <w:pPr>
              <w:spacing w:before="120" w:after="120" w:line="240" w:lineRule="auto"/>
              <w:ind w:left="739" w:hanging="708"/>
              <w:jc w:val="both"/>
              <w:rPr>
                <w:bCs/>
                <w:iCs/>
              </w:rPr>
            </w:pPr>
            <w:r>
              <w:rPr>
                <w:bCs/>
                <w:iCs/>
              </w:rPr>
              <w:t>6.1</w:t>
            </w:r>
            <w:r>
              <w:rPr>
                <w:bCs/>
                <w:iCs/>
              </w:rPr>
              <w:tab/>
            </w:r>
            <w:r>
              <w:rPr>
                <w:bCs/>
                <w:iCs/>
              </w:rPr>
              <w:t>Todas as comunicações entre as partes deverão obedecer a forma escrita. Notificações somente produzirão efeitos após sua efetiva entrega ao destinatário.</w:t>
            </w:r>
          </w:p>
          <w:p w14:paraId="20D44E15">
            <w:pPr>
              <w:spacing w:before="120" w:after="120" w:line="240" w:lineRule="auto"/>
              <w:ind w:left="739" w:hanging="708"/>
              <w:jc w:val="both"/>
              <w:rPr>
                <w:bCs/>
                <w:iCs/>
              </w:rPr>
            </w:pPr>
            <w:r>
              <w:rPr>
                <w:bCs/>
                <w:iCs/>
              </w:rPr>
              <w:t>6.2</w:t>
            </w:r>
            <w:r>
              <w:rPr>
                <w:bCs/>
                <w:iCs/>
              </w:rPr>
              <w:tab/>
            </w:r>
            <w:r>
              <w:rPr>
                <w:bCs/>
                <w:iCs/>
              </w:rPr>
              <w:t xml:space="preserve">O </w:t>
            </w:r>
            <w:r>
              <w:rPr>
                <w:b/>
                <w:bCs/>
                <w:iCs/>
              </w:rPr>
              <w:t>Contratado</w:t>
            </w:r>
            <w:r>
              <w:rPr>
                <w:bCs/>
                <w:iCs/>
              </w:rPr>
              <w:t xml:space="preserve"> deverá manter sigilo absoluto com relação a qualquer informação confidencial que venha a ter acesso, durante a execução do Contrato.</w:t>
            </w:r>
          </w:p>
          <w:p w14:paraId="1BD8D12E">
            <w:pPr>
              <w:spacing w:before="120" w:after="120" w:line="240" w:lineRule="auto"/>
              <w:jc w:val="both"/>
              <w:rPr>
                <w:b/>
                <w:bCs/>
                <w:iCs/>
                <w:u w:val="single"/>
              </w:rPr>
            </w:pPr>
            <w:bookmarkStart w:id="410" w:name="_Hlk139277995"/>
            <w:r>
              <w:rPr>
                <w:bCs/>
                <w:iCs/>
              </w:rPr>
              <w:tab/>
            </w:r>
            <w:r>
              <w:rPr>
                <w:b/>
                <w:bCs/>
                <w:iCs/>
                <w:u w:val="single"/>
              </w:rPr>
              <w:t>Diário de Obras</w:t>
            </w:r>
          </w:p>
          <w:p w14:paraId="460E0C5E">
            <w:pPr>
              <w:spacing w:before="120" w:after="120" w:line="240" w:lineRule="auto"/>
              <w:ind w:left="739" w:hanging="708"/>
              <w:jc w:val="both"/>
              <w:rPr>
                <w:bCs/>
                <w:iCs/>
              </w:rPr>
            </w:pPr>
            <w:r>
              <w:rPr>
                <w:bCs/>
                <w:iCs/>
              </w:rPr>
              <w:t>6.3</w:t>
            </w:r>
            <w:r>
              <w:rPr>
                <w:bCs/>
                <w:iCs/>
              </w:rPr>
              <w:tab/>
            </w:r>
            <w:r>
              <w:rPr>
                <w:bCs/>
                <w:iCs/>
              </w:rPr>
              <w:t xml:space="preserve">O documento hábil para comprovação, registro e atualização de todos os fatos e assuntos referentes à execução da Obra será o Diário de Obras.  Tanto o </w:t>
            </w:r>
            <w:r>
              <w:rPr>
                <w:b/>
                <w:bCs/>
                <w:iCs/>
              </w:rPr>
              <w:t>Contratado</w:t>
            </w:r>
            <w:r>
              <w:rPr>
                <w:bCs/>
                <w:iCs/>
              </w:rPr>
              <w:t xml:space="preserve"> quanto o Gerente do Contrato por meio da equipe de Fiscalização deverão proceder as anotações, objetivando a comprovação real do andamento da Obra, devendo ser visado diariamente por profissionais credenciados por ambas as Partes.</w:t>
            </w:r>
          </w:p>
          <w:bookmarkEnd w:id="410"/>
          <w:p w14:paraId="53411C58">
            <w:pPr>
              <w:spacing w:before="120" w:after="120" w:line="240" w:lineRule="auto"/>
              <w:jc w:val="both"/>
              <w:rPr>
                <w:b/>
                <w:bCs/>
                <w:iCs/>
                <w:u w:val="single"/>
              </w:rPr>
            </w:pPr>
            <w:bookmarkStart w:id="411" w:name="_Hlk139293509"/>
            <w:r>
              <w:rPr>
                <w:b/>
                <w:bCs/>
                <w:iCs/>
              </w:rPr>
              <w:tab/>
            </w:r>
            <w:r>
              <w:rPr>
                <w:b/>
                <w:bCs/>
                <w:iCs/>
                <w:u w:val="single"/>
              </w:rPr>
              <w:t>Endereço para Comunicação</w:t>
            </w:r>
          </w:p>
          <w:bookmarkEnd w:id="411"/>
          <w:p w14:paraId="1CF6F017">
            <w:pPr>
              <w:spacing w:before="120" w:after="120" w:line="240" w:lineRule="auto"/>
              <w:ind w:left="739" w:hanging="708"/>
              <w:jc w:val="both"/>
              <w:rPr>
                <w:bCs/>
                <w:iCs/>
              </w:rPr>
            </w:pPr>
            <w:r>
              <w:rPr>
                <w:bCs/>
                <w:iCs/>
              </w:rPr>
              <w:t>6.4</w:t>
            </w:r>
            <w:r>
              <w:rPr>
                <w:bCs/>
                <w:iCs/>
              </w:rPr>
              <w:tab/>
            </w:r>
            <w:r>
              <w:rPr>
                <w:bCs/>
                <w:iCs/>
              </w:rPr>
              <w:t xml:space="preserve">Os itens componentes do Contrato, como documentos e medições, deverão ser entregues no endereço indicado nos </w:t>
            </w:r>
            <w:r>
              <w:rPr>
                <w:b/>
                <w:bCs/>
                <w:iCs/>
              </w:rPr>
              <w:t>DDC</w:t>
            </w:r>
            <w:r>
              <w:rPr>
                <w:bCs/>
                <w:iCs/>
              </w:rPr>
              <w:t>.</w:t>
            </w:r>
          </w:p>
        </w:tc>
      </w:tr>
      <w:tr w14:paraId="4309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B5A6A48">
            <w:pPr>
              <w:pStyle w:val="83"/>
            </w:pPr>
            <w:bookmarkStart w:id="412" w:name="_Toc138437071"/>
            <w:bookmarkStart w:id="413" w:name="_Toc153209016"/>
            <w:bookmarkStart w:id="414" w:name="_Toc174522835"/>
            <w:r>
              <w:t>7.</w:t>
            </w:r>
            <w:r>
              <w:tab/>
            </w:r>
            <w:r>
              <w:t>Subcontratação</w:t>
            </w:r>
            <w:bookmarkEnd w:id="412"/>
            <w:bookmarkEnd w:id="413"/>
            <w:bookmarkEnd w:id="414"/>
          </w:p>
        </w:tc>
        <w:tc>
          <w:tcPr>
            <w:tcW w:w="6753" w:type="dxa"/>
          </w:tcPr>
          <w:p w14:paraId="6B0CA0D4">
            <w:pPr>
              <w:spacing w:after="240" w:line="240" w:lineRule="auto"/>
              <w:ind w:left="714" w:hanging="714"/>
              <w:jc w:val="both"/>
            </w:pPr>
            <w:r>
              <w:t>7.1</w:t>
            </w:r>
            <w:r>
              <w:rPr>
                <w:spacing w:val="-3"/>
              </w:rPr>
              <w:tab/>
            </w:r>
            <w:r>
              <w:t xml:space="preserve">O </w:t>
            </w:r>
            <w:r>
              <w:rPr>
                <w:b/>
                <w:bCs/>
              </w:rPr>
              <w:t>Contratado</w:t>
            </w:r>
            <w:r>
              <w:t xml:space="preserve"> somente poderá subcontratar parte das Obras com a autorização prévia e expressa do </w:t>
            </w:r>
            <w:r>
              <w:rPr>
                <w:b/>
                <w:bCs/>
              </w:rPr>
              <w:t>Contratante</w:t>
            </w:r>
            <w:r>
              <w:t xml:space="preserve">, conforme indicado nos </w:t>
            </w:r>
            <w:r>
              <w:rPr>
                <w:b/>
                <w:bCs/>
              </w:rPr>
              <w:t>DDC</w:t>
            </w:r>
            <w:r>
              <w:t>. A subcontratação não acarreta qualquer alteração nas obrigações contratuais do Contratado.</w:t>
            </w:r>
          </w:p>
          <w:p w14:paraId="37CC467F">
            <w:pPr>
              <w:spacing w:after="240" w:line="240" w:lineRule="auto"/>
              <w:ind w:left="714" w:hanging="714"/>
              <w:jc w:val="both"/>
            </w:pPr>
            <w:r>
              <w:t>7.2     Não será admitida a subcontratação de empresas que tenham apresentado propostas na licitação de que decorre este Contrato.</w:t>
            </w:r>
          </w:p>
          <w:p w14:paraId="29DFD513">
            <w:pPr>
              <w:spacing w:after="240" w:line="240" w:lineRule="auto"/>
              <w:ind w:left="714" w:hanging="714"/>
              <w:jc w:val="both"/>
            </w:pPr>
            <w:r>
              <w:t xml:space="preserve">7.3  Em qualquer hipótese de subcontratação, permanece a responsabilidade integral do </w:t>
            </w:r>
            <w:r>
              <w:rPr>
                <w:b/>
                <w:bCs/>
              </w:rPr>
              <w:t>Contratado</w:t>
            </w:r>
            <w:r>
              <w:t xml:space="preserve"> pela perfeita execução contratual, cabendo-lhe realizar a supervisão e coordenação das atividades da subcontratada, bem como responder perante o </w:t>
            </w:r>
            <w:r>
              <w:rPr>
                <w:b/>
                <w:bCs/>
              </w:rPr>
              <w:t xml:space="preserve">Contratante </w:t>
            </w:r>
            <w:r>
              <w:t>pelo rigoroso cumprimento das obrigações contratuais correspondentes ao objeto da subcontratação.</w:t>
            </w:r>
          </w:p>
          <w:p w14:paraId="0C90AD5D">
            <w:pPr>
              <w:spacing w:after="240" w:line="240" w:lineRule="auto"/>
              <w:ind w:left="714"/>
              <w:jc w:val="both"/>
            </w:pPr>
            <w:r>
              <w:t xml:space="preserve">7.3.1 Os serviços subcontratados, caso não satisfaçam as especificações, serão impugnados pelo Gerente do Contrato, cabendo ao </w:t>
            </w:r>
            <w:r>
              <w:rPr>
                <w:b/>
                <w:bCs/>
              </w:rPr>
              <w:t>Contratado</w:t>
            </w:r>
            <w:r>
              <w:t xml:space="preserve"> todo o ônus decorrente de sua reexecução direta ou por empresa devidamente qualificada, capacitada e de reconhecida idoneidade.</w:t>
            </w:r>
          </w:p>
          <w:p w14:paraId="59746B6C">
            <w:pPr>
              <w:spacing w:after="240" w:line="240" w:lineRule="auto"/>
              <w:ind w:left="714" w:hanging="714"/>
              <w:jc w:val="both"/>
            </w:pPr>
            <w:r>
              <w:t xml:space="preserve">7.4        A subcontratação, caso admitida, não produzirá nenhuma relação jurídica direta entre a </w:t>
            </w:r>
            <w:r>
              <w:rPr>
                <w:b/>
                <w:bCs/>
              </w:rPr>
              <w:t>Contratante</w:t>
            </w:r>
            <w:r>
              <w:t xml:space="preserve"> e o Subcontratado, não cabendo a esta demandar contra o </w:t>
            </w:r>
            <w:r>
              <w:rPr>
                <w:b/>
                <w:bCs/>
              </w:rPr>
              <w:t>Contratante</w:t>
            </w:r>
            <w:r>
              <w:t xml:space="preserve"> por qualquer questão relativa ao vínculo que mantém com o </w:t>
            </w:r>
            <w:r>
              <w:rPr>
                <w:b/>
                <w:bCs/>
              </w:rPr>
              <w:t>Contratado</w:t>
            </w:r>
            <w:r>
              <w:t xml:space="preserve">. </w:t>
            </w:r>
          </w:p>
          <w:p w14:paraId="2FAF34E4">
            <w:pPr>
              <w:spacing w:after="240" w:line="240" w:lineRule="auto"/>
              <w:ind w:left="714" w:hanging="714"/>
              <w:jc w:val="both"/>
            </w:pPr>
            <w:r>
              <w:t>7.5</w:t>
            </w:r>
            <w:r>
              <w:rPr>
                <w:spacing w:val="-3"/>
              </w:rPr>
              <w:tab/>
            </w:r>
            <w:r>
              <w:t>Estando autorizada a subcontratação, a Administração deve avaliar se o subcontratado atende aos requisitos de qualificação técnica necessários para a execução do objeto. Para tanto o contratado deve apresentar documentação que comprove a capacidade técnica do subcontratado, que será avaliada e anexada ao processo correspondente.</w:t>
            </w:r>
          </w:p>
          <w:p w14:paraId="37D3CEB5">
            <w:pPr>
              <w:spacing w:after="240" w:line="240" w:lineRule="auto"/>
              <w:ind w:left="714" w:hanging="714"/>
              <w:jc w:val="both"/>
              <w:rPr>
                <w:bCs/>
                <w:iCs/>
              </w:rPr>
            </w:pPr>
            <w:r>
              <w:t>7.6     A subcontratação não autorizada é motivo para a extinção do contrato pela Administração, por descumprimento de cláusula contratual, conforme prevê o art. 137, inciso I, da Lei 14.133/2021, sem prejuízo das penalidades cabíveis.</w:t>
            </w:r>
          </w:p>
        </w:tc>
      </w:tr>
      <w:tr w14:paraId="0ACA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3888CF1">
            <w:pPr>
              <w:pStyle w:val="83"/>
            </w:pPr>
            <w:bookmarkStart w:id="415" w:name="_Toc174522836"/>
            <w:bookmarkStart w:id="416" w:name="_Toc138437072"/>
            <w:bookmarkStart w:id="417" w:name="_Toc153209017"/>
            <w:r>
              <w:t>8.</w:t>
            </w:r>
            <w:r>
              <w:tab/>
            </w:r>
            <w:r>
              <w:t>Outros Contratados</w:t>
            </w:r>
            <w:bookmarkEnd w:id="415"/>
            <w:bookmarkEnd w:id="416"/>
            <w:bookmarkEnd w:id="417"/>
          </w:p>
        </w:tc>
        <w:tc>
          <w:tcPr>
            <w:tcW w:w="6753" w:type="dxa"/>
          </w:tcPr>
          <w:p w14:paraId="7D1035B8">
            <w:pPr>
              <w:spacing w:before="120" w:after="120" w:line="240" w:lineRule="auto"/>
              <w:ind w:left="739" w:hanging="708"/>
              <w:jc w:val="both"/>
              <w:rPr>
                <w:bCs/>
                <w:iCs/>
              </w:rPr>
            </w:pPr>
            <w:r>
              <w:rPr>
                <w:bCs/>
                <w:iCs/>
              </w:rPr>
              <w:t>8.1</w:t>
            </w:r>
            <w:r>
              <w:rPr>
                <w:bCs/>
                <w:iCs/>
              </w:rPr>
              <w:tab/>
            </w:r>
            <w:r>
              <w:rPr>
                <w:bCs/>
                <w:iCs/>
              </w:rPr>
              <w:t xml:space="preserve">O </w:t>
            </w:r>
            <w:r>
              <w:rPr>
                <w:b/>
                <w:bCs/>
                <w:iCs/>
              </w:rPr>
              <w:t>Contratado</w:t>
            </w:r>
            <w:r>
              <w:rPr>
                <w:bCs/>
                <w:iCs/>
              </w:rPr>
              <w:t xml:space="preserve"> deverá cooperar e compartilhar o Local das Obras com outros Contratados, autoridades públicas, órgãos de serviços públicos e o </w:t>
            </w:r>
            <w:r>
              <w:rPr>
                <w:b/>
                <w:bCs/>
                <w:iCs/>
              </w:rPr>
              <w:t>Contratante</w:t>
            </w:r>
            <w:r>
              <w:rPr>
                <w:bCs/>
                <w:iCs/>
              </w:rPr>
              <w:t xml:space="preserve">, nas datas indicadas nos Cronogramas de outros Contratados, como referido nos </w:t>
            </w:r>
            <w:r>
              <w:rPr>
                <w:b/>
                <w:bCs/>
                <w:iCs/>
              </w:rPr>
              <w:t>DDC</w:t>
            </w:r>
            <w:r>
              <w:rPr>
                <w:bCs/>
                <w:iCs/>
              </w:rPr>
              <w:t xml:space="preserve">.  Deverá, também, prover-lhes instalações e serviços como previsto nos Cronogramas.  O </w:t>
            </w:r>
            <w:r>
              <w:rPr>
                <w:b/>
                <w:bCs/>
                <w:iCs/>
              </w:rPr>
              <w:t>Contratante</w:t>
            </w:r>
            <w:r>
              <w:rPr>
                <w:bCs/>
                <w:iCs/>
              </w:rPr>
              <w:t xml:space="preserve"> pode modificar o Cronograma de outros Contratados, devendo notificar o </w:t>
            </w:r>
            <w:r>
              <w:rPr>
                <w:b/>
                <w:bCs/>
                <w:iCs/>
              </w:rPr>
              <w:t>Contratado</w:t>
            </w:r>
            <w:r>
              <w:rPr>
                <w:bCs/>
                <w:iCs/>
              </w:rPr>
              <w:t xml:space="preserve"> das modificações.</w:t>
            </w:r>
          </w:p>
        </w:tc>
      </w:tr>
      <w:tr w14:paraId="0579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5F8673D9">
            <w:pPr>
              <w:pStyle w:val="83"/>
            </w:pPr>
            <w:bookmarkStart w:id="418" w:name="_Toc174522837"/>
            <w:bookmarkStart w:id="419" w:name="_Toc153209018"/>
            <w:bookmarkStart w:id="420" w:name="_Toc138437073"/>
            <w:r>
              <w:t>9.</w:t>
            </w:r>
            <w:r>
              <w:tab/>
            </w:r>
            <w:r>
              <w:t>Pessoal</w:t>
            </w:r>
            <w:bookmarkEnd w:id="418"/>
            <w:bookmarkEnd w:id="419"/>
            <w:bookmarkEnd w:id="420"/>
          </w:p>
        </w:tc>
        <w:tc>
          <w:tcPr>
            <w:tcW w:w="6753" w:type="dxa"/>
          </w:tcPr>
          <w:p w14:paraId="44636388">
            <w:pPr>
              <w:spacing w:before="120" w:after="120" w:line="240" w:lineRule="auto"/>
              <w:ind w:left="739" w:hanging="708"/>
              <w:jc w:val="both"/>
              <w:rPr>
                <w:bCs/>
                <w:iCs/>
              </w:rPr>
            </w:pPr>
            <w:r>
              <w:rPr>
                <w:bCs/>
                <w:iCs/>
              </w:rPr>
              <w:t>9.1</w:t>
            </w:r>
            <w:r>
              <w:rPr>
                <w:bCs/>
                <w:iCs/>
              </w:rPr>
              <w:tab/>
            </w:r>
            <w:r>
              <w:rPr>
                <w:bCs/>
                <w:iCs/>
              </w:rPr>
              <w:t xml:space="preserve">O </w:t>
            </w:r>
            <w:r>
              <w:rPr>
                <w:b/>
                <w:bCs/>
                <w:iCs/>
              </w:rPr>
              <w:t>Contratado</w:t>
            </w:r>
            <w:r>
              <w:rPr>
                <w:bCs/>
                <w:iCs/>
              </w:rPr>
              <w:t xml:space="preserve"> deverá empregar a(s) pessoa(s) cujo(s) nome(s) conste(m) do Quadro de Pessoal Chave, conforme referido nos </w:t>
            </w:r>
            <w:r>
              <w:rPr>
                <w:b/>
                <w:bCs/>
                <w:iCs/>
              </w:rPr>
              <w:t>DDC</w:t>
            </w:r>
            <w:r>
              <w:rPr>
                <w:bCs/>
                <w:iCs/>
              </w:rPr>
              <w:t>, que irá executar as funções estabelecidas no Quadro; ou outro pessoal aprovado pelo Gerente do Contrato.  O Gerente do Contrato deverá aprovar a substituição de membro(s) do Quadro de Pessoal Chave somente se as qualificações, habilidades e experiências relevantes forem iguais ou superiores àquelas das pessoas constantes do quadro.</w:t>
            </w:r>
          </w:p>
          <w:p w14:paraId="379B1C6A">
            <w:pPr>
              <w:spacing w:before="120" w:after="120" w:line="240" w:lineRule="auto"/>
              <w:ind w:left="739" w:hanging="708"/>
              <w:jc w:val="both"/>
              <w:rPr>
                <w:bCs/>
                <w:iCs/>
              </w:rPr>
            </w:pPr>
            <w:r>
              <w:rPr>
                <w:bCs/>
                <w:iCs/>
              </w:rPr>
              <w:t>9.2</w:t>
            </w:r>
            <w:r>
              <w:rPr>
                <w:bCs/>
                <w:iCs/>
              </w:rPr>
              <w:tab/>
            </w:r>
            <w:r>
              <w:rPr>
                <w:bCs/>
                <w:iCs/>
              </w:rPr>
              <w:t xml:space="preserve">Caso o Gerente do Contrato requeira do </w:t>
            </w:r>
            <w:r>
              <w:rPr>
                <w:b/>
                <w:bCs/>
                <w:iCs/>
              </w:rPr>
              <w:t>Contratado</w:t>
            </w:r>
            <w:r>
              <w:rPr>
                <w:bCs/>
                <w:iCs/>
              </w:rPr>
              <w:t xml:space="preserve"> a remoção de membro do grupo de serviço do </w:t>
            </w:r>
            <w:r>
              <w:rPr>
                <w:b/>
                <w:bCs/>
                <w:iCs/>
              </w:rPr>
              <w:t>Contratado</w:t>
            </w:r>
            <w:r>
              <w:rPr>
                <w:bCs/>
                <w:iCs/>
              </w:rPr>
              <w:t>, deverá este assegurar a efetiva e pronta remoção do Canteiro de Obras no prazo de 10 (dez) dias a contar do pedido, desvinculando-se das Obras previstas neste Contrato.</w:t>
            </w:r>
          </w:p>
          <w:p w14:paraId="6B3164BE">
            <w:pPr>
              <w:spacing w:before="120" w:after="120" w:line="240" w:lineRule="auto"/>
              <w:ind w:left="739" w:hanging="708"/>
              <w:jc w:val="both"/>
              <w:rPr>
                <w:bCs/>
                <w:iCs/>
              </w:rPr>
            </w:pPr>
            <w:r>
              <w:rPr>
                <w:bCs/>
                <w:iCs/>
              </w:rPr>
              <w:t>9.3</w:t>
            </w:r>
            <w:r>
              <w:rPr>
                <w:bCs/>
                <w:iCs/>
              </w:rPr>
              <w:tab/>
            </w:r>
            <w:r>
              <w:rPr>
                <w:bCs/>
                <w:iCs/>
              </w:rPr>
              <w:t>O Engenheiro Residente deverá permanecer em tempo integral no Local das Obras.</w:t>
            </w:r>
          </w:p>
          <w:p w14:paraId="0E5FFD99">
            <w:pPr>
              <w:spacing w:before="120" w:after="120" w:line="240" w:lineRule="auto"/>
              <w:ind w:left="739" w:hanging="708"/>
              <w:jc w:val="both"/>
              <w:rPr>
                <w:bCs/>
                <w:iCs/>
              </w:rPr>
            </w:pPr>
            <w:r>
              <w:rPr>
                <w:bCs/>
                <w:iCs/>
              </w:rPr>
              <w:t>9.4</w:t>
            </w:r>
            <w:r>
              <w:rPr>
                <w:bCs/>
                <w:iCs/>
              </w:rPr>
              <w:tab/>
            </w:r>
            <w:r>
              <w:rPr>
                <w:bCs/>
                <w:iCs/>
              </w:rPr>
              <w:t xml:space="preserve">O </w:t>
            </w:r>
            <w:r>
              <w:rPr>
                <w:b/>
                <w:bCs/>
                <w:iCs/>
              </w:rPr>
              <w:t>Contratado</w:t>
            </w:r>
            <w:r>
              <w:rPr>
                <w:bCs/>
                <w:iCs/>
              </w:rPr>
              <w:t xml:space="preserve"> deverá definir um engenheiro devidamente credenciado, como Responsável Técnico (RT) pelos serviços contratados, devendo o </w:t>
            </w:r>
            <w:r>
              <w:rPr>
                <w:b/>
                <w:bCs/>
                <w:iCs/>
              </w:rPr>
              <w:t>Contratado</w:t>
            </w:r>
            <w:r>
              <w:rPr>
                <w:bCs/>
                <w:iCs/>
              </w:rPr>
              <w:t xml:space="preserve"> indicá-lo ao </w:t>
            </w:r>
            <w:r>
              <w:rPr>
                <w:b/>
                <w:bCs/>
                <w:iCs/>
              </w:rPr>
              <w:t>Contratante</w:t>
            </w:r>
            <w:r>
              <w:rPr>
                <w:bCs/>
                <w:iCs/>
              </w:rPr>
              <w:t>, no prazo de 10 (dez) dias após a assinatura deste Contrato.</w:t>
            </w:r>
          </w:p>
        </w:tc>
      </w:tr>
      <w:tr w14:paraId="2A61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95F7EC1">
            <w:pPr>
              <w:pStyle w:val="83"/>
            </w:pPr>
            <w:bookmarkStart w:id="421" w:name="_Toc138437074"/>
            <w:bookmarkStart w:id="422" w:name="_Toc174522838"/>
            <w:bookmarkStart w:id="423" w:name="_Toc153209019"/>
            <w:r>
              <w:t>10.</w:t>
            </w:r>
            <w:r>
              <w:tab/>
            </w:r>
            <w:r>
              <w:t>Riscos do Contratante e do Contratado</w:t>
            </w:r>
            <w:bookmarkEnd w:id="421"/>
            <w:bookmarkEnd w:id="422"/>
            <w:bookmarkEnd w:id="423"/>
          </w:p>
        </w:tc>
        <w:tc>
          <w:tcPr>
            <w:tcW w:w="6753" w:type="dxa"/>
          </w:tcPr>
          <w:p w14:paraId="11DFA0A0">
            <w:pPr>
              <w:spacing w:before="120" w:after="120" w:line="240" w:lineRule="auto"/>
              <w:ind w:left="739" w:hanging="708"/>
              <w:jc w:val="both"/>
              <w:rPr>
                <w:bCs/>
                <w:iCs/>
              </w:rPr>
            </w:pPr>
            <w:r>
              <w:rPr>
                <w:bCs/>
                <w:iCs/>
              </w:rPr>
              <w:t>10.1</w:t>
            </w:r>
            <w:r>
              <w:rPr>
                <w:bCs/>
                <w:iCs/>
              </w:rPr>
              <w:tab/>
            </w:r>
            <w:r>
              <w:rPr>
                <w:bCs/>
                <w:iCs/>
              </w:rPr>
              <w:t xml:space="preserve">O </w:t>
            </w:r>
            <w:r>
              <w:rPr>
                <w:b/>
                <w:bCs/>
                <w:iCs/>
              </w:rPr>
              <w:t>Contratante</w:t>
            </w:r>
            <w:r>
              <w:rPr>
                <w:bCs/>
                <w:iCs/>
              </w:rPr>
              <w:t xml:space="preserve"> e </w:t>
            </w:r>
            <w:r>
              <w:rPr>
                <w:b/>
                <w:bCs/>
                <w:iCs/>
              </w:rPr>
              <w:t>Contratado</w:t>
            </w:r>
            <w:r>
              <w:rPr>
                <w:bCs/>
                <w:iCs/>
              </w:rPr>
              <w:t xml:space="preserve"> são responsáveis pelos riscos previstos no Contrato conforme Cláusulas 11 e 12, respectivamente.</w:t>
            </w:r>
          </w:p>
          <w:p w14:paraId="596F8901">
            <w:pPr>
              <w:spacing w:before="120" w:after="120" w:line="240" w:lineRule="auto"/>
              <w:ind w:left="739" w:hanging="708"/>
              <w:jc w:val="both"/>
              <w:rPr>
                <w:bCs/>
                <w:iCs/>
              </w:rPr>
            </w:pPr>
            <w:r>
              <w:rPr>
                <w:bCs/>
                <w:iCs/>
              </w:rPr>
              <w:t>10.2</w:t>
            </w:r>
            <w:r>
              <w:rPr>
                <w:bCs/>
                <w:iCs/>
              </w:rPr>
              <w:tab/>
            </w:r>
            <w:r>
              <w:rPr>
                <w:bCs/>
                <w:iCs/>
              </w:rPr>
              <w:t>Não haverá quebra de contrato quando as partes não puderem cumprir as suas obrigações em consequência de um caso de força maior, tal como definido nas condições do contrato.</w:t>
            </w:r>
          </w:p>
          <w:p w14:paraId="2CA3A813">
            <w:pPr>
              <w:spacing w:before="120" w:after="120" w:line="240" w:lineRule="auto"/>
              <w:ind w:left="739" w:hanging="708"/>
              <w:jc w:val="both"/>
              <w:rPr>
                <w:bCs/>
                <w:iCs/>
              </w:rPr>
            </w:pPr>
            <w:r>
              <w:rPr>
                <w:bCs/>
                <w:iCs/>
              </w:rPr>
              <w:t>10.3</w:t>
            </w:r>
            <w:r>
              <w:rPr>
                <w:bCs/>
                <w:iCs/>
              </w:rPr>
              <w:tab/>
            </w:r>
            <w:r>
              <w:rPr>
                <w:bCs/>
                <w:iCs/>
              </w:rPr>
              <w:t xml:space="preserve">A Matriz de Riscos, caso aplicável é apresentada no Anexo ao Contrato e estabelece as responsabilidades do </w:t>
            </w:r>
            <w:r>
              <w:rPr>
                <w:b/>
                <w:bCs/>
                <w:iCs/>
              </w:rPr>
              <w:t>Contratante</w:t>
            </w:r>
            <w:r>
              <w:rPr>
                <w:bCs/>
                <w:iCs/>
              </w:rPr>
              <w:t xml:space="preserve"> e/ou </w:t>
            </w:r>
            <w:r>
              <w:rPr>
                <w:b/>
                <w:bCs/>
                <w:iCs/>
              </w:rPr>
              <w:t>Contratado</w:t>
            </w:r>
            <w:r>
              <w:rPr>
                <w:bCs/>
                <w:iCs/>
              </w:rPr>
              <w:t>.</w:t>
            </w:r>
          </w:p>
        </w:tc>
      </w:tr>
      <w:tr w14:paraId="3758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EEE0E7E">
            <w:pPr>
              <w:pStyle w:val="83"/>
            </w:pPr>
            <w:bookmarkStart w:id="424" w:name="_Toc174522839"/>
            <w:bookmarkStart w:id="425" w:name="_Toc138437075"/>
            <w:bookmarkStart w:id="426" w:name="_Toc153209020"/>
            <w:r>
              <w:t>11.</w:t>
            </w:r>
            <w:r>
              <w:tab/>
            </w:r>
            <w:r>
              <w:t>Riscos do Contratante</w:t>
            </w:r>
            <w:bookmarkEnd w:id="424"/>
            <w:bookmarkEnd w:id="425"/>
            <w:bookmarkEnd w:id="426"/>
          </w:p>
        </w:tc>
        <w:tc>
          <w:tcPr>
            <w:tcW w:w="6753" w:type="dxa"/>
          </w:tcPr>
          <w:p w14:paraId="59C586D5">
            <w:pPr>
              <w:spacing w:before="120" w:after="120" w:line="240" w:lineRule="auto"/>
              <w:ind w:left="739" w:hanging="708"/>
              <w:jc w:val="both"/>
              <w:rPr>
                <w:bCs/>
                <w:iCs/>
              </w:rPr>
            </w:pPr>
            <w:r>
              <w:rPr>
                <w:bCs/>
                <w:iCs/>
              </w:rPr>
              <w:t>11.1</w:t>
            </w:r>
            <w:r>
              <w:rPr>
                <w:bCs/>
                <w:iCs/>
              </w:rPr>
              <w:tab/>
            </w:r>
            <w:r>
              <w:rPr>
                <w:bCs/>
                <w:iCs/>
              </w:rPr>
              <w:t xml:space="preserve">Da Data de Início das Obras até a data de emissão do Termo de Recebimento Definitivo das Obras (TRD) são imputáveis ao </w:t>
            </w:r>
            <w:r>
              <w:rPr>
                <w:b/>
                <w:bCs/>
                <w:iCs/>
              </w:rPr>
              <w:t>Contratante</w:t>
            </w:r>
            <w:r>
              <w:rPr>
                <w:bCs/>
                <w:iCs/>
              </w:rPr>
              <w:t xml:space="preserve"> os seguintes riscos, além dos previsos na Matriz de Riscos, caso aplicável:</w:t>
            </w:r>
          </w:p>
          <w:p w14:paraId="36DA6F05">
            <w:pPr>
              <w:spacing w:before="120" w:after="120" w:line="240" w:lineRule="auto"/>
              <w:ind w:left="1306" w:hanging="425"/>
              <w:jc w:val="both"/>
              <w:rPr>
                <w:bCs/>
                <w:iCs/>
              </w:rPr>
            </w:pPr>
            <w:r>
              <w:rPr>
                <w:bCs/>
                <w:iCs/>
              </w:rPr>
              <w:t>(a)</w:t>
            </w:r>
            <w:r>
              <w:rPr>
                <w:bCs/>
                <w:iCs/>
              </w:rPr>
              <w:tab/>
            </w:r>
            <w:r>
              <w:rPr>
                <w:bCs/>
                <w:iCs/>
              </w:rPr>
              <w:t>dano pessoal, morte, ou perdas e danos materiais (excluindo as Obras, Instalação, Materiais e Equipamento), originados de:</w:t>
            </w:r>
          </w:p>
          <w:p w14:paraId="2EDAD6EC">
            <w:pPr>
              <w:spacing w:before="120" w:after="120" w:line="240" w:lineRule="auto"/>
              <w:ind w:left="1591" w:hanging="284"/>
              <w:jc w:val="both"/>
              <w:rPr>
                <w:bCs/>
                <w:iCs/>
              </w:rPr>
            </w:pPr>
            <w:r>
              <w:rPr>
                <w:bCs/>
                <w:iCs/>
              </w:rPr>
              <w:t>(i)</w:t>
            </w:r>
            <w:r>
              <w:rPr>
                <w:bCs/>
                <w:iCs/>
              </w:rPr>
              <w:tab/>
            </w:r>
            <w:r>
              <w:rPr>
                <w:bCs/>
                <w:iCs/>
              </w:rPr>
              <w:t xml:space="preserve">uso ou ocupação do Local das Obras pelo </w:t>
            </w:r>
            <w:r>
              <w:rPr>
                <w:b/>
                <w:bCs/>
                <w:iCs/>
              </w:rPr>
              <w:t>Contratante</w:t>
            </w:r>
            <w:r>
              <w:rPr>
                <w:bCs/>
                <w:iCs/>
              </w:rPr>
              <w:t>, salvo se para finalidade prevista no Contrato; ou,</w:t>
            </w:r>
          </w:p>
          <w:p w14:paraId="0953CBC4">
            <w:pPr>
              <w:spacing w:before="120" w:after="120" w:line="240" w:lineRule="auto"/>
              <w:ind w:left="1591" w:hanging="284"/>
              <w:jc w:val="both"/>
              <w:rPr>
                <w:bCs/>
                <w:iCs/>
              </w:rPr>
            </w:pPr>
            <w:r>
              <w:rPr>
                <w:bCs/>
                <w:iCs/>
              </w:rPr>
              <w:t>(ii)</w:t>
            </w:r>
            <w:r>
              <w:rPr>
                <w:bCs/>
                <w:iCs/>
              </w:rPr>
              <w:tab/>
            </w:r>
            <w:r>
              <w:rPr>
                <w:bCs/>
                <w:iCs/>
              </w:rPr>
              <w:t xml:space="preserve">infração a leis, normas, posturas, ou direitos protegidos por lei, imputável ao Contratante ou qualquer pessoa contratada por ele, exceto o </w:t>
            </w:r>
            <w:r>
              <w:rPr>
                <w:b/>
                <w:bCs/>
                <w:iCs/>
              </w:rPr>
              <w:t>Contratado</w:t>
            </w:r>
            <w:r>
              <w:rPr>
                <w:bCs/>
                <w:iCs/>
              </w:rPr>
              <w:t>; e</w:t>
            </w:r>
          </w:p>
          <w:p w14:paraId="1D9ACEF1">
            <w:pPr>
              <w:spacing w:before="120" w:after="120" w:line="240" w:lineRule="auto"/>
              <w:ind w:left="1306" w:hanging="425"/>
              <w:jc w:val="both"/>
              <w:rPr>
                <w:bCs/>
                <w:iCs/>
              </w:rPr>
            </w:pPr>
            <w:r>
              <w:rPr>
                <w:bCs/>
                <w:iCs/>
              </w:rPr>
              <w:t>(b)</w:t>
            </w:r>
            <w:r>
              <w:rPr>
                <w:bCs/>
                <w:iCs/>
              </w:rPr>
              <w:tab/>
            </w:r>
            <w:r>
              <w:rPr>
                <w:bCs/>
                <w:iCs/>
              </w:rPr>
              <w:t>danos à Obra, Canteiro de Obras, Materiais e Equipamentos, por interferência do Contratante, em virtude do Projeto do mesmo, ou em decorrência de guerra ou contaminação radioativa que afete diretamente o Local das Obras.</w:t>
            </w:r>
          </w:p>
          <w:p w14:paraId="71CEF949">
            <w:pPr>
              <w:spacing w:before="120" w:after="120" w:line="240" w:lineRule="auto"/>
              <w:ind w:left="739" w:hanging="708"/>
              <w:jc w:val="both"/>
              <w:rPr>
                <w:bCs/>
                <w:iCs/>
              </w:rPr>
            </w:pPr>
            <w:r>
              <w:rPr>
                <w:bCs/>
                <w:iCs/>
              </w:rPr>
              <w:t>11.2</w:t>
            </w:r>
            <w:r>
              <w:rPr>
                <w:bCs/>
                <w:iCs/>
              </w:rPr>
              <w:tab/>
            </w:r>
            <w:r>
              <w:rPr>
                <w:bCs/>
                <w:iCs/>
              </w:rPr>
              <w:t xml:space="preserve">Da Data de Conclusão até que o TRD tenha sido emitido, o risco de perdas ou danos às Obras, Instalações e Materiais é de responsabilidade do </w:t>
            </w:r>
            <w:r>
              <w:rPr>
                <w:b/>
                <w:bCs/>
                <w:iCs/>
              </w:rPr>
              <w:t>Contratante</w:t>
            </w:r>
            <w:r>
              <w:rPr>
                <w:bCs/>
                <w:iCs/>
              </w:rPr>
              <w:t>, exceto perdas ou danos decorrentes de:</w:t>
            </w:r>
          </w:p>
          <w:p w14:paraId="5E0059DF">
            <w:pPr>
              <w:spacing w:before="120" w:after="120" w:line="240" w:lineRule="auto"/>
              <w:ind w:left="1306" w:hanging="425"/>
              <w:jc w:val="both"/>
              <w:rPr>
                <w:bCs/>
                <w:iCs/>
              </w:rPr>
            </w:pPr>
            <w:r>
              <w:rPr>
                <w:bCs/>
                <w:iCs/>
              </w:rPr>
              <w:t>(a)</w:t>
            </w:r>
            <w:r>
              <w:rPr>
                <w:bCs/>
                <w:iCs/>
              </w:rPr>
              <w:tab/>
            </w:r>
            <w:r>
              <w:rPr>
                <w:bCs/>
                <w:iCs/>
              </w:rPr>
              <w:t>defeitos existentes na Data de Conclusão;</w:t>
            </w:r>
          </w:p>
          <w:p w14:paraId="200F89AB">
            <w:pPr>
              <w:spacing w:before="120" w:after="120" w:line="240" w:lineRule="auto"/>
              <w:ind w:left="1306" w:hanging="425"/>
              <w:jc w:val="both"/>
              <w:rPr>
                <w:bCs/>
                <w:iCs/>
              </w:rPr>
            </w:pPr>
            <w:r>
              <w:rPr>
                <w:bCs/>
                <w:iCs/>
              </w:rPr>
              <w:t>(b)</w:t>
            </w:r>
            <w:r>
              <w:rPr>
                <w:bCs/>
                <w:iCs/>
              </w:rPr>
              <w:tab/>
            </w:r>
            <w:r>
              <w:rPr>
                <w:bCs/>
                <w:iCs/>
              </w:rPr>
              <w:t xml:space="preserve">evento ocorrido anteriormente à Data de Conclusão, mas não especificado como risco do </w:t>
            </w:r>
            <w:r>
              <w:rPr>
                <w:b/>
                <w:bCs/>
                <w:iCs/>
              </w:rPr>
              <w:t>Contratante;</w:t>
            </w:r>
            <w:r>
              <w:rPr>
                <w:bCs/>
                <w:iCs/>
              </w:rPr>
              <w:t xml:space="preserve"> ou </w:t>
            </w:r>
          </w:p>
          <w:p w14:paraId="7D23DF0C">
            <w:pPr>
              <w:spacing w:before="120" w:after="120" w:line="240" w:lineRule="auto"/>
              <w:ind w:left="1306" w:hanging="425"/>
              <w:jc w:val="both"/>
              <w:rPr>
                <w:bCs/>
                <w:iCs/>
              </w:rPr>
            </w:pPr>
            <w:r>
              <w:rPr>
                <w:bCs/>
                <w:iCs/>
              </w:rPr>
              <w:t>(c)</w:t>
            </w:r>
            <w:r>
              <w:rPr>
                <w:bCs/>
                <w:iCs/>
              </w:rPr>
              <w:tab/>
            </w:r>
            <w:r>
              <w:rPr>
                <w:bCs/>
                <w:iCs/>
              </w:rPr>
              <w:t xml:space="preserve">atividades do </w:t>
            </w:r>
            <w:r>
              <w:rPr>
                <w:b/>
                <w:bCs/>
                <w:iCs/>
              </w:rPr>
              <w:t>Contratado</w:t>
            </w:r>
            <w:r>
              <w:rPr>
                <w:bCs/>
                <w:iCs/>
              </w:rPr>
              <w:t xml:space="preserve"> no Local das Obras após a Data de Conclusão.</w:t>
            </w:r>
          </w:p>
        </w:tc>
      </w:tr>
      <w:tr w14:paraId="399E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C86A585">
            <w:pPr>
              <w:pStyle w:val="83"/>
            </w:pPr>
            <w:bookmarkStart w:id="427" w:name="_Toc138437076"/>
            <w:bookmarkStart w:id="428" w:name="_Toc153209021"/>
            <w:bookmarkStart w:id="429" w:name="_Toc174522840"/>
            <w:r>
              <w:t>12.</w:t>
            </w:r>
            <w:r>
              <w:tab/>
            </w:r>
            <w:r>
              <w:t>Riscos do Contratado</w:t>
            </w:r>
            <w:bookmarkEnd w:id="427"/>
            <w:bookmarkEnd w:id="428"/>
            <w:bookmarkEnd w:id="429"/>
          </w:p>
        </w:tc>
        <w:tc>
          <w:tcPr>
            <w:tcW w:w="6753" w:type="dxa"/>
          </w:tcPr>
          <w:p w14:paraId="7E338E83">
            <w:pPr>
              <w:spacing w:before="120" w:after="120" w:line="240" w:lineRule="auto"/>
              <w:ind w:left="739" w:hanging="708"/>
              <w:jc w:val="both"/>
              <w:rPr>
                <w:bCs/>
                <w:iCs/>
              </w:rPr>
            </w:pPr>
            <w:r>
              <w:rPr>
                <w:bCs/>
                <w:iCs/>
              </w:rPr>
              <w:t>12.1</w:t>
            </w:r>
            <w:r>
              <w:rPr>
                <w:bCs/>
                <w:iCs/>
              </w:rPr>
              <w:tab/>
            </w:r>
            <w:r>
              <w:rPr>
                <w:bCs/>
                <w:iCs/>
              </w:rPr>
              <w:t xml:space="preserve">Da Data de Início até a emissão do TRD, os riscos de dano pessoal, morte, perdas e danos à propriedade (incluindo, sem restrições, as Obras, Canteiro de Obra, Materiais e Equipamento) não arrolados na cláusula 11 como do </w:t>
            </w:r>
            <w:r>
              <w:rPr>
                <w:b/>
                <w:bCs/>
                <w:iCs/>
              </w:rPr>
              <w:t>Contratante</w:t>
            </w:r>
            <w:r>
              <w:rPr>
                <w:bCs/>
                <w:iCs/>
              </w:rPr>
              <w:t xml:space="preserve">, serão riscos do </w:t>
            </w:r>
            <w:r>
              <w:rPr>
                <w:b/>
                <w:bCs/>
                <w:iCs/>
              </w:rPr>
              <w:t xml:space="preserve">Contratado, </w:t>
            </w:r>
            <w:r>
              <w:rPr>
                <w:bCs/>
                <w:iCs/>
              </w:rPr>
              <w:t>além dos previsos na Matriz de Riscos, caso aplicável.</w:t>
            </w:r>
          </w:p>
        </w:tc>
      </w:tr>
      <w:tr w14:paraId="09508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5C60898B">
            <w:pPr>
              <w:pStyle w:val="83"/>
            </w:pPr>
            <w:bookmarkStart w:id="430" w:name="_Toc153209022"/>
            <w:bookmarkStart w:id="431" w:name="_Toc138437077"/>
            <w:bookmarkStart w:id="432" w:name="_Toc174522841"/>
            <w:r>
              <w:t>13.</w:t>
            </w:r>
            <w:r>
              <w:tab/>
            </w:r>
            <w:r>
              <w:t>Seguro</w:t>
            </w:r>
            <w:bookmarkEnd w:id="430"/>
            <w:bookmarkEnd w:id="431"/>
            <w:bookmarkEnd w:id="432"/>
          </w:p>
        </w:tc>
        <w:tc>
          <w:tcPr>
            <w:tcW w:w="6753" w:type="dxa"/>
          </w:tcPr>
          <w:p w14:paraId="6E08EAFC">
            <w:pPr>
              <w:spacing w:before="120" w:after="120" w:line="240" w:lineRule="auto"/>
              <w:ind w:left="739" w:hanging="708"/>
              <w:jc w:val="both"/>
              <w:rPr>
                <w:bCs/>
                <w:iCs/>
              </w:rPr>
            </w:pPr>
            <w:r>
              <w:rPr>
                <w:bCs/>
                <w:iCs/>
              </w:rPr>
              <w:t>13.1</w:t>
            </w:r>
            <w:r>
              <w:rPr>
                <w:bCs/>
                <w:iCs/>
              </w:rPr>
              <w:tab/>
            </w:r>
            <w:r>
              <w:rPr>
                <w:bCs/>
                <w:iCs/>
              </w:rPr>
              <w:t xml:space="preserve">O </w:t>
            </w:r>
            <w:r>
              <w:rPr>
                <w:b/>
                <w:bCs/>
                <w:iCs/>
              </w:rPr>
              <w:t>Contratado</w:t>
            </w:r>
            <w:r>
              <w:rPr>
                <w:bCs/>
                <w:iCs/>
              </w:rPr>
              <w:t xml:space="preserve"> fica obrigado a efetuar seguro de </w:t>
            </w:r>
            <w:r>
              <w:rPr>
                <w:rFonts w:hint="eastAsia"/>
                <w:bCs/>
                <w:iCs/>
              </w:rPr>
              <w:t>r</w:t>
            </w:r>
            <w:r>
              <w:rPr>
                <w:bCs/>
                <w:iCs/>
              </w:rPr>
              <w:t xml:space="preserve">iscos de engenharia, desde a Data de Início até o final do Período de Correção de Defeitos, tendo como beneficiários o </w:t>
            </w:r>
            <w:r>
              <w:rPr>
                <w:b/>
                <w:bCs/>
                <w:iCs/>
              </w:rPr>
              <w:t>Contratante</w:t>
            </w:r>
            <w:r>
              <w:rPr>
                <w:bCs/>
                <w:iCs/>
              </w:rPr>
              <w:t xml:space="preserve"> e o próprio </w:t>
            </w:r>
            <w:r>
              <w:rPr>
                <w:b/>
                <w:bCs/>
                <w:iCs/>
              </w:rPr>
              <w:t>Contratado</w:t>
            </w:r>
            <w:r>
              <w:rPr>
                <w:bCs/>
                <w:iCs/>
              </w:rPr>
              <w:t xml:space="preserve">, com importância segurada idêntica ao Preço do Contrato.  Esse seguro deve garantir todas as perdas e danos de qualquer natureza, nos termos do contrato, sem limitar as obrigações e responsabilidades do </w:t>
            </w:r>
            <w:r>
              <w:rPr>
                <w:b/>
                <w:bCs/>
                <w:iCs/>
              </w:rPr>
              <w:t>Contratado</w:t>
            </w:r>
            <w:r>
              <w:rPr>
                <w:bCs/>
                <w:iCs/>
              </w:rPr>
              <w:t>, especialmente as previstas no art. 618 do Código Civil Brasileiro.</w:t>
            </w:r>
          </w:p>
          <w:p w14:paraId="56B6EF7A">
            <w:pPr>
              <w:spacing w:before="120" w:after="120" w:line="240" w:lineRule="auto"/>
              <w:ind w:left="739" w:hanging="708"/>
              <w:jc w:val="both"/>
              <w:rPr>
                <w:bCs/>
                <w:iCs/>
              </w:rPr>
            </w:pPr>
            <w:r>
              <w:rPr>
                <w:bCs/>
                <w:iCs/>
              </w:rPr>
              <w:t>13.1.1</w:t>
            </w:r>
            <w:r>
              <w:rPr>
                <w:bCs/>
                <w:iCs/>
              </w:rPr>
              <w:tab/>
            </w:r>
            <w:r>
              <w:rPr>
                <w:bCs/>
                <w:iCs/>
              </w:rPr>
              <w:t>No contrato de seguro de</w:t>
            </w:r>
            <w:r>
              <w:rPr>
                <w:rFonts w:hint="eastAsia"/>
                <w:bCs/>
                <w:iCs/>
              </w:rPr>
              <w:t xml:space="preserve"> r</w:t>
            </w:r>
            <w:r>
              <w:rPr>
                <w:bCs/>
                <w:iCs/>
              </w:rPr>
              <w:t xml:space="preserve">iscos de engenharia deverá constar, obrigatoriamente, além da cobertura básica, as seguintes coberturas adicionais de, salvo indicado de forma diferente nos </w:t>
            </w:r>
            <w:r>
              <w:rPr>
                <w:b/>
                <w:bCs/>
                <w:iCs/>
              </w:rPr>
              <w:t>DDC</w:t>
            </w:r>
            <w:r>
              <w:rPr>
                <w:bCs/>
                <w:iCs/>
              </w:rPr>
              <w:t>:</w:t>
            </w:r>
          </w:p>
          <w:p w14:paraId="751F611D">
            <w:pPr>
              <w:spacing w:before="120" w:after="120" w:line="240" w:lineRule="auto"/>
              <w:ind w:left="1027" w:hanging="426"/>
            </w:pPr>
            <w:r>
              <w:t>(a)</w:t>
            </w:r>
            <w:r>
              <w:tab/>
            </w:r>
            <w:r>
              <w:t>despesas extraordinárias;</w:t>
            </w:r>
          </w:p>
          <w:p w14:paraId="1C9FCDBC">
            <w:pPr>
              <w:spacing w:before="120" w:after="120" w:line="240" w:lineRule="auto"/>
              <w:ind w:left="1027" w:hanging="426"/>
            </w:pPr>
            <w:r>
              <w:t>(b)</w:t>
            </w:r>
            <w:r>
              <w:tab/>
            </w:r>
            <w:r>
              <w:t>despesas de desentulho;</w:t>
            </w:r>
          </w:p>
          <w:p w14:paraId="7A9FCB41">
            <w:pPr>
              <w:spacing w:before="120" w:after="120" w:line="240" w:lineRule="auto"/>
              <w:ind w:left="1027" w:hanging="426"/>
            </w:pPr>
            <w:r>
              <w:t>(c)</w:t>
            </w:r>
            <w:r>
              <w:tab/>
            </w:r>
            <w:r>
              <w:t>equipamentos utilizados na obra;</w:t>
            </w:r>
          </w:p>
          <w:p w14:paraId="5EAEE396">
            <w:pPr>
              <w:spacing w:before="120" w:after="120" w:line="240" w:lineRule="auto"/>
              <w:ind w:left="1027" w:hanging="426"/>
            </w:pPr>
            <w:r>
              <w:t>(d)</w:t>
            </w:r>
            <w:r>
              <w:tab/>
            </w:r>
            <w:r>
              <w:t>erro na elaboração do projeto e na execução da obra/serviço; e</w:t>
            </w:r>
          </w:p>
          <w:p w14:paraId="13FEBF78">
            <w:pPr>
              <w:spacing w:before="120" w:after="120" w:line="240" w:lineRule="auto"/>
              <w:ind w:left="1027" w:hanging="426"/>
            </w:pPr>
            <w:r>
              <w:t>(e)</w:t>
            </w:r>
            <w:r>
              <w:tab/>
            </w:r>
            <w:r>
              <w:t>responsabilidade civil geral/cruzada.</w:t>
            </w:r>
          </w:p>
          <w:p w14:paraId="28409EC9">
            <w:pPr>
              <w:spacing w:before="120" w:after="120" w:line="240" w:lineRule="auto"/>
              <w:ind w:left="739" w:hanging="708"/>
              <w:jc w:val="both"/>
              <w:rPr>
                <w:bCs/>
                <w:iCs/>
              </w:rPr>
            </w:pPr>
            <w:r>
              <w:rPr>
                <w:bCs/>
                <w:iCs/>
              </w:rPr>
              <w:t>13.2</w:t>
            </w:r>
            <w:r>
              <w:rPr>
                <w:bCs/>
                <w:iCs/>
              </w:rPr>
              <w:tab/>
            </w:r>
            <w:r>
              <w:rPr>
                <w:bCs/>
                <w:iCs/>
              </w:rPr>
              <w:t>O</w:t>
            </w:r>
            <w:r>
              <w:rPr>
                <w:b/>
                <w:bCs/>
                <w:iCs/>
              </w:rPr>
              <w:t xml:space="preserve"> Contratado</w:t>
            </w:r>
            <w:r>
              <w:rPr>
                <w:bCs/>
                <w:iCs/>
              </w:rPr>
              <w:t xml:space="preserve"> deverá providenciar as apólices e certificados de seguro, apresentando-os para aprovação do Gerente do Contrato antes da Data de Início das Obras.</w:t>
            </w:r>
          </w:p>
          <w:p w14:paraId="6F5A2EA3">
            <w:pPr>
              <w:spacing w:before="120" w:after="120" w:line="240" w:lineRule="auto"/>
              <w:ind w:left="739" w:hanging="708"/>
              <w:jc w:val="both"/>
              <w:rPr>
                <w:bCs/>
                <w:iCs/>
              </w:rPr>
            </w:pPr>
            <w:r>
              <w:rPr>
                <w:bCs/>
                <w:iCs/>
              </w:rPr>
              <w:t>13.3</w:t>
            </w:r>
            <w:r>
              <w:rPr>
                <w:bCs/>
                <w:iCs/>
              </w:rPr>
              <w:tab/>
            </w:r>
            <w:r>
              <w:rPr>
                <w:bCs/>
                <w:iCs/>
              </w:rPr>
              <w:t xml:space="preserve">Se o </w:t>
            </w:r>
            <w:r>
              <w:rPr>
                <w:b/>
                <w:bCs/>
                <w:iCs/>
              </w:rPr>
              <w:t>Contratado</w:t>
            </w:r>
            <w:r>
              <w:rPr>
                <w:bCs/>
                <w:iCs/>
              </w:rPr>
              <w:t xml:space="preserve"> não cumprir o contido na subcláusula anterior, poderá o </w:t>
            </w:r>
            <w:r>
              <w:rPr>
                <w:b/>
                <w:bCs/>
                <w:iCs/>
              </w:rPr>
              <w:t>Contratante</w:t>
            </w:r>
            <w:r>
              <w:rPr>
                <w:bCs/>
                <w:iCs/>
              </w:rPr>
              <w:t xml:space="preserve"> tomar as providências no sentido de obter as apólices e certificados, ressarcindo-se dos prêmios que tenha pagado mediante dedução nos pagamentos devidos ao </w:t>
            </w:r>
            <w:r>
              <w:rPr>
                <w:b/>
                <w:bCs/>
                <w:iCs/>
              </w:rPr>
              <w:t>Contratado</w:t>
            </w:r>
            <w:r>
              <w:rPr>
                <w:bCs/>
                <w:iCs/>
              </w:rPr>
              <w:t xml:space="preserve">.  Caso nenhum pagamento seja devido, o valor dos prêmios vincendos será debitado ao </w:t>
            </w:r>
            <w:r>
              <w:rPr>
                <w:b/>
                <w:bCs/>
                <w:iCs/>
              </w:rPr>
              <w:t>Contratado</w:t>
            </w:r>
            <w:r>
              <w:rPr>
                <w:bCs/>
                <w:iCs/>
              </w:rPr>
              <w:t>.</w:t>
            </w:r>
          </w:p>
          <w:p w14:paraId="3C629ED2">
            <w:pPr>
              <w:spacing w:before="120" w:after="120" w:line="240" w:lineRule="auto"/>
              <w:ind w:left="739" w:hanging="708"/>
              <w:jc w:val="both"/>
              <w:rPr>
                <w:bCs/>
                <w:iCs/>
              </w:rPr>
            </w:pPr>
            <w:r>
              <w:rPr>
                <w:bCs/>
                <w:iCs/>
              </w:rPr>
              <w:t>13.4</w:t>
            </w:r>
            <w:r>
              <w:rPr>
                <w:bCs/>
                <w:iCs/>
              </w:rPr>
              <w:tab/>
            </w:r>
            <w:r>
              <w:rPr>
                <w:bCs/>
                <w:iCs/>
              </w:rPr>
              <w:t>Eventuais alterações nos termos da apólice de seguros só serão admitidas após aprovação expressa do Gerente do Contrato.</w:t>
            </w:r>
          </w:p>
          <w:p w14:paraId="591A3D40">
            <w:pPr>
              <w:spacing w:before="120" w:after="120" w:line="240" w:lineRule="auto"/>
              <w:ind w:left="739" w:hanging="708"/>
              <w:jc w:val="both"/>
              <w:rPr>
                <w:bCs/>
                <w:iCs/>
              </w:rPr>
            </w:pPr>
            <w:r>
              <w:rPr>
                <w:bCs/>
                <w:iCs/>
              </w:rPr>
              <w:t>13.5</w:t>
            </w:r>
            <w:r>
              <w:rPr>
                <w:bCs/>
                <w:iCs/>
              </w:rPr>
              <w:tab/>
            </w:r>
            <w:r>
              <w:rPr>
                <w:bCs/>
                <w:iCs/>
              </w:rPr>
              <w:t>Ambas as partes deverão concordar com os termos das apólices de seguro.</w:t>
            </w:r>
          </w:p>
        </w:tc>
      </w:tr>
      <w:tr w14:paraId="29D5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2364EE3">
            <w:pPr>
              <w:pStyle w:val="83"/>
            </w:pPr>
            <w:bookmarkStart w:id="433" w:name="_Toc174522842"/>
            <w:bookmarkStart w:id="434" w:name="_Toc138437078"/>
            <w:bookmarkStart w:id="435" w:name="_Toc153209023"/>
            <w:r>
              <w:t>14.</w:t>
            </w:r>
            <w:r>
              <w:tab/>
            </w:r>
            <w:r>
              <w:t>Relatório de Inspeção ao Local das Obras</w:t>
            </w:r>
            <w:bookmarkEnd w:id="433"/>
            <w:bookmarkEnd w:id="434"/>
            <w:bookmarkEnd w:id="435"/>
          </w:p>
        </w:tc>
        <w:tc>
          <w:tcPr>
            <w:tcW w:w="6753" w:type="dxa"/>
          </w:tcPr>
          <w:p w14:paraId="7610876F">
            <w:pPr>
              <w:spacing w:before="120" w:after="120" w:line="240" w:lineRule="auto"/>
              <w:ind w:left="739" w:hanging="708"/>
              <w:jc w:val="both"/>
              <w:rPr>
                <w:bCs/>
                <w:iCs/>
              </w:rPr>
            </w:pPr>
            <w:r>
              <w:rPr>
                <w:bCs/>
                <w:iCs/>
              </w:rPr>
              <w:t>14.1</w:t>
            </w:r>
            <w:r>
              <w:rPr>
                <w:bCs/>
                <w:iCs/>
              </w:rPr>
              <w:tab/>
            </w:r>
            <w:r>
              <w:rPr>
                <w:bCs/>
                <w:iCs/>
              </w:rPr>
              <w:t xml:space="preserve">O Relatório de Inspeção ao Local das Obras deverá ser entregue, em caráter preliminar pelo </w:t>
            </w:r>
            <w:r>
              <w:rPr>
                <w:b/>
                <w:bCs/>
                <w:iCs/>
              </w:rPr>
              <w:t>Contratado</w:t>
            </w:r>
            <w:r>
              <w:rPr>
                <w:bCs/>
                <w:iCs/>
              </w:rPr>
              <w:t xml:space="preserve">, até o prazo de 10 (dez) dias da assinatura do Contrato, salvo indicado de forma diferente nos </w:t>
            </w:r>
            <w:r>
              <w:rPr>
                <w:b/>
                <w:bCs/>
                <w:iCs/>
              </w:rPr>
              <w:t>DDC</w:t>
            </w:r>
            <w:r>
              <w:rPr>
                <w:bCs/>
                <w:iCs/>
              </w:rPr>
              <w:t>.</w:t>
            </w:r>
          </w:p>
          <w:p w14:paraId="73EF09D0">
            <w:pPr>
              <w:spacing w:before="120" w:after="120" w:line="240" w:lineRule="auto"/>
              <w:ind w:left="739" w:hanging="708"/>
              <w:jc w:val="both"/>
              <w:rPr>
                <w:bCs/>
                <w:iCs/>
              </w:rPr>
            </w:pPr>
            <w:r>
              <w:rPr>
                <w:bCs/>
                <w:iCs/>
              </w:rPr>
              <w:t>14.2</w:t>
            </w:r>
            <w:r>
              <w:rPr>
                <w:bCs/>
                <w:iCs/>
              </w:rPr>
              <w:tab/>
            </w:r>
            <w:r>
              <w:rPr>
                <w:bCs/>
                <w:iCs/>
              </w:rPr>
              <w:t>Este relatório deverá ser aprovado pela Fiscalização da obra para posterior emissão da Ordem de Serviço (OS).</w:t>
            </w:r>
          </w:p>
          <w:p w14:paraId="6889BD95">
            <w:pPr>
              <w:spacing w:before="120" w:after="120" w:line="240" w:lineRule="auto"/>
              <w:ind w:left="739" w:hanging="708"/>
              <w:jc w:val="both"/>
              <w:rPr>
                <w:bCs/>
                <w:iCs/>
              </w:rPr>
            </w:pPr>
            <w:r>
              <w:rPr>
                <w:bCs/>
                <w:iCs/>
              </w:rPr>
              <w:t>14.3</w:t>
            </w:r>
            <w:r>
              <w:rPr>
                <w:bCs/>
                <w:iCs/>
              </w:rPr>
              <w:tab/>
            </w:r>
            <w:r>
              <w:rPr>
                <w:bCs/>
                <w:iCs/>
              </w:rPr>
              <w:t xml:space="preserve">O </w:t>
            </w:r>
            <w:r>
              <w:rPr>
                <w:b/>
                <w:bCs/>
                <w:iCs/>
              </w:rPr>
              <w:t>Contratado</w:t>
            </w:r>
            <w:r>
              <w:rPr>
                <w:bCs/>
                <w:iCs/>
              </w:rPr>
              <w:t xml:space="preserve">, ao preparar seu Relatório de Inspeção ao Local das Obras, deverá levar em conta toda informação constante fornecida pelo </w:t>
            </w:r>
            <w:r>
              <w:rPr>
                <w:b/>
                <w:bCs/>
                <w:iCs/>
              </w:rPr>
              <w:t>Contratante</w:t>
            </w:r>
            <w:r>
              <w:rPr>
                <w:bCs/>
                <w:iCs/>
              </w:rPr>
              <w:t>.</w:t>
            </w:r>
          </w:p>
          <w:p w14:paraId="06D44F21">
            <w:pPr>
              <w:spacing w:before="120" w:after="120" w:line="240" w:lineRule="auto"/>
              <w:ind w:left="739" w:hanging="708"/>
              <w:jc w:val="both"/>
              <w:rPr>
                <w:bCs/>
                <w:iCs/>
              </w:rPr>
            </w:pPr>
            <w:r>
              <w:rPr>
                <w:bCs/>
                <w:iCs/>
              </w:rPr>
              <w:t>14.4</w:t>
            </w:r>
            <w:r>
              <w:rPr>
                <w:bCs/>
                <w:iCs/>
              </w:rPr>
              <w:tab/>
            </w:r>
            <w:r>
              <w:rPr>
                <w:bCs/>
                <w:iCs/>
              </w:rPr>
              <w:t>O Relatório de Inspeção deverá ser detalhado e conter informações sobre o local e a área que ficará englobada pelo Canteiro de Obras.</w:t>
            </w:r>
          </w:p>
        </w:tc>
      </w:tr>
      <w:tr w14:paraId="3F01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7E90F18">
            <w:pPr>
              <w:pStyle w:val="83"/>
            </w:pPr>
            <w:bookmarkStart w:id="436" w:name="_Toc174522843"/>
            <w:bookmarkStart w:id="437" w:name="_Toc153209024"/>
            <w:r>
              <w:t>15.</w:t>
            </w:r>
            <w:r>
              <w:tab/>
            </w:r>
            <w:r>
              <w:t>Obrigações do Contratante</w:t>
            </w:r>
            <w:bookmarkEnd w:id="436"/>
            <w:bookmarkEnd w:id="437"/>
          </w:p>
        </w:tc>
        <w:tc>
          <w:tcPr>
            <w:tcW w:w="6753" w:type="dxa"/>
          </w:tcPr>
          <w:p w14:paraId="08307979">
            <w:pPr>
              <w:spacing w:before="120" w:after="120" w:line="240" w:lineRule="auto"/>
              <w:ind w:left="739" w:hanging="708"/>
              <w:jc w:val="both"/>
              <w:rPr>
                <w:bCs/>
                <w:iCs/>
              </w:rPr>
            </w:pPr>
            <w:r>
              <w:rPr>
                <w:bCs/>
                <w:iCs/>
              </w:rPr>
              <w:t>15.1</w:t>
            </w:r>
            <w:r>
              <w:rPr>
                <w:bCs/>
                <w:iCs/>
              </w:rPr>
              <w:tab/>
            </w:r>
            <w:r>
              <w:rPr>
                <w:b/>
                <w:bCs/>
                <w:iCs/>
                <w:u w:val="single"/>
              </w:rPr>
              <w:t>São obrigações do Contratante</w:t>
            </w:r>
            <w:r>
              <w:rPr>
                <w:bCs/>
                <w:iCs/>
              </w:rPr>
              <w:t>:</w:t>
            </w:r>
          </w:p>
          <w:p w14:paraId="5C09C16E">
            <w:pPr>
              <w:spacing w:before="120" w:after="120" w:line="240" w:lineRule="auto"/>
              <w:ind w:left="1306" w:hanging="425"/>
              <w:jc w:val="both"/>
              <w:rPr>
                <w:bCs/>
                <w:iCs/>
              </w:rPr>
            </w:pPr>
            <w:bookmarkStart w:id="438" w:name="_Hlk139200849"/>
            <w:r>
              <w:rPr>
                <w:bCs/>
                <w:iCs/>
              </w:rPr>
              <w:t>(a)</w:t>
            </w:r>
            <w:r>
              <w:rPr>
                <w:bCs/>
                <w:iCs/>
              </w:rPr>
              <w:tab/>
            </w:r>
            <w:r>
              <w:rPr>
                <w:bCs/>
                <w:iCs/>
              </w:rPr>
              <w:t>emitir as Ordens de Serviço (OS) necessárias;</w:t>
            </w:r>
          </w:p>
          <w:p w14:paraId="33C63189">
            <w:pPr>
              <w:spacing w:before="120" w:after="120" w:line="240" w:lineRule="auto"/>
              <w:ind w:left="1306" w:hanging="425"/>
              <w:jc w:val="both"/>
              <w:rPr>
                <w:bCs/>
                <w:iCs/>
              </w:rPr>
            </w:pPr>
            <w:r>
              <w:rPr>
                <w:bCs/>
                <w:iCs/>
              </w:rPr>
              <w:t>(b)</w:t>
            </w:r>
            <w:r>
              <w:rPr>
                <w:bCs/>
                <w:iCs/>
              </w:rPr>
              <w:tab/>
            </w:r>
            <w:r>
              <w:rPr>
                <w:bCs/>
                <w:iCs/>
              </w:rPr>
              <w:t xml:space="preserve">acesso à Área das Obras: O </w:t>
            </w:r>
            <w:r>
              <w:rPr>
                <w:b/>
                <w:bCs/>
                <w:iCs/>
              </w:rPr>
              <w:t>Contratante</w:t>
            </w:r>
            <w:r>
              <w:rPr>
                <w:bCs/>
                <w:iCs/>
              </w:rPr>
              <w:t xml:space="preserve"> garante que o </w:t>
            </w:r>
            <w:r>
              <w:rPr>
                <w:b/>
                <w:bCs/>
                <w:iCs/>
              </w:rPr>
              <w:t>Contratado</w:t>
            </w:r>
            <w:r>
              <w:rPr>
                <w:bCs/>
                <w:iCs/>
              </w:rPr>
              <w:t xml:space="preserve"> terá acesso livre e gratuito à área das Obras.  O </w:t>
            </w:r>
            <w:r>
              <w:rPr>
                <w:b/>
                <w:bCs/>
                <w:iCs/>
              </w:rPr>
              <w:t>Contratante</w:t>
            </w:r>
            <w:r>
              <w:rPr>
                <w:bCs/>
                <w:iCs/>
              </w:rPr>
              <w:t xml:space="preserve"> será responsável por quaisquer danos à área das Obras ou a qualquer propriedade existente na mesma que o mencionado acesso possa ocasionar e indenizará o </w:t>
            </w:r>
            <w:r>
              <w:rPr>
                <w:b/>
                <w:bCs/>
                <w:iCs/>
              </w:rPr>
              <w:t>Contratado</w:t>
            </w:r>
            <w:r>
              <w:rPr>
                <w:bCs/>
                <w:iCs/>
              </w:rPr>
              <w:t xml:space="preserve"> em função desses danos, a menos que esses danos sejam causados pelo descumprimento das obrigações ou por negligência do </w:t>
            </w:r>
            <w:r>
              <w:rPr>
                <w:b/>
                <w:bCs/>
                <w:iCs/>
              </w:rPr>
              <w:t>Contratado</w:t>
            </w:r>
            <w:r>
              <w:rPr>
                <w:bCs/>
                <w:iCs/>
              </w:rPr>
              <w:t>, dos Subcontratados ou dos Profissionais de cada um deles;</w:t>
            </w:r>
          </w:p>
          <w:p w14:paraId="53FA0003">
            <w:pPr>
              <w:spacing w:before="120" w:after="120" w:line="240" w:lineRule="auto"/>
              <w:ind w:left="1306" w:hanging="425"/>
              <w:jc w:val="both"/>
              <w:rPr>
                <w:bCs/>
                <w:iCs/>
              </w:rPr>
            </w:pPr>
            <w:r>
              <w:rPr>
                <w:bCs/>
                <w:iCs/>
              </w:rPr>
              <w:t>(c)</w:t>
            </w:r>
            <w:r>
              <w:rPr>
                <w:bCs/>
                <w:iCs/>
              </w:rPr>
              <w:tab/>
            </w:r>
            <w:r>
              <w:rPr>
                <w:bCs/>
                <w:iCs/>
              </w:rPr>
              <w:t>fornecer a</w:t>
            </w:r>
            <w:r>
              <w:rPr>
                <w:bCs/>
                <w:iCs/>
                <w:lang w:val="pt-PT"/>
              </w:rPr>
              <w:t>o</w:t>
            </w:r>
            <w:r>
              <w:rPr>
                <w:bCs/>
                <w:iCs/>
              </w:rPr>
              <w:t xml:space="preserve"> Contratado</w:t>
            </w:r>
            <w:r>
              <w:rPr>
                <w:b/>
                <w:bCs/>
                <w:iCs/>
              </w:rPr>
              <w:t xml:space="preserve"> </w:t>
            </w:r>
            <w:r>
              <w:rPr>
                <w:bCs/>
                <w:iCs/>
              </w:rPr>
              <w:t>todos os elementos e dados necessários à perfeita execução do objeto deste contrato;</w:t>
            </w:r>
          </w:p>
          <w:p w14:paraId="3FC14AEA">
            <w:pPr>
              <w:spacing w:before="120" w:after="120" w:line="240" w:lineRule="auto"/>
              <w:ind w:left="1306" w:hanging="425"/>
              <w:jc w:val="both"/>
              <w:rPr>
                <w:bCs/>
                <w:iCs/>
              </w:rPr>
            </w:pPr>
            <w:r>
              <w:rPr>
                <w:bCs/>
                <w:iCs/>
              </w:rPr>
              <w:t>(d)</w:t>
            </w:r>
            <w:r>
              <w:rPr>
                <w:bCs/>
                <w:iCs/>
              </w:rPr>
              <w:tab/>
            </w:r>
            <w:r>
              <w:rPr>
                <w:bCs/>
                <w:iCs/>
              </w:rPr>
              <w:t>verificar se está sendo colocada à disposição das Obras a equipe técnica prevista na proposta;</w:t>
            </w:r>
          </w:p>
          <w:p w14:paraId="620D8C67">
            <w:pPr>
              <w:spacing w:before="120" w:after="120" w:line="240" w:lineRule="auto"/>
              <w:ind w:left="1306" w:hanging="425"/>
              <w:jc w:val="both"/>
              <w:rPr>
                <w:bCs/>
                <w:iCs/>
              </w:rPr>
            </w:pPr>
            <w:r>
              <w:rPr>
                <w:bCs/>
                <w:iCs/>
              </w:rPr>
              <w:t>(e)</w:t>
            </w:r>
            <w:r>
              <w:rPr>
                <w:bCs/>
                <w:iCs/>
              </w:rPr>
              <w:tab/>
            </w:r>
            <w:r>
              <w:rPr>
                <w:bCs/>
                <w:iCs/>
              </w:rPr>
              <w:t xml:space="preserve">comunicar ao </w:t>
            </w:r>
            <w:r>
              <w:rPr>
                <w:b/>
                <w:bCs/>
                <w:iCs/>
              </w:rPr>
              <w:t>Contratado</w:t>
            </w:r>
            <w:r>
              <w:rPr>
                <w:bCs/>
                <w:iCs/>
              </w:rPr>
              <w:t xml:space="preserve"> a necessidade de substituição de qualquer profissional indesejado;</w:t>
            </w:r>
          </w:p>
          <w:p w14:paraId="094E7DB0">
            <w:pPr>
              <w:spacing w:before="120" w:after="120" w:line="240" w:lineRule="auto"/>
              <w:ind w:left="1306" w:hanging="425"/>
              <w:jc w:val="both"/>
              <w:rPr>
                <w:bCs/>
                <w:iCs/>
              </w:rPr>
            </w:pPr>
            <w:r>
              <w:rPr>
                <w:bCs/>
                <w:iCs/>
              </w:rPr>
              <w:t>(f)</w:t>
            </w:r>
            <w:r>
              <w:rPr>
                <w:b/>
                <w:bCs/>
                <w:iCs/>
              </w:rPr>
              <w:tab/>
            </w:r>
            <w:r>
              <w:rPr>
                <w:bCs/>
                <w:iCs/>
              </w:rPr>
              <w:t>verificar se estão sendo utilizados os equipamentos necessários à execução das Obras;</w:t>
            </w:r>
          </w:p>
          <w:p w14:paraId="0882F28B">
            <w:pPr>
              <w:spacing w:before="120" w:after="120" w:line="240" w:lineRule="auto"/>
              <w:ind w:left="1306" w:hanging="425"/>
              <w:jc w:val="both"/>
              <w:rPr>
                <w:bCs/>
                <w:iCs/>
              </w:rPr>
            </w:pPr>
            <w:r>
              <w:rPr>
                <w:bCs/>
                <w:iCs/>
              </w:rPr>
              <w:t>(g)</w:t>
            </w:r>
            <w:r>
              <w:rPr>
                <w:b/>
                <w:bCs/>
                <w:iCs/>
              </w:rPr>
              <w:t xml:space="preserve"> </w:t>
            </w:r>
            <w:r>
              <w:rPr>
                <w:b/>
                <w:bCs/>
                <w:iCs/>
              </w:rPr>
              <w:tab/>
            </w:r>
            <w:r>
              <w:rPr>
                <w:bCs/>
                <w:iCs/>
              </w:rPr>
              <w:t xml:space="preserve">auxiliar o </w:t>
            </w:r>
            <w:r>
              <w:rPr>
                <w:b/>
                <w:bCs/>
                <w:iCs/>
              </w:rPr>
              <w:t>Contratado</w:t>
            </w:r>
            <w:r>
              <w:rPr>
                <w:bCs/>
                <w:iCs/>
              </w:rPr>
              <w:t xml:space="preserve"> na obtenção de permissões, licenças e aprovações necessárias ao andamento das Obras;</w:t>
            </w:r>
          </w:p>
          <w:p w14:paraId="3726DF99">
            <w:pPr>
              <w:spacing w:before="120" w:after="120" w:line="240" w:lineRule="auto"/>
              <w:ind w:left="1306" w:hanging="425"/>
              <w:jc w:val="both"/>
              <w:rPr>
                <w:bCs/>
                <w:iCs/>
              </w:rPr>
            </w:pPr>
            <w:r>
              <w:rPr>
                <w:bCs/>
                <w:iCs/>
              </w:rPr>
              <w:t>(h)</w:t>
            </w:r>
            <w:r>
              <w:rPr>
                <w:b/>
                <w:bCs/>
                <w:iCs/>
              </w:rPr>
              <w:tab/>
            </w:r>
            <w:r>
              <w:rPr>
                <w:bCs/>
                <w:iCs/>
              </w:rPr>
              <w:t>acompanhar e fiscalizar a execução das Obras, por meio da Fiscalização e Supervisão;</w:t>
            </w:r>
          </w:p>
          <w:p w14:paraId="151F9A49">
            <w:pPr>
              <w:spacing w:before="120" w:after="120" w:line="240" w:lineRule="auto"/>
              <w:ind w:left="1306" w:hanging="425"/>
              <w:jc w:val="both"/>
              <w:rPr>
                <w:bCs/>
                <w:iCs/>
              </w:rPr>
            </w:pPr>
            <w:r>
              <w:rPr>
                <w:bCs/>
                <w:iCs/>
              </w:rPr>
              <w:t>(i)</w:t>
            </w:r>
            <w:r>
              <w:rPr>
                <w:b/>
                <w:bCs/>
                <w:iCs/>
              </w:rPr>
              <w:tab/>
            </w:r>
            <w:r>
              <w:rPr>
                <w:bCs/>
                <w:iCs/>
              </w:rPr>
              <w:t>exercer o controle sobre o cronograma de execução das Obras, aprovando os eventuais ajustes que ocorrerem durante o desenvolvimento das mesmas;</w:t>
            </w:r>
          </w:p>
          <w:p w14:paraId="7FB3A3F7">
            <w:pPr>
              <w:spacing w:before="120" w:after="120" w:line="240" w:lineRule="auto"/>
              <w:ind w:left="1306" w:hanging="425"/>
              <w:jc w:val="both"/>
              <w:rPr>
                <w:bCs/>
                <w:iCs/>
              </w:rPr>
            </w:pPr>
            <w:r>
              <w:rPr>
                <w:bCs/>
                <w:iCs/>
              </w:rPr>
              <w:t>(j)</w:t>
            </w:r>
            <w:r>
              <w:rPr>
                <w:b/>
                <w:bCs/>
                <w:iCs/>
              </w:rPr>
              <w:tab/>
            </w:r>
            <w:r>
              <w:rPr>
                <w:bCs/>
                <w:iCs/>
              </w:rPr>
              <w:t>analisar e aprovar as etapas das Obras executadas, em obediência ao previsto no Projeto e no cronograma de implantação;</w:t>
            </w:r>
          </w:p>
          <w:p w14:paraId="67444A1A">
            <w:pPr>
              <w:spacing w:before="120" w:after="120" w:line="240" w:lineRule="auto"/>
              <w:ind w:left="1306" w:hanging="425"/>
              <w:jc w:val="both"/>
              <w:rPr>
                <w:bCs/>
                <w:iCs/>
              </w:rPr>
            </w:pPr>
            <w:r>
              <w:rPr>
                <w:bCs/>
                <w:iCs/>
              </w:rPr>
              <w:t>(k)</w:t>
            </w:r>
            <w:r>
              <w:rPr>
                <w:b/>
                <w:bCs/>
                <w:iCs/>
              </w:rPr>
              <w:tab/>
            </w:r>
            <w:r>
              <w:rPr>
                <w:bCs/>
                <w:iCs/>
              </w:rPr>
              <w:t xml:space="preserve">verificar e aprovar as soluções </w:t>
            </w:r>
            <w:r>
              <w:rPr>
                <w:bCs/>
                <w:iCs/>
                <w:lang w:val="pt-PT"/>
              </w:rPr>
              <w:t>propostas</w:t>
            </w:r>
            <w:r>
              <w:rPr>
                <w:bCs/>
                <w:iCs/>
              </w:rPr>
              <w:t xml:space="preserve"> pelo </w:t>
            </w:r>
            <w:r>
              <w:rPr>
                <w:b/>
                <w:bCs/>
                <w:iCs/>
              </w:rPr>
              <w:t>Contratado</w:t>
            </w:r>
            <w:r>
              <w:rPr>
                <w:bCs/>
                <w:iCs/>
              </w:rPr>
              <w:t xml:space="preserve"> quanto a sua adequação técnica e econômica, de modo a atender às necessidades do Contratante;</w:t>
            </w:r>
          </w:p>
          <w:p w14:paraId="3D5AD0E1">
            <w:pPr>
              <w:spacing w:before="120" w:after="120" w:line="240" w:lineRule="auto"/>
              <w:ind w:left="1306" w:hanging="425"/>
              <w:jc w:val="both"/>
              <w:rPr>
                <w:bCs/>
                <w:iCs/>
              </w:rPr>
            </w:pPr>
            <w:r>
              <w:rPr>
                <w:bCs/>
                <w:iCs/>
              </w:rPr>
              <w:t>(l)</w:t>
            </w:r>
            <w:r>
              <w:rPr>
                <w:b/>
                <w:bCs/>
                <w:iCs/>
              </w:rPr>
              <w:tab/>
            </w:r>
            <w:r>
              <w:rPr>
                <w:bCs/>
                <w:iCs/>
              </w:rPr>
              <w:t>encaminhar ao Contratado os comentários efetuados no Diário de Obras para que sejam providenciados os respectivos atendimentos;</w:t>
            </w:r>
          </w:p>
          <w:p w14:paraId="1D127F21">
            <w:pPr>
              <w:spacing w:before="120" w:after="120" w:line="240" w:lineRule="auto"/>
              <w:ind w:left="1306" w:hanging="425"/>
              <w:jc w:val="both"/>
              <w:rPr>
                <w:bCs/>
                <w:iCs/>
              </w:rPr>
            </w:pPr>
            <w:r>
              <w:rPr>
                <w:bCs/>
                <w:iCs/>
              </w:rPr>
              <w:t>(m)</w:t>
            </w:r>
            <w:r>
              <w:rPr>
                <w:b/>
                <w:bCs/>
                <w:iCs/>
              </w:rPr>
              <w:t xml:space="preserve"> </w:t>
            </w:r>
            <w:r>
              <w:rPr>
                <w:b/>
                <w:bCs/>
                <w:iCs/>
              </w:rPr>
              <w:tab/>
            </w:r>
            <w:r>
              <w:rPr>
                <w:bCs/>
                <w:iCs/>
              </w:rPr>
              <w:t>atas: as reuniões realizadas, referentes ao planejamento da obra, serão documentadas por atas de reunião, elaboradas pela Fiscalização e que conterão, no mínimo, os seguintes elementos: data, nome e assinatura dos participantes, assuntos tratados, decisões e responsáveis pelas providências a serem tomadas;</w:t>
            </w:r>
          </w:p>
          <w:p w14:paraId="60576BC5">
            <w:pPr>
              <w:spacing w:before="120" w:after="120" w:line="240" w:lineRule="auto"/>
              <w:ind w:left="1306" w:hanging="425"/>
              <w:jc w:val="both"/>
              <w:rPr>
                <w:bCs/>
                <w:iCs/>
              </w:rPr>
            </w:pPr>
            <w:r>
              <w:rPr>
                <w:bCs/>
                <w:iCs/>
              </w:rPr>
              <w:t>(n)</w:t>
            </w:r>
            <w:r>
              <w:rPr>
                <w:b/>
                <w:bCs/>
                <w:iCs/>
              </w:rPr>
              <w:tab/>
            </w:r>
            <w:r>
              <w:rPr>
                <w:bCs/>
                <w:iCs/>
              </w:rPr>
              <w:t xml:space="preserve">comunicar ao </w:t>
            </w:r>
            <w:r>
              <w:rPr>
                <w:b/>
                <w:bCs/>
                <w:iCs/>
              </w:rPr>
              <w:t>Contratado</w:t>
            </w:r>
            <w:r>
              <w:rPr>
                <w:bCs/>
                <w:iCs/>
              </w:rPr>
              <w:t>, por escrito, sobre imperfeições, falhas ou irregularidades verificadas nas Obras, para que sejam substituídas, reparadas ou corrigidas;</w:t>
            </w:r>
          </w:p>
          <w:p w14:paraId="15C534A3">
            <w:pPr>
              <w:spacing w:before="120" w:after="120" w:line="240" w:lineRule="auto"/>
              <w:ind w:left="1306" w:hanging="425"/>
              <w:jc w:val="both"/>
              <w:rPr>
                <w:bCs/>
                <w:iCs/>
              </w:rPr>
            </w:pPr>
            <w:r>
              <w:rPr>
                <w:bCs/>
                <w:iCs/>
              </w:rPr>
              <w:t>(o)</w:t>
            </w:r>
            <w:r>
              <w:rPr>
                <w:b/>
                <w:bCs/>
                <w:iCs/>
              </w:rPr>
              <w:tab/>
            </w:r>
            <w:r>
              <w:rPr>
                <w:bCs/>
                <w:iCs/>
              </w:rPr>
              <w:t>verificar e atestar as Obras executadas, bem como realizar e conferir a medição das mesmas, visar e encaminhar para pagamento as faturas emitidas pelo Contratado;</w:t>
            </w:r>
          </w:p>
          <w:p w14:paraId="2C135B0F">
            <w:pPr>
              <w:spacing w:before="120" w:after="120" w:line="240" w:lineRule="auto"/>
              <w:ind w:left="1306" w:hanging="425"/>
              <w:jc w:val="both"/>
              <w:rPr>
                <w:bCs/>
                <w:iCs/>
              </w:rPr>
            </w:pPr>
            <w:r>
              <w:rPr>
                <w:bCs/>
                <w:iCs/>
              </w:rPr>
              <w:t>(p)</w:t>
            </w:r>
            <w:r>
              <w:rPr>
                <w:b/>
                <w:bCs/>
                <w:iCs/>
              </w:rPr>
              <w:tab/>
            </w:r>
            <w:r>
              <w:rPr>
                <w:bCs/>
                <w:iCs/>
              </w:rPr>
              <w:t xml:space="preserve">efetuar o pagamento ao </w:t>
            </w:r>
            <w:r>
              <w:rPr>
                <w:b/>
                <w:bCs/>
                <w:iCs/>
              </w:rPr>
              <w:t>Contratado</w:t>
            </w:r>
            <w:r>
              <w:rPr>
                <w:bCs/>
                <w:iCs/>
              </w:rPr>
              <w:t xml:space="preserve"> no valor correspondente às medições aprovadas, desde que atendidas condições previstas em cláusula contratual;</w:t>
            </w:r>
          </w:p>
          <w:p w14:paraId="30C296FE">
            <w:pPr>
              <w:spacing w:before="120" w:after="120" w:line="240" w:lineRule="auto"/>
              <w:ind w:left="1306" w:hanging="425"/>
              <w:jc w:val="both"/>
              <w:rPr>
                <w:bCs/>
                <w:iCs/>
              </w:rPr>
            </w:pPr>
            <w:r>
              <w:rPr>
                <w:bCs/>
                <w:iCs/>
              </w:rPr>
              <w:t>(q)</w:t>
            </w:r>
            <w:r>
              <w:rPr>
                <w:b/>
                <w:bCs/>
                <w:iCs/>
              </w:rPr>
              <w:tab/>
            </w:r>
            <w:r>
              <w:rPr>
                <w:bCs/>
                <w:iCs/>
              </w:rPr>
              <w:t>efetuar o empenho da despesa, garantindo o pagamento das obrigações assumidas dentro dos prazos preestabelecidos em contrato;</w:t>
            </w:r>
          </w:p>
          <w:p w14:paraId="28A3D370">
            <w:pPr>
              <w:spacing w:before="120" w:after="120" w:line="240" w:lineRule="auto"/>
              <w:ind w:left="1306" w:hanging="425"/>
              <w:jc w:val="both"/>
              <w:rPr>
                <w:bCs/>
                <w:iCs/>
              </w:rPr>
            </w:pPr>
            <w:r>
              <w:rPr>
                <w:bCs/>
                <w:iCs/>
              </w:rPr>
              <w:t>(r)</w:t>
            </w:r>
            <w:r>
              <w:rPr>
                <w:b/>
                <w:bCs/>
                <w:iCs/>
              </w:rPr>
              <w:tab/>
            </w:r>
            <w:r>
              <w:rPr>
                <w:bCs/>
                <w:iCs/>
              </w:rPr>
              <w:t>receber as Obras no prazo e condições estabelecidas no Edital, com a emissão do Termo de Recebimento Definitivo (TRD), quando do término e aprovação da conclusão das mesmas;</w:t>
            </w:r>
          </w:p>
          <w:p w14:paraId="2E008757">
            <w:pPr>
              <w:spacing w:before="120" w:after="120" w:line="240" w:lineRule="auto"/>
              <w:ind w:left="1306" w:hanging="425"/>
              <w:jc w:val="both"/>
              <w:rPr>
                <w:bCs/>
                <w:iCs/>
              </w:rPr>
            </w:pPr>
            <w:r>
              <w:rPr>
                <w:bCs/>
                <w:iCs/>
              </w:rPr>
              <w:t>(s)</w:t>
            </w:r>
            <w:r>
              <w:rPr>
                <w:b/>
                <w:bCs/>
                <w:iCs/>
              </w:rPr>
              <w:tab/>
            </w:r>
            <w:r>
              <w:rPr>
                <w:bCs/>
                <w:iCs/>
              </w:rPr>
              <w:t xml:space="preserve">mudança da legislação aplicável aos impostos e tributos: Se, após a data deste Contrato, houver qualquer mudança na legislação aplicável no Brasil com relação aos impostos e tributos que aumentem ou reduzam os gastos incorridos pelo </w:t>
            </w:r>
            <w:r>
              <w:rPr>
                <w:b/>
                <w:bCs/>
                <w:iCs/>
              </w:rPr>
              <w:t>Contratado</w:t>
            </w:r>
            <w:r>
              <w:rPr>
                <w:bCs/>
                <w:iCs/>
              </w:rPr>
              <w:t xml:space="preserve"> na execução das Obras, então os preços unitários pagáveis ao </w:t>
            </w:r>
            <w:r>
              <w:rPr>
                <w:b/>
                <w:bCs/>
                <w:iCs/>
              </w:rPr>
              <w:t>Contratado</w:t>
            </w:r>
            <w:r>
              <w:rPr>
                <w:bCs/>
                <w:iCs/>
              </w:rPr>
              <w:t xml:space="preserve"> nos termos deste Contrato serão aumentados ou reduzidos segundo um acordo entre as Partes, e ajustes correspondentes serão efetuados no Preço do Contrato;</w:t>
            </w:r>
          </w:p>
          <w:p w14:paraId="52CBEEDD">
            <w:pPr>
              <w:spacing w:before="120" w:after="120" w:line="240" w:lineRule="auto"/>
              <w:ind w:left="1306" w:hanging="425"/>
              <w:jc w:val="both"/>
              <w:rPr>
                <w:bCs/>
                <w:iCs/>
              </w:rPr>
            </w:pPr>
            <w:r>
              <w:rPr>
                <w:bCs/>
                <w:iCs/>
              </w:rPr>
              <w:t>(t)</w:t>
            </w:r>
            <w:r>
              <w:rPr>
                <w:b/>
                <w:bCs/>
                <w:iCs/>
              </w:rPr>
              <w:tab/>
            </w:r>
            <w:r>
              <w:rPr>
                <w:bCs/>
                <w:iCs/>
              </w:rPr>
              <w:t xml:space="preserve">notificar o </w:t>
            </w:r>
            <w:r>
              <w:rPr>
                <w:b/>
                <w:bCs/>
                <w:iCs/>
              </w:rPr>
              <w:t>Contratado</w:t>
            </w:r>
            <w:r>
              <w:rPr>
                <w:bCs/>
                <w:iCs/>
              </w:rPr>
              <w:t>, por escrito, de todas as advertências, penalidades, multas e sustentação de pagamentos, todas as vezes que forem comprovadas pelo Gerente do Contrato, quaisquer inobservâncias às condições do presente contrato, bem como em caso de eventual suspensão ou rescisão contratual;</w:t>
            </w:r>
          </w:p>
          <w:p w14:paraId="470E5094">
            <w:pPr>
              <w:spacing w:before="120" w:after="120" w:line="240" w:lineRule="auto"/>
              <w:ind w:left="1306" w:hanging="425"/>
              <w:jc w:val="both"/>
              <w:rPr>
                <w:bCs/>
                <w:iCs/>
              </w:rPr>
            </w:pPr>
            <w:r>
              <w:rPr>
                <w:bCs/>
                <w:iCs/>
              </w:rPr>
              <w:t>(u)</w:t>
            </w:r>
            <w:r>
              <w:rPr>
                <w:b/>
                <w:bCs/>
                <w:iCs/>
              </w:rPr>
              <w:tab/>
            </w:r>
            <w:r>
              <w:rPr>
                <w:bCs/>
                <w:iCs/>
              </w:rPr>
              <w:t>cumprimento de suas responsabilidades ambientais, a seguir relacionadas; e</w:t>
            </w:r>
          </w:p>
          <w:p w14:paraId="2EC064E7">
            <w:pPr>
              <w:spacing w:before="120" w:after="120" w:line="240" w:lineRule="auto"/>
              <w:ind w:left="1306" w:hanging="425"/>
              <w:jc w:val="both"/>
              <w:rPr>
                <w:bCs/>
                <w:iCs/>
              </w:rPr>
            </w:pPr>
            <w:r>
              <w:rPr>
                <w:bCs/>
                <w:iCs/>
              </w:rPr>
              <w:t>(v)</w:t>
            </w:r>
            <w:r>
              <w:rPr>
                <w:b/>
                <w:bCs/>
                <w:iCs/>
              </w:rPr>
              <w:tab/>
            </w:r>
            <w:r>
              <w:rPr>
                <w:bCs/>
                <w:iCs/>
              </w:rPr>
              <w:t xml:space="preserve">outras obrigações estabelecidas nos </w:t>
            </w:r>
            <w:r>
              <w:rPr>
                <w:b/>
                <w:bCs/>
                <w:iCs/>
              </w:rPr>
              <w:t>DDC</w:t>
            </w:r>
            <w:r>
              <w:rPr>
                <w:bCs/>
                <w:iCs/>
              </w:rPr>
              <w:t>.</w:t>
            </w:r>
          </w:p>
          <w:bookmarkEnd w:id="438"/>
          <w:p w14:paraId="29C95B05">
            <w:pPr>
              <w:spacing w:before="120" w:after="120" w:line="240" w:lineRule="auto"/>
              <w:jc w:val="both"/>
              <w:rPr>
                <w:b/>
                <w:bCs/>
                <w:iCs/>
                <w:u w:val="single"/>
              </w:rPr>
            </w:pPr>
            <w:bookmarkStart w:id="439" w:name="_Toc56168300"/>
            <w:r>
              <w:rPr>
                <w:b/>
                <w:bCs/>
                <w:iCs/>
              </w:rPr>
              <w:tab/>
            </w:r>
            <w:r>
              <w:rPr>
                <w:b/>
                <w:bCs/>
                <w:iCs/>
                <w:u w:val="single"/>
              </w:rPr>
              <w:t>Responsabilidades Ambientais do Contratante</w:t>
            </w:r>
            <w:bookmarkEnd w:id="439"/>
          </w:p>
          <w:p w14:paraId="737D9373">
            <w:pPr>
              <w:spacing w:before="120" w:after="120" w:line="240" w:lineRule="auto"/>
              <w:ind w:left="739" w:hanging="708"/>
              <w:jc w:val="both"/>
              <w:rPr>
                <w:bCs/>
                <w:iCs/>
              </w:rPr>
            </w:pPr>
            <w:r>
              <w:rPr>
                <w:bCs/>
                <w:iCs/>
              </w:rPr>
              <w:t xml:space="preserve">15.2 </w:t>
            </w:r>
            <w:r>
              <w:rPr>
                <w:bCs/>
                <w:iCs/>
              </w:rPr>
              <w:tab/>
            </w:r>
            <w:r>
              <w:rPr>
                <w:bCs/>
                <w:iCs/>
              </w:rPr>
              <w:t xml:space="preserve">São responsabilidades ambientais do </w:t>
            </w:r>
            <w:r>
              <w:rPr>
                <w:b/>
                <w:bCs/>
                <w:iCs/>
              </w:rPr>
              <w:t>Contratante</w:t>
            </w:r>
            <w:r>
              <w:rPr>
                <w:bCs/>
                <w:iCs/>
              </w:rPr>
              <w:t xml:space="preserve"> durante a execução das Obras:</w:t>
            </w:r>
          </w:p>
          <w:p w14:paraId="61F36E83">
            <w:pPr>
              <w:spacing w:before="120" w:after="120" w:line="240" w:lineRule="auto"/>
              <w:ind w:left="1306" w:hanging="425"/>
              <w:jc w:val="both"/>
              <w:rPr>
                <w:bCs/>
                <w:iCs/>
              </w:rPr>
            </w:pPr>
            <w:r>
              <w:rPr>
                <w:bCs/>
                <w:iCs/>
              </w:rPr>
              <w:t>(a)</w:t>
            </w:r>
            <w:r>
              <w:rPr>
                <w:b/>
                <w:bCs/>
                <w:iCs/>
              </w:rPr>
              <w:tab/>
            </w:r>
            <w:r>
              <w:rPr>
                <w:bCs/>
                <w:iCs/>
              </w:rPr>
              <w:t>Acompanhar as atividades Ambientais e Sociais;</w:t>
            </w:r>
          </w:p>
          <w:p w14:paraId="5F5E8BE4">
            <w:pPr>
              <w:spacing w:before="120" w:after="120" w:line="240" w:lineRule="auto"/>
              <w:ind w:left="1306" w:hanging="425"/>
              <w:jc w:val="both"/>
              <w:rPr>
                <w:bCs/>
                <w:iCs/>
              </w:rPr>
            </w:pPr>
            <w:r>
              <w:rPr>
                <w:bCs/>
                <w:iCs/>
              </w:rPr>
              <w:t>(b)</w:t>
            </w:r>
            <w:r>
              <w:rPr>
                <w:b/>
                <w:bCs/>
                <w:iCs/>
              </w:rPr>
              <w:tab/>
            </w:r>
            <w:r>
              <w:rPr>
                <w:bCs/>
                <w:iCs/>
              </w:rPr>
              <w:t>trabalho conjunto entre as áreas de Engenharia e de Meio Ambiente:</w:t>
            </w:r>
          </w:p>
          <w:p w14:paraId="6F32BA5D">
            <w:pPr>
              <w:spacing w:before="120" w:after="120" w:line="240" w:lineRule="auto"/>
              <w:ind w:left="1760" w:leftChars="0" w:hanging="440" w:firstLineChars="0"/>
              <w:jc w:val="both"/>
              <w:rPr>
                <w:bCs/>
                <w:iCs/>
              </w:rPr>
            </w:pPr>
            <w:r>
              <w:rPr>
                <w:bCs/>
                <w:iCs/>
              </w:rPr>
              <w:t>(i)</w:t>
            </w:r>
            <w:r>
              <w:rPr>
                <w:b/>
                <w:bCs/>
                <w:iCs/>
              </w:rPr>
              <w:tab/>
            </w:r>
            <w:r>
              <w:rPr>
                <w:bCs/>
                <w:iCs/>
              </w:rPr>
              <w:t>os critérios e as diretrizes ambientais das obras devem ser discutidos entre a Fiscalização e a Supervisão (as áreas de engenharia e construção) e adotados de comum acordo; e</w:t>
            </w:r>
          </w:p>
          <w:p w14:paraId="652C1530">
            <w:pPr>
              <w:spacing w:before="120" w:after="120" w:line="240" w:lineRule="auto"/>
              <w:ind w:left="1760" w:leftChars="0" w:hanging="440" w:firstLineChars="0"/>
              <w:jc w:val="both"/>
              <w:rPr>
                <w:bCs/>
                <w:iCs/>
              </w:rPr>
            </w:pPr>
            <w:r>
              <w:rPr>
                <w:bCs/>
                <w:iCs/>
              </w:rPr>
              <w:t>(ii)</w:t>
            </w:r>
            <w:r>
              <w:rPr>
                <w:rFonts w:hint="default"/>
                <w:b/>
                <w:bCs/>
                <w:iCs/>
              </w:rPr>
              <w:tab/>
            </w:r>
            <w:r>
              <w:rPr>
                <w:bCs/>
                <w:iCs/>
              </w:rPr>
              <w:t xml:space="preserve">durante a execução das obras deverá haver um acompanhamento e permanente intercâmbio entre os especialistas das áreas de meio ambiente e de engenharia do </w:t>
            </w:r>
            <w:r>
              <w:rPr>
                <w:b/>
                <w:bCs/>
                <w:iCs/>
              </w:rPr>
              <w:t>Contratante</w:t>
            </w:r>
            <w:r>
              <w:rPr>
                <w:bCs/>
                <w:iCs/>
              </w:rPr>
              <w:t xml:space="preserve"> para garantir que, efetivamente, a agressão ao meio ambiente causada pelas obras seja a menor possível;</w:t>
            </w:r>
          </w:p>
          <w:p w14:paraId="69716754">
            <w:pPr>
              <w:spacing w:before="120" w:after="120" w:line="240" w:lineRule="auto"/>
              <w:ind w:left="1760" w:leftChars="0" w:hanging="440" w:firstLineChars="0"/>
              <w:jc w:val="both"/>
              <w:rPr>
                <w:bCs/>
                <w:iCs/>
              </w:rPr>
            </w:pPr>
            <w:r>
              <w:rPr>
                <w:bCs/>
                <w:iCs/>
              </w:rPr>
              <w:t>(iii)</w:t>
            </w:r>
            <w:r>
              <w:rPr>
                <w:rFonts w:hint="default"/>
                <w:bCs/>
                <w:iCs/>
              </w:rPr>
              <w:tab/>
            </w:r>
            <w:r>
              <w:rPr>
                <w:bCs/>
                <w:iCs/>
              </w:rPr>
              <w:t>apontamento no diário de obras das irregularidades ambientais ocorridas;</w:t>
            </w:r>
          </w:p>
          <w:p w14:paraId="5C299560">
            <w:pPr>
              <w:spacing w:before="120" w:after="120" w:line="240" w:lineRule="auto"/>
              <w:ind w:left="1306" w:hanging="425"/>
              <w:jc w:val="both"/>
              <w:rPr>
                <w:bCs/>
                <w:iCs/>
              </w:rPr>
            </w:pPr>
            <w:r>
              <w:rPr>
                <w:bCs/>
                <w:iCs/>
              </w:rPr>
              <w:t>(d)</w:t>
            </w:r>
            <w:r>
              <w:rPr>
                <w:b/>
                <w:bCs/>
                <w:iCs/>
              </w:rPr>
              <w:tab/>
            </w:r>
            <w:r>
              <w:rPr>
                <w:bCs/>
                <w:iCs/>
              </w:rPr>
              <w:t>garantir a execução das atividades de controle ambiental durante as obras, conforme as especificações técnicas;</w:t>
            </w:r>
          </w:p>
          <w:p w14:paraId="5D5FDA64">
            <w:pPr>
              <w:spacing w:before="120" w:after="120" w:line="240" w:lineRule="auto"/>
              <w:ind w:left="1306" w:hanging="425"/>
              <w:jc w:val="both"/>
              <w:rPr>
                <w:bCs/>
                <w:iCs/>
              </w:rPr>
            </w:pPr>
            <w:r>
              <w:rPr>
                <w:bCs/>
                <w:iCs/>
              </w:rPr>
              <w:t>(e)</w:t>
            </w:r>
            <w:r>
              <w:rPr>
                <w:bCs/>
                <w:iCs/>
              </w:rPr>
              <w:tab/>
            </w:r>
            <w:r>
              <w:rPr>
                <w:bCs/>
                <w:iCs/>
              </w:rPr>
              <w:t>nas medições e pagamentos:</w:t>
            </w:r>
          </w:p>
          <w:p w14:paraId="7F0EB01C">
            <w:pPr>
              <w:spacing w:before="120" w:after="120" w:line="240" w:lineRule="auto"/>
              <w:ind w:left="1591" w:hanging="429"/>
              <w:jc w:val="both"/>
              <w:rPr>
                <w:bCs/>
                <w:iCs/>
              </w:rPr>
            </w:pPr>
            <w:r>
              <w:rPr>
                <w:bCs/>
                <w:iCs/>
              </w:rPr>
              <w:t>(i)</w:t>
            </w:r>
            <w:r>
              <w:rPr>
                <w:b/>
                <w:bCs/>
                <w:iCs/>
              </w:rPr>
              <w:tab/>
            </w:r>
            <w:r>
              <w:rPr>
                <w:bCs/>
                <w:iCs/>
              </w:rPr>
              <w:t xml:space="preserve">verificação do atendimento aos programas e planos de mitigação de impactos e controle ambiental da Obra do Projeto [tais como o Plano de Gestão Ambiental e Social (PGAS), Plano de Recuperação de Área Degradada (PRAD) e outros]; </w:t>
            </w:r>
          </w:p>
          <w:p w14:paraId="75814A24">
            <w:pPr>
              <w:spacing w:before="120" w:after="120" w:line="240" w:lineRule="auto"/>
              <w:ind w:left="1591" w:hanging="429"/>
              <w:jc w:val="both"/>
              <w:rPr>
                <w:bCs/>
                <w:iCs/>
              </w:rPr>
            </w:pPr>
            <w:r>
              <w:rPr>
                <w:bCs/>
                <w:iCs/>
              </w:rPr>
              <w:t>(ii)</w:t>
            </w:r>
            <w:r>
              <w:rPr>
                <w:b/>
                <w:bCs/>
                <w:iCs/>
              </w:rPr>
              <w:tab/>
            </w:r>
            <w:r>
              <w:rPr>
                <w:bCs/>
                <w:iCs/>
              </w:rPr>
              <w:t>participação de especialistas em meio ambiente; e</w:t>
            </w:r>
          </w:p>
          <w:p w14:paraId="38A42960">
            <w:pPr>
              <w:spacing w:before="120" w:after="120" w:line="240" w:lineRule="auto"/>
              <w:ind w:left="1306" w:hanging="425"/>
              <w:jc w:val="both"/>
              <w:rPr>
                <w:bCs/>
                <w:iCs/>
              </w:rPr>
            </w:pPr>
            <w:r>
              <w:rPr>
                <w:bCs/>
                <w:iCs/>
              </w:rPr>
              <w:t>(f)</w:t>
            </w:r>
            <w:r>
              <w:rPr>
                <w:b/>
                <w:bCs/>
                <w:iCs/>
              </w:rPr>
              <w:tab/>
            </w:r>
            <w:r>
              <w:rPr>
                <w:bCs/>
                <w:iCs/>
              </w:rPr>
              <w:t>recebimento das Obras.</w:t>
            </w:r>
          </w:p>
        </w:tc>
      </w:tr>
      <w:tr w14:paraId="6B1E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90B8F2B">
            <w:pPr>
              <w:pStyle w:val="83"/>
            </w:pPr>
            <w:bookmarkStart w:id="440" w:name="_Toc138437080"/>
            <w:bookmarkStart w:id="441" w:name="_Toc174522844"/>
            <w:bookmarkStart w:id="442" w:name="_Toc153209025"/>
            <w:r>
              <w:t>16.</w:t>
            </w:r>
            <w:r>
              <w:tab/>
            </w:r>
            <w:r>
              <w:t>Obrigações do Contratado</w:t>
            </w:r>
            <w:bookmarkEnd w:id="440"/>
            <w:bookmarkEnd w:id="441"/>
            <w:bookmarkEnd w:id="442"/>
          </w:p>
        </w:tc>
        <w:tc>
          <w:tcPr>
            <w:tcW w:w="6753" w:type="dxa"/>
          </w:tcPr>
          <w:p w14:paraId="583A2B12">
            <w:pPr>
              <w:spacing w:before="120" w:after="120" w:line="240" w:lineRule="auto"/>
              <w:ind w:left="739" w:hanging="708"/>
              <w:jc w:val="both"/>
              <w:rPr>
                <w:bCs/>
                <w:iCs/>
              </w:rPr>
            </w:pPr>
            <w:r>
              <w:rPr>
                <w:bCs/>
                <w:iCs/>
              </w:rPr>
              <w:t>16.1</w:t>
            </w:r>
            <w:r>
              <w:rPr>
                <w:bCs/>
                <w:iCs/>
              </w:rPr>
              <w:tab/>
            </w:r>
            <w:r>
              <w:rPr>
                <w:bCs/>
                <w:iCs/>
              </w:rPr>
              <w:t xml:space="preserve">São obrigações do </w:t>
            </w:r>
            <w:r>
              <w:rPr>
                <w:b/>
                <w:bCs/>
                <w:iCs/>
              </w:rPr>
              <w:t>Contratado</w:t>
            </w:r>
            <w:r>
              <w:rPr>
                <w:bCs/>
                <w:iCs/>
              </w:rPr>
              <w:t>:</w:t>
            </w:r>
          </w:p>
          <w:p w14:paraId="778ECB18">
            <w:pPr>
              <w:spacing w:before="120" w:after="120" w:line="240" w:lineRule="auto"/>
              <w:ind w:left="1306" w:hanging="425"/>
              <w:jc w:val="both"/>
              <w:rPr>
                <w:bCs/>
                <w:iCs/>
              </w:rPr>
            </w:pPr>
            <w:r>
              <w:rPr>
                <w:bCs/>
                <w:iCs/>
              </w:rPr>
              <w:t>(a)</w:t>
            </w:r>
            <w:r>
              <w:rPr>
                <w:bCs/>
                <w:iCs/>
              </w:rPr>
              <w:tab/>
            </w:r>
            <w:r>
              <w:rPr>
                <w:bCs/>
                <w:iCs/>
              </w:rPr>
              <w:t xml:space="preserve">manter, durante toda a execução do contrato, em compatibilidade com as obrigações por ele assumidas, todas as condições exigidas para a habilitação na licitação, ou para qualificação; </w:t>
            </w:r>
          </w:p>
          <w:p w14:paraId="66BFE5DB">
            <w:pPr>
              <w:spacing w:before="120" w:after="120" w:line="240" w:lineRule="auto"/>
              <w:ind w:left="1306" w:hanging="425"/>
              <w:jc w:val="both"/>
              <w:rPr>
                <w:bCs/>
                <w:iCs/>
              </w:rPr>
            </w:pPr>
            <w:r>
              <w:rPr>
                <w:bCs/>
                <w:iCs/>
              </w:rPr>
              <w:t>(b)</w:t>
            </w:r>
            <w:r>
              <w:rPr>
                <w:bCs/>
                <w:iCs/>
              </w:rPr>
              <w:tab/>
            </w:r>
            <w:r>
              <w:rPr>
                <w:bCs/>
                <w:iCs/>
              </w:rPr>
              <w:t xml:space="preserve">cumprir as exigências de reserva de cargos prevista em lei, bem como em outras normas específicas, para pessoa com deficiência, para reabilitado da Previdência Social e para aprendiz; </w:t>
            </w:r>
          </w:p>
          <w:p w14:paraId="2F557AD0">
            <w:pPr>
              <w:spacing w:before="120" w:after="120" w:line="240" w:lineRule="auto"/>
              <w:ind w:left="1306" w:hanging="425"/>
              <w:jc w:val="both"/>
              <w:rPr>
                <w:bCs/>
                <w:iCs/>
              </w:rPr>
            </w:pPr>
            <w:r>
              <w:rPr>
                <w:bCs/>
                <w:iCs/>
              </w:rPr>
              <w:t>(c)</w:t>
            </w:r>
            <w:r>
              <w:rPr>
                <w:bCs/>
                <w:iCs/>
              </w:rPr>
              <w:tab/>
            </w:r>
            <w:r>
              <w:rPr>
                <w:bCs/>
                <w:iCs/>
              </w:rPr>
              <w:t xml:space="preserve">outras obrigações indicadas na subcláusula 16.1 dos </w:t>
            </w:r>
            <w:r>
              <w:rPr>
                <w:b/>
                <w:bCs/>
                <w:iCs/>
              </w:rPr>
              <w:t>DDC</w:t>
            </w:r>
            <w:r>
              <w:rPr>
                <w:bCs/>
                <w:iCs/>
              </w:rPr>
              <w:t>.</w:t>
            </w:r>
          </w:p>
          <w:p w14:paraId="3FC73158">
            <w:pPr>
              <w:spacing w:before="120" w:after="120" w:line="240" w:lineRule="auto"/>
              <w:ind w:left="739" w:hanging="708"/>
              <w:jc w:val="both"/>
              <w:rPr>
                <w:bCs/>
                <w:iCs/>
              </w:rPr>
            </w:pPr>
            <w:r>
              <w:rPr>
                <w:bCs/>
                <w:iCs/>
              </w:rPr>
              <w:t>16.2</w:t>
            </w:r>
            <w:r>
              <w:rPr>
                <w:bCs/>
                <w:iCs/>
              </w:rPr>
              <w:tab/>
            </w:r>
            <w:r>
              <w:rPr>
                <w:bCs/>
                <w:iCs/>
              </w:rPr>
              <w:t xml:space="preserve">O </w:t>
            </w:r>
            <w:r>
              <w:rPr>
                <w:b/>
                <w:bCs/>
                <w:iCs/>
              </w:rPr>
              <w:t>Contratado</w:t>
            </w:r>
            <w:r>
              <w:rPr>
                <w:bCs/>
                <w:iCs/>
              </w:rPr>
              <w:t xml:space="preserve"> deverá executar as Obras de acordo com as Especificações Técnicas, Plantas e Desenhos.</w:t>
            </w:r>
          </w:p>
          <w:p w14:paraId="27BD03AC">
            <w:pPr>
              <w:spacing w:before="120" w:after="120" w:line="240" w:lineRule="auto"/>
              <w:ind w:left="739" w:hanging="708"/>
              <w:jc w:val="both"/>
              <w:rPr>
                <w:bCs/>
                <w:iCs/>
              </w:rPr>
            </w:pPr>
            <w:r>
              <w:rPr>
                <w:bCs/>
                <w:iCs/>
              </w:rPr>
              <w:t xml:space="preserve">16.3 </w:t>
            </w:r>
            <w:r>
              <w:rPr>
                <w:bCs/>
                <w:iCs/>
              </w:rPr>
              <w:tab/>
            </w:r>
            <w:r>
              <w:rPr>
                <w:bCs/>
                <w:iCs/>
              </w:rPr>
              <w:t xml:space="preserve">Da mesma forma, os </w:t>
            </w:r>
            <w:r>
              <w:rPr>
                <w:b/>
                <w:bCs/>
                <w:iCs/>
              </w:rPr>
              <w:t>DDC</w:t>
            </w:r>
            <w:r>
              <w:rPr>
                <w:bCs/>
                <w:iCs/>
              </w:rPr>
              <w:t xml:space="preserve"> deverão conter disposições, acordadas com o FONPLATA, voltadas para a mitigação adequada dos riscos e impactos ambientais e sociais (incluindo exploração e abuso sexual e violência de gênero), segurança e saúde no trabalho.</w:t>
            </w:r>
          </w:p>
          <w:p w14:paraId="5BEC22F3">
            <w:pPr>
              <w:spacing w:before="120" w:after="120" w:line="240" w:lineRule="auto"/>
              <w:ind w:left="739" w:hanging="708"/>
              <w:jc w:val="both"/>
              <w:rPr>
                <w:bCs/>
                <w:iCs/>
              </w:rPr>
            </w:pPr>
            <w:r>
              <w:rPr>
                <w:bCs/>
                <w:iCs/>
              </w:rPr>
              <w:t>16.4</w:t>
            </w:r>
            <w:r>
              <w:rPr>
                <w:bCs/>
                <w:iCs/>
              </w:rPr>
              <w:tab/>
            </w:r>
            <w:r>
              <w:rPr>
                <w:bCs/>
                <w:iCs/>
              </w:rPr>
              <w:t xml:space="preserve">O </w:t>
            </w:r>
            <w:r>
              <w:rPr>
                <w:b/>
                <w:bCs/>
                <w:iCs/>
              </w:rPr>
              <w:t>Contratado</w:t>
            </w:r>
            <w:r>
              <w:rPr>
                <w:bCs/>
                <w:iCs/>
              </w:rPr>
              <w:t xml:space="preserve"> deverá atender, conforme solicitado nos </w:t>
            </w:r>
            <w:r>
              <w:rPr>
                <w:b/>
                <w:bCs/>
                <w:iCs/>
              </w:rPr>
              <w:t>DDC</w:t>
            </w:r>
            <w:r>
              <w:rPr>
                <w:bCs/>
                <w:iCs/>
              </w:rPr>
              <w:t xml:space="preserve"> e acordadas com o </w:t>
            </w:r>
            <w:r>
              <w:rPr>
                <w:b/>
                <w:bCs/>
                <w:iCs/>
              </w:rPr>
              <w:t>Contratante</w:t>
            </w:r>
            <w:r>
              <w:rPr>
                <w:bCs/>
                <w:iCs/>
              </w:rPr>
              <w:t xml:space="preserve">, as medidas voltadas para a mitigação adequada dos riscos e impactos ambientais e sociais (incluindo exploração e abuso sexual e violência de gênero), segurança e saúde no trabalho, </w:t>
            </w:r>
            <w:r>
              <w:rPr>
                <w:bCs/>
                <w:iCs/>
                <w:lang w:val="pt-PT"/>
              </w:rPr>
              <w:t>tais como</w:t>
            </w:r>
            <w:r>
              <w:rPr>
                <w:bCs/>
                <w:iCs/>
              </w:rPr>
              <w:t>:</w:t>
            </w:r>
          </w:p>
          <w:p w14:paraId="1A9ABAF7">
            <w:pPr>
              <w:spacing w:before="120" w:after="120" w:line="240" w:lineRule="auto"/>
              <w:ind w:left="1306" w:hanging="425"/>
              <w:jc w:val="both"/>
              <w:rPr>
                <w:bCs/>
                <w:iCs/>
              </w:rPr>
            </w:pPr>
            <w:r>
              <w:rPr>
                <w:bCs/>
                <w:iCs/>
              </w:rPr>
              <w:t>(a)</w:t>
            </w:r>
            <w:r>
              <w:rPr>
                <w:bCs/>
                <w:iCs/>
              </w:rPr>
              <w:tab/>
            </w:r>
            <w:r>
              <w:rPr>
                <w:bCs/>
                <w:iCs/>
              </w:rPr>
              <w:t>as Medidas de Controle Ambiental e Social;</w:t>
            </w:r>
          </w:p>
          <w:p w14:paraId="54D010C7">
            <w:pPr>
              <w:spacing w:before="120" w:after="120" w:line="240" w:lineRule="auto"/>
              <w:ind w:left="1306" w:hanging="425"/>
              <w:jc w:val="both"/>
              <w:rPr>
                <w:bCs/>
                <w:iCs/>
              </w:rPr>
            </w:pPr>
            <w:r>
              <w:rPr>
                <w:bCs/>
                <w:iCs/>
              </w:rPr>
              <w:t>(b)</w:t>
            </w:r>
            <w:r>
              <w:rPr>
                <w:bCs/>
                <w:iCs/>
              </w:rPr>
              <w:tab/>
            </w:r>
            <w:r>
              <w:rPr>
                <w:bCs/>
                <w:iCs/>
              </w:rPr>
              <w:t>as Licenças, Anotações Registros etc.; e</w:t>
            </w:r>
          </w:p>
          <w:p w14:paraId="2A16732E">
            <w:pPr>
              <w:spacing w:before="120" w:after="120" w:line="240" w:lineRule="auto"/>
              <w:ind w:left="1306" w:hanging="425"/>
              <w:jc w:val="both"/>
              <w:rPr>
                <w:bCs/>
                <w:iCs/>
              </w:rPr>
            </w:pPr>
            <w:r>
              <w:rPr>
                <w:bCs/>
                <w:iCs/>
              </w:rPr>
              <w:t>(c)</w:t>
            </w:r>
            <w:r>
              <w:rPr>
                <w:bCs/>
                <w:iCs/>
              </w:rPr>
              <w:tab/>
            </w:r>
            <w:r>
              <w:rPr>
                <w:bCs/>
                <w:iCs/>
              </w:rPr>
              <w:t xml:space="preserve">as Normas de Segurança e de Saúde. </w:t>
            </w:r>
          </w:p>
          <w:p w14:paraId="2C827259">
            <w:pPr>
              <w:spacing w:before="120" w:after="120" w:line="240" w:lineRule="auto"/>
              <w:jc w:val="both"/>
              <w:rPr>
                <w:b/>
                <w:bCs/>
                <w:iCs/>
                <w:u w:val="single"/>
              </w:rPr>
            </w:pPr>
            <w:r>
              <w:rPr>
                <w:bCs/>
                <w:iCs/>
              </w:rPr>
              <w:tab/>
            </w:r>
            <w:r>
              <w:rPr>
                <w:b/>
                <w:bCs/>
                <w:iCs/>
                <w:u w:val="single"/>
              </w:rPr>
              <w:t>Plano de Gestão Ambiental e Social (PGAS)</w:t>
            </w:r>
          </w:p>
          <w:p w14:paraId="16AF693F">
            <w:pPr>
              <w:spacing w:before="120" w:after="120" w:line="240" w:lineRule="auto"/>
              <w:ind w:left="739" w:hanging="708"/>
              <w:jc w:val="both"/>
              <w:rPr>
                <w:bCs/>
                <w:iCs/>
              </w:rPr>
            </w:pPr>
            <w:r>
              <w:rPr>
                <w:bCs/>
                <w:iCs/>
              </w:rPr>
              <w:t>16.5</w:t>
            </w:r>
            <w:r>
              <w:rPr>
                <w:bCs/>
                <w:iCs/>
              </w:rPr>
              <w:tab/>
            </w:r>
            <w:r>
              <w:rPr>
                <w:bCs/>
                <w:iCs/>
              </w:rPr>
              <w:t xml:space="preserve">O </w:t>
            </w:r>
            <w:r>
              <w:rPr>
                <w:b/>
                <w:bCs/>
                <w:iCs/>
              </w:rPr>
              <w:t>Contratado</w:t>
            </w:r>
            <w:r>
              <w:rPr>
                <w:bCs/>
                <w:iCs/>
              </w:rPr>
              <w:t xml:space="preserve"> deverá apresentar, de forma contínua, para aprovação prévia por parte do Gerente do Contrato um Plano de Gestão Ambiental e Social (PGAS), em caráter preliminar e baseado nas diretrizes do Relatório Ambiental do Programa, e estruturado conforme o Anexo da Seção 11 – Formato de Apresentação dos Programas do Plano de Gestão Ambiental e Social dos Projetos.  </w:t>
            </w:r>
          </w:p>
          <w:p w14:paraId="420C2E2C">
            <w:pPr>
              <w:spacing w:before="120" w:after="120" w:line="240" w:lineRule="auto"/>
              <w:ind w:left="739" w:hanging="708"/>
              <w:jc w:val="both"/>
              <w:rPr>
                <w:bCs/>
                <w:iCs/>
              </w:rPr>
            </w:pPr>
            <w:r>
              <w:rPr>
                <w:bCs/>
                <w:iCs/>
              </w:rPr>
              <w:t>16.6</w:t>
            </w:r>
            <w:r>
              <w:rPr>
                <w:bCs/>
                <w:iCs/>
              </w:rPr>
              <w:tab/>
            </w:r>
            <w:r>
              <w:rPr>
                <w:bCs/>
                <w:iCs/>
              </w:rPr>
              <w:t>O Relatório de Avaliação Ambiental do Programa deverá servir de orientação para elaboração dos PGAS de cada Contrato.</w:t>
            </w:r>
          </w:p>
          <w:p w14:paraId="5EC1CA4C">
            <w:pPr>
              <w:spacing w:before="120" w:after="120" w:line="240" w:lineRule="auto"/>
              <w:ind w:left="739" w:hanging="708"/>
              <w:jc w:val="both"/>
              <w:rPr>
                <w:bCs/>
                <w:iCs/>
              </w:rPr>
            </w:pPr>
            <w:r>
              <w:rPr>
                <w:bCs/>
                <w:iCs/>
              </w:rPr>
              <w:t>16.7</w:t>
            </w:r>
            <w:r>
              <w:rPr>
                <w:bCs/>
                <w:iCs/>
              </w:rPr>
              <w:tab/>
            </w:r>
            <w:r>
              <w:rPr>
                <w:bCs/>
                <w:iCs/>
              </w:rPr>
              <w:t>O PGAS em caráter preliminar deverá ser:</w:t>
            </w:r>
          </w:p>
          <w:p w14:paraId="34D06A11">
            <w:pPr>
              <w:spacing w:before="120" w:after="120" w:line="240" w:lineRule="auto"/>
              <w:ind w:left="1306" w:hanging="425"/>
              <w:jc w:val="both"/>
              <w:rPr>
                <w:bCs/>
                <w:iCs/>
              </w:rPr>
            </w:pPr>
            <w:r>
              <w:rPr>
                <w:bCs/>
                <w:iCs/>
              </w:rPr>
              <w:t>(a)</w:t>
            </w:r>
            <w:r>
              <w:rPr>
                <w:bCs/>
                <w:iCs/>
              </w:rPr>
              <w:tab/>
            </w:r>
            <w:r>
              <w:rPr>
                <w:bCs/>
                <w:iCs/>
              </w:rPr>
              <w:t xml:space="preserve">apresentado pelo </w:t>
            </w:r>
            <w:r>
              <w:rPr>
                <w:b/>
                <w:bCs/>
                <w:iCs/>
              </w:rPr>
              <w:t xml:space="preserve">Contratado </w:t>
            </w:r>
            <w:r>
              <w:rPr>
                <w:bCs/>
                <w:iCs/>
              </w:rPr>
              <w:t xml:space="preserve">até o prazo indicado nos </w:t>
            </w:r>
            <w:r>
              <w:rPr>
                <w:b/>
                <w:bCs/>
                <w:iCs/>
              </w:rPr>
              <w:t>DDC</w:t>
            </w:r>
            <w:r>
              <w:rPr>
                <w:bCs/>
                <w:iCs/>
              </w:rPr>
              <w:t>; e</w:t>
            </w:r>
          </w:p>
          <w:p w14:paraId="42BE9920">
            <w:pPr>
              <w:spacing w:before="120" w:after="120" w:line="240" w:lineRule="auto"/>
              <w:ind w:left="1306" w:hanging="425"/>
              <w:jc w:val="both"/>
              <w:rPr>
                <w:bCs/>
                <w:iCs/>
              </w:rPr>
            </w:pPr>
            <w:r>
              <w:rPr>
                <w:bCs/>
                <w:iCs/>
              </w:rPr>
              <w:t>(b)</w:t>
            </w:r>
            <w:r>
              <w:rPr>
                <w:bCs/>
                <w:iCs/>
              </w:rPr>
              <w:tab/>
            </w:r>
            <w:r>
              <w:rPr>
                <w:bCs/>
                <w:iCs/>
              </w:rPr>
              <w:t>aprovado antes do início das atividades de construção.</w:t>
            </w:r>
          </w:p>
          <w:p w14:paraId="560D3C99">
            <w:pPr>
              <w:spacing w:before="120" w:after="120" w:line="240" w:lineRule="auto"/>
              <w:ind w:left="739" w:hanging="708"/>
              <w:jc w:val="both"/>
              <w:rPr>
                <w:bCs/>
                <w:iCs/>
              </w:rPr>
            </w:pPr>
            <w:r>
              <w:rPr>
                <w:bCs/>
                <w:iCs/>
              </w:rPr>
              <w:t>16.8</w:t>
            </w:r>
            <w:r>
              <w:rPr>
                <w:bCs/>
                <w:iCs/>
              </w:rPr>
              <w:tab/>
            </w:r>
            <w:r>
              <w:rPr>
                <w:bCs/>
                <w:iCs/>
              </w:rPr>
              <w:t xml:space="preserve">O PGAS aprovado deverá ser revisado, periodicamente, mas não menos do que a cada seis meses, e atualizado de uma maneira oportuna, conforme necessário, pelo </w:t>
            </w:r>
            <w:r>
              <w:rPr>
                <w:b/>
                <w:bCs/>
                <w:iCs/>
              </w:rPr>
              <w:t>Contratado</w:t>
            </w:r>
            <w:r>
              <w:rPr>
                <w:bCs/>
                <w:iCs/>
              </w:rPr>
              <w:t xml:space="preserve"> de forma a assegurar que o plano contém medidas apropriadas a serem tomadas nas atividades das Obras.</w:t>
            </w:r>
          </w:p>
          <w:p w14:paraId="691C79E5">
            <w:pPr>
              <w:spacing w:before="120" w:after="120" w:line="240" w:lineRule="auto"/>
              <w:jc w:val="both"/>
              <w:rPr>
                <w:b/>
                <w:bCs/>
                <w:iCs/>
                <w:u w:val="single"/>
              </w:rPr>
            </w:pPr>
            <w:r>
              <w:rPr>
                <w:bCs/>
                <w:iCs/>
              </w:rPr>
              <w:tab/>
            </w:r>
            <w:r>
              <w:rPr>
                <w:b/>
                <w:bCs/>
                <w:iCs/>
                <w:u w:val="single"/>
              </w:rPr>
              <w:t>Código de Conduta</w:t>
            </w:r>
          </w:p>
          <w:p w14:paraId="7975548C">
            <w:pPr>
              <w:spacing w:before="120" w:after="120" w:line="240" w:lineRule="auto"/>
              <w:ind w:left="739" w:hanging="708"/>
              <w:jc w:val="both"/>
              <w:rPr>
                <w:bCs/>
                <w:iCs/>
              </w:rPr>
            </w:pPr>
            <w:r>
              <w:rPr>
                <w:bCs/>
                <w:iCs/>
              </w:rPr>
              <w:t>16.9</w:t>
            </w:r>
            <w:r>
              <w:rPr>
                <w:bCs/>
                <w:iCs/>
              </w:rPr>
              <w:tab/>
            </w:r>
            <w:r>
              <w:rPr>
                <w:bCs/>
                <w:iCs/>
              </w:rPr>
              <w:t>O Contratado deverá apresentar quando da assinatura do Contrato para aprovação prévia do Contratante o seu Código de Conduta.</w:t>
            </w:r>
          </w:p>
        </w:tc>
      </w:tr>
      <w:tr w14:paraId="072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231F664">
            <w:pPr>
              <w:pStyle w:val="83"/>
            </w:pPr>
            <w:bookmarkStart w:id="443" w:name="_Toc138437081"/>
            <w:bookmarkStart w:id="444" w:name="_Toc174522845"/>
            <w:bookmarkStart w:id="445" w:name="_Toc153209026"/>
            <w:r>
              <w:t>17.</w:t>
            </w:r>
            <w:r>
              <w:tab/>
            </w:r>
            <w:r>
              <w:t>Obras a Serem Concluídas na Data Prevista para Conclusão</w:t>
            </w:r>
            <w:bookmarkEnd w:id="443"/>
            <w:bookmarkEnd w:id="444"/>
            <w:bookmarkEnd w:id="445"/>
          </w:p>
        </w:tc>
        <w:tc>
          <w:tcPr>
            <w:tcW w:w="6753" w:type="dxa"/>
          </w:tcPr>
          <w:p w14:paraId="6F5300D1">
            <w:pPr>
              <w:spacing w:before="120" w:after="120" w:line="240" w:lineRule="auto"/>
              <w:ind w:left="739" w:hanging="708"/>
              <w:jc w:val="both"/>
              <w:rPr>
                <w:bCs/>
                <w:iCs/>
              </w:rPr>
            </w:pPr>
            <w:r>
              <w:rPr>
                <w:bCs/>
                <w:iCs/>
              </w:rPr>
              <w:t>17.1</w:t>
            </w:r>
            <w:r>
              <w:rPr>
                <w:bCs/>
                <w:iCs/>
              </w:rPr>
              <w:tab/>
            </w:r>
            <w:r>
              <w:rPr>
                <w:bCs/>
                <w:iCs/>
              </w:rPr>
              <w:t xml:space="preserve">O </w:t>
            </w:r>
            <w:r>
              <w:rPr>
                <w:b/>
                <w:bCs/>
                <w:iCs/>
              </w:rPr>
              <w:t>Contratado</w:t>
            </w:r>
            <w:r>
              <w:rPr>
                <w:bCs/>
                <w:iCs/>
              </w:rPr>
              <w:t xml:space="preserve"> deverá dar início à execução das Obras na Data de Início especificada nos </w:t>
            </w:r>
            <w:r>
              <w:rPr>
                <w:b/>
                <w:bCs/>
                <w:iCs/>
              </w:rPr>
              <w:t>DDC</w:t>
            </w:r>
            <w:r>
              <w:rPr>
                <w:bCs/>
                <w:iCs/>
              </w:rPr>
              <w:t xml:space="preserve">, executando-as de acordo com o Cronograma submetido ao </w:t>
            </w:r>
            <w:r>
              <w:rPr>
                <w:b/>
                <w:bCs/>
                <w:iCs/>
              </w:rPr>
              <w:t>Contratante</w:t>
            </w:r>
            <w:r>
              <w:rPr>
                <w:bCs/>
                <w:iCs/>
              </w:rPr>
              <w:t xml:space="preserve"> e com as atualizações aprovadas pelo Gerente do Contrato, ultimando-as até a Data Prevista para a Conclusão.</w:t>
            </w:r>
          </w:p>
        </w:tc>
      </w:tr>
      <w:tr w14:paraId="41B8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9EB181F">
            <w:pPr>
              <w:pStyle w:val="83"/>
            </w:pPr>
            <w:bookmarkStart w:id="446" w:name="_Toc153209027"/>
            <w:bookmarkStart w:id="447" w:name="_Toc138437082"/>
            <w:bookmarkStart w:id="448" w:name="_Toc174522846"/>
            <w:r>
              <w:t>18.</w:t>
            </w:r>
            <w:r>
              <w:tab/>
            </w:r>
            <w:r>
              <w:t>Aprovação do Gerente do Contrato</w:t>
            </w:r>
            <w:bookmarkEnd w:id="446"/>
            <w:bookmarkEnd w:id="447"/>
            <w:bookmarkEnd w:id="448"/>
          </w:p>
        </w:tc>
        <w:tc>
          <w:tcPr>
            <w:tcW w:w="6753" w:type="dxa"/>
          </w:tcPr>
          <w:p w14:paraId="0867D430">
            <w:pPr>
              <w:spacing w:before="120" w:after="120" w:line="240" w:lineRule="auto"/>
              <w:ind w:left="739" w:hanging="708"/>
              <w:jc w:val="both"/>
              <w:rPr>
                <w:bCs/>
                <w:iCs/>
              </w:rPr>
            </w:pPr>
            <w:r>
              <w:rPr>
                <w:bCs/>
                <w:iCs/>
              </w:rPr>
              <w:t>18.1</w:t>
            </w:r>
            <w:r>
              <w:rPr>
                <w:bCs/>
                <w:iCs/>
              </w:rPr>
              <w:tab/>
            </w:r>
            <w:r>
              <w:rPr>
                <w:bCs/>
                <w:iCs/>
              </w:rPr>
              <w:t xml:space="preserve">O </w:t>
            </w:r>
            <w:r>
              <w:rPr>
                <w:b/>
                <w:bCs/>
                <w:iCs/>
              </w:rPr>
              <w:t>Contratado</w:t>
            </w:r>
            <w:r>
              <w:rPr>
                <w:bCs/>
                <w:iCs/>
              </w:rPr>
              <w:t xml:space="preserve"> deverá apresentar os Desenhos e as Especificações propostos para Obras Provisórias ao Gerente do Contrato, cabendo a este prová-los caso se adequem às Especificações Técnicas e Desenhos.</w:t>
            </w:r>
          </w:p>
          <w:p w14:paraId="2710F272">
            <w:pPr>
              <w:spacing w:before="120" w:after="120" w:line="240" w:lineRule="auto"/>
              <w:ind w:left="739" w:hanging="708"/>
              <w:jc w:val="both"/>
              <w:rPr>
                <w:bCs/>
                <w:iCs/>
              </w:rPr>
            </w:pPr>
            <w:r>
              <w:rPr>
                <w:bCs/>
                <w:iCs/>
              </w:rPr>
              <w:t>18.2</w:t>
            </w:r>
            <w:r>
              <w:rPr>
                <w:bCs/>
                <w:iCs/>
              </w:rPr>
              <w:tab/>
            </w:r>
            <w:r>
              <w:rPr>
                <w:bCs/>
                <w:iCs/>
              </w:rPr>
              <w:t xml:space="preserve">O </w:t>
            </w:r>
            <w:r>
              <w:rPr>
                <w:b/>
                <w:bCs/>
                <w:iCs/>
              </w:rPr>
              <w:t>Contratado</w:t>
            </w:r>
            <w:r>
              <w:rPr>
                <w:bCs/>
                <w:iCs/>
              </w:rPr>
              <w:t xml:space="preserve"> é responsável pelo projeto de Obras Provisórias.</w:t>
            </w:r>
          </w:p>
          <w:p w14:paraId="01B72DA6">
            <w:pPr>
              <w:spacing w:before="120" w:after="120" w:line="240" w:lineRule="auto"/>
              <w:ind w:left="739" w:hanging="708"/>
              <w:jc w:val="both"/>
              <w:rPr>
                <w:bCs/>
                <w:iCs/>
              </w:rPr>
            </w:pPr>
            <w:r>
              <w:rPr>
                <w:bCs/>
                <w:iCs/>
              </w:rPr>
              <w:t>18.3</w:t>
            </w:r>
            <w:r>
              <w:rPr>
                <w:bCs/>
                <w:iCs/>
              </w:rPr>
              <w:tab/>
            </w:r>
            <w:r>
              <w:rPr>
                <w:bCs/>
                <w:iCs/>
              </w:rPr>
              <w:t xml:space="preserve">A aprovação do Gerente do Contrato não altera a responsabilidade do </w:t>
            </w:r>
            <w:r>
              <w:rPr>
                <w:b/>
                <w:bCs/>
                <w:iCs/>
              </w:rPr>
              <w:t>Contratado</w:t>
            </w:r>
            <w:r>
              <w:rPr>
                <w:bCs/>
                <w:iCs/>
              </w:rPr>
              <w:t xml:space="preserve"> decorrente de seu projeto de Obras Provisórias.</w:t>
            </w:r>
          </w:p>
          <w:p w14:paraId="02BE3814">
            <w:pPr>
              <w:spacing w:before="120" w:after="120" w:line="240" w:lineRule="auto"/>
              <w:ind w:left="739" w:hanging="708"/>
              <w:jc w:val="both"/>
              <w:rPr>
                <w:bCs/>
                <w:iCs/>
              </w:rPr>
            </w:pPr>
            <w:r>
              <w:rPr>
                <w:bCs/>
                <w:iCs/>
              </w:rPr>
              <w:t>18.4</w:t>
            </w:r>
            <w:r>
              <w:rPr>
                <w:bCs/>
                <w:iCs/>
              </w:rPr>
              <w:tab/>
            </w:r>
            <w:r>
              <w:rPr>
                <w:bCs/>
                <w:iCs/>
              </w:rPr>
              <w:t xml:space="preserve">O </w:t>
            </w:r>
            <w:r>
              <w:rPr>
                <w:b/>
                <w:bCs/>
                <w:iCs/>
              </w:rPr>
              <w:t>Contratado</w:t>
            </w:r>
            <w:r>
              <w:rPr>
                <w:bCs/>
                <w:iCs/>
              </w:rPr>
              <w:t xml:space="preserve"> deverá providenciar, quando necessário, a aprovação junto a terceiros para o projeto de Obras Provisórias.</w:t>
            </w:r>
          </w:p>
          <w:p w14:paraId="1E1231C4">
            <w:pPr>
              <w:spacing w:before="120" w:after="120" w:line="240" w:lineRule="auto"/>
              <w:ind w:left="739" w:hanging="708"/>
              <w:jc w:val="both"/>
              <w:rPr>
                <w:bCs/>
                <w:iCs/>
              </w:rPr>
            </w:pPr>
            <w:r>
              <w:rPr>
                <w:bCs/>
                <w:iCs/>
              </w:rPr>
              <w:t>18.5</w:t>
            </w:r>
            <w:r>
              <w:rPr>
                <w:bCs/>
                <w:iCs/>
              </w:rPr>
              <w:tab/>
            </w:r>
            <w:r>
              <w:rPr>
                <w:bCs/>
                <w:iCs/>
              </w:rPr>
              <w:t xml:space="preserve">Todos os Desenhos elaborados pelo </w:t>
            </w:r>
            <w:r>
              <w:rPr>
                <w:b/>
                <w:bCs/>
                <w:iCs/>
              </w:rPr>
              <w:t>Contratado</w:t>
            </w:r>
            <w:r>
              <w:rPr>
                <w:bCs/>
                <w:iCs/>
              </w:rPr>
              <w:t>, para execução das Obras Provisórias e permanentes, estão sujeitos à aprovação prévia do Gerente do Contrato.</w:t>
            </w:r>
          </w:p>
        </w:tc>
      </w:tr>
      <w:tr w14:paraId="7E68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6B3EC57">
            <w:pPr>
              <w:pStyle w:val="83"/>
            </w:pPr>
            <w:bookmarkStart w:id="449" w:name="_Toc174522847"/>
            <w:bookmarkStart w:id="450" w:name="_Toc153209028"/>
            <w:bookmarkStart w:id="451" w:name="_Toc138437083"/>
            <w:r>
              <w:t>19.</w:t>
            </w:r>
            <w:r>
              <w:tab/>
            </w:r>
            <w:r>
              <w:t>Segurança</w:t>
            </w:r>
            <w:bookmarkEnd w:id="449"/>
            <w:bookmarkEnd w:id="450"/>
            <w:bookmarkEnd w:id="451"/>
          </w:p>
        </w:tc>
        <w:tc>
          <w:tcPr>
            <w:tcW w:w="6753" w:type="dxa"/>
          </w:tcPr>
          <w:p w14:paraId="2B3F5568">
            <w:pPr>
              <w:spacing w:before="120" w:after="120" w:line="240" w:lineRule="auto"/>
              <w:ind w:left="739" w:hanging="708"/>
              <w:jc w:val="both"/>
              <w:rPr>
                <w:bCs/>
                <w:iCs/>
              </w:rPr>
            </w:pPr>
            <w:r>
              <w:rPr>
                <w:bCs/>
                <w:iCs/>
              </w:rPr>
              <w:t>19.1</w:t>
            </w:r>
            <w:r>
              <w:rPr>
                <w:bCs/>
                <w:iCs/>
              </w:rPr>
              <w:tab/>
            </w:r>
            <w:r>
              <w:rPr>
                <w:b/>
                <w:bCs/>
                <w:iCs/>
              </w:rPr>
              <w:t>O Contratado</w:t>
            </w:r>
            <w:r>
              <w:rPr>
                <w:bCs/>
                <w:iCs/>
              </w:rPr>
              <w:t xml:space="preserve"> é responsável pela segurança de todas as atividades no Local das Obras.</w:t>
            </w:r>
          </w:p>
          <w:p w14:paraId="1940B666">
            <w:pPr>
              <w:spacing w:before="120" w:after="120" w:line="240" w:lineRule="auto"/>
              <w:ind w:left="739" w:hanging="708"/>
              <w:jc w:val="both"/>
              <w:rPr>
                <w:bCs/>
                <w:iCs/>
              </w:rPr>
            </w:pPr>
            <w:r>
              <w:rPr>
                <w:bCs/>
                <w:iCs/>
              </w:rPr>
              <w:t>19.2</w:t>
            </w:r>
            <w:r>
              <w:rPr>
                <w:bCs/>
                <w:iCs/>
              </w:rPr>
              <w:tab/>
            </w:r>
            <w:r>
              <w:rPr>
                <w:bCs/>
                <w:iCs/>
              </w:rPr>
              <w:t xml:space="preserve">Deverão ser tomadas todas as precauções pelo </w:t>
            </w:r>
            <w:r>
              <w:rPr>
                <w:b/>
                <w:bCs/>
                <w:iCs/>
              </w:rPr>
              <w:t xml:space="preserve">Contratado </w:t>
            </w:r>
            <w:r>
              <w:rPr>
                <w:bCs/>
                <w:iCs/>
              </w:rPr>
              <w:t xml:space="preserve">para evitar quaisquer tipos de acidentes na área de serviço, adotando-se, para isto, medidas gerais de proteção, de segurança e de higiene do trabalho de acordo com a Associação Brasileira de Normas Técnicas (ABNT,) o Ministério do Trabalho e/ou as normas e procedimentos do </w:t>
            </w:r>
            <w:r>
              <w:rPr>
                <w:b/>
                <w:bCs/>
                <w:iCs/>
              </w:rPr>
              <w:t>Contratante.</w:t>
            </w:r>
          </w:p>
        </w:tc>
      </w:tr>
      <w:tr w14:paraId="2DAB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7B17113">
            <w:pPr>
              <w:pStyle w:val="83"/>
            </w:pPr>
            <w:bookmarkStart w:id="452" w:name="_Toc138437084"/>
            <w:bookmarkStart w:id="453" w:name="_Toc174522848"/>
            <w:bookmarkStart w:id="454" w:name="_Toc153209029"/>
            <w:r>
              <w:t>20.</w:t>
            </w:r>
            <w:r>
              <w:tab/>
            </w:r>
            <w:r>
              <w:t>Descobrimentos ou Achados</w:t>
            </w:r>
            <w:bookmarkEnd w:id="452"/>
            <w:bookmarkEnd w:id="453"/>
            <w:bookmarkEnd w:id="454"/>
          </w:p>
        </w:tc>
        <w:tc>
          <w:tcPr>
            <w:tcW w:w="6753" w:type="dxa"/>
          </w:tcPr>
          <w:p w14:paraId="341ECEAD">
            <w:pPr>
              <w:spacing w:before="120" w:after="120" w:line="240" w:lineRule="auto"/>
              <w:ind w:left="739" w:hanging="708"/>
              <w:jc w:val="both"/>
              <w:rPr>
                <w:bCs/>
                <w:iCs/>
              </w:rPr>
            </w:pPr>
            <w:r>
              <w:rPr>
                <w:bCs/>
                <w:iCs/>
              </w:rPr>
              <w:t>20.1</w:t>
            </w:r>
            <w:r>
              <w:rPr>
                <w:bCs/>
                <w:iCs/>
              </w:rPr>
              <w:tab/>
            </w:r>
            <w:r>
              <w:rPr>
                <w:bCs/>
                <w:iCs/>
              </w:rPr>
              <w:t xml:space="preserve">Qualquer objeto de valor histórico ou outro de valor significativo, encontrado no Canteiro de Obras, é de propriedade do </w:t>
            </w:r>
            <w:r>
              <w:rPr>
                <w:b/>
                <w:bCs/>
                <w:iCs/>
              </w:rPr>
              <w:t>Contratante</w:t>
            </w:r>
            <w:r>
              <w:rPr>
                <w:bCs/>
                <w:iCs/>
              </w:rPr>
              <w:t xml:space="preserve">.  O </w:t>
            </w:r>
            <w:r>
              <w:rPr>
                <w:b/>
                <w:bCs/>
                <w:iCs/>
              </w:rPr>
              <w:t>Contratado</w:t>
            </w:r>
            <w:r>
              <w:rPr>
                <w:bCs/>
                <w:iCs/>
              </w:rPr>
              <w:t xml:space="preserve"> deverá notificar o </w:t>
            </w:r>
            <w:r>
              <w:rPr>
                <w:b/>
                <w:bCs/>
                <w:iCs/>
              </w:rPr>
              <w:t>Contratante</w:t>
            </w:r>
            <w:r>
              <w:rPr>
                <w:bCs/>
                <w:iCs/>
              </w:rPr>
              <w:t xml:space="preserve"> por intermédio do Gerente do Contrato, quando da ocorrência de tais fatos, obrigando-se a acatar as instruções subsequentes do Gerente do Contrato.</w:t>
            </w:r>
          </w:p>
        </w:tc>
      </w:tr>
      <w:tr w14:paraId="1EAC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506F1F0">
            <w:pPr>
              <w:pStyle w:val="83"/>
            </w:pPr>
            <w:bookmarkStart w:id="455" w:name="_Toc153209030"/>
            <w:bookmarkStart w:id="456" w:name="_Toc174522849"/>
            <w:bookmarkStart w:id="457" w:name="_Toc138437085"/>
            <w:r>
              <w:t>21.</w:t>
            </w:r>
            <w:r>
              <w:tab/>
            </w:r>
            <w:r>
              <w:t>Posse do Local das Obras</w:t>
            </w:r>
            <w:bookmarkEnd w:id="455"/>
            <w:bookmarkEnd w:id="456"/>
            <w:bookmarkEnd w:id="457"/>
          </w:p>
        </w:tc>
        <w:tc>
          <w:tcPr>
            <w:tcW w:w="6753" w:type="dxa"/>
          </w:tcPr>
          <w:p w14:paraId="19083C0A">
            <w:pPr>
              <w:spacing w:before="120" w:after="120" w:line="240" w:lineRule="auto"/>
              <w:ind w:left="739" w:hanging="708"/>
              <w:jc w:val="both"/>
              <w:rPr>
                <w:bCs/>
                <w:iCs/>
              </w:rPr>
            </w:pPr>
            <w:r>
              <w:rPr>
                <w:bCs/>
                <w:iCs/>
              </w:rPr>
              <w:t>21.1</w:t>
            </w:r>
            <w:r>
              <w:rPr>
                <w:bCs/>
                <w:iCs/>
              </w:rPr>
              <w:tab/>
            </w:r>
            <w:r>
              <w:rPr>
                <w:bCs/>
                <w:iCs/>
              </w:rPr>
              <w:t xml:space="preserve">O </w:t>
            </w:r>
            <w:r>
              <w:rPr>
                <w:b/>
                <w:bCs/>
                <w:iCs/>
              </w:rPr>
              <w:t>Contratante</w:t>
            </w:r>
            <w:r>
              <w:rPr>
                <w:bCs/>
                <w:iCs/>
              </w:rPr>
              <w:t xml:space="preserve"> dará posse de todas as partes do Local das Obras ao </w:t>
            </w:r>
            <w:r>
              <w:rPr>
                <w:b/>
                <w:bCs/>
                <w:iCs/>
              </w:rPr>
              <w:t>Contratado</w:t>
            </w:r>
            <w:r>
              <w:rPr>
                <w:bCs/>
                <w:iCs/>
              </w:rPr>
              <w:t xml:space="preserve">. Caso a posse de uma parte não se verifique na data estipulada nos </w:t>
            </w:r>
            <w:r>
              <w:rPr>
                <w:b/>
                <w:bCs/>
                <w:iCs/>
              </w:rPr>
              <w:t>DDC</w:t>
            </w:r>
            <w:r>
              <w:rPr>
                <w:bCs/>
                <w:iCs/>
              </w:rPr>
              <w:t>, constituirá o atraso em Evento Passível de Compensação, postergando-se o início das atividades conexas.</w:t>
            </w:r>
          </w:p>
          <w:p w14:paraId="1D579ED4">
            <w:pPr>
              <w:spacing w:before="120" w:after="120" w:line="240" w:lineRule="auto"/>
              <w:ind w:left="739" w:hanging="708"/>
              <w:jc w:val="both"/>
              <w:rPr>
                <w:bCs/>
                <w:iCs/>
              </w:rPr>
            </w:pPr>
            <w:r>
              <w:rPr>
                <w:bCs/>
                <w:iCs/>
              </w:rPr>
              <w:t>21.2</w:t>
            </w:r>
            <w:r>
              <w:rPr>
                <w:bCs/>
                <w:iCs/>
              </w:rPr>
              <w:tab/>
            </w:r>
            <w:r>
              <w:rPr>
                <w:bCs/>
                <w:iCs/>
              </w:rPr>
              <w:t xml:space="preserve">O local de instalação do Canteiro de Obras deverá ser previamente aprovado pelo </w:t>
            </w:r>
            <w:r>
              <w:rPr>
                <w:b/>
                <w:bCs/>
                <w:iCs/>
              </w:rPr>
              <w:t>Contratante</w:t>
            </w:r>
            <w:r>
              <w:rPr>
                <w:bCs/>
                <w:iCs/>
              </w:rPr>
              <w:t>.</w:t>
            </w:r>
          </w:p>
        </w:tc>
      </w:tr>
      <w:tr w14:paraId="7EF9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B847838">
            <w:pPr>
              <w:pStyle w:val="83"/>
            </w:pPr>
            <w:bookmarkStart w:id="458" w:name="_Toc174522850"/>
            <w:bookmarkStart w:id="459" w:name="_Toc153209031"/>
            <w:bookmarkStart w:id="460" w:name="_Toc138437086"/>
            <w:r>
              <w:t>22.</w:t>
            </w:r>
            <w:r>
              <w:tab/>
            </w:r>
            <w:r>
              <w:t>Acesso ao Local das Obras</w:t>
            </w:r>
            <w:bookmarkEnd w:id="458"/>
            <w:bookmarkEnd w:id="459"/>
            <w:bookmarkEnd w:id="460"/>
          </w:p>
        </w:tc>
        <w:tc>
          <w:tcPr>
            <w:tcW w:w="6753" w:type="dxa"/>
          </w:tcPr>
          <w:p w14:paraId="15849533">
            <w:pPr>
              <w:spacing w:before="120" w:after="120" w:line="240" w:lineRule="auto"/>
              <w:ind w:left="739" w:hanging="708"/>
              <w:jc w:val="both"/>
              <w:rPr>
                <w:bCs/>
                <w:iCs/>
              </w:rPr>
            </w:pPr>
            <w:r>
              <w:rPr>
                <w:bCs/>
                <w:iCs/>
              </w:rPr>
              <w:t>22.1</w:t>
            </w:r>
            <w:r>
              <w:rPr>
                <w:bCs/>
                <w:iCs/>
              </w:rPr>
              <w:tab/>
            </w:r>
            <w:r>
              <w:rPr>
                <w:bCs/>
                <w:iCs/>
              </w:rPr>
              <w:t xml:space="preserve">O </w:t>
            </w:r>
            <w:r>
              <w:rPr>
                <w:b/>
                <w:bCs/>
                <w:iCs/>
              </w:rPr>
              <w:t>Contratado</w:t>
            </w:r>
            <w:r>
              <w:rPr>
                <w:bCs/>
                <w:iCs/>
              </w:rPr>
              <w:t xml:space="preserve"> deverá permitir ao </w:t>
            </w:r>
            <w:r>
              <w:rPr>
                <w:b/>
                <w:bCs/>
                <w:iCs/>
              </w:rPr>
              <w:t>Contratante</w:t>
            </w:r>
            <w:r>
              <w:rPr>
                <w:bCs/>
                <w:iCs/>
              </w:rPr>
              <w:t xml:space="preserve"> e a pessoa por este autorizada, acesso ao Local das Obras e a qualquer lugar onde a obra esteja sendo ou venha a ser executada.</w:t>
            </w:r>
          </w:p>
        </w:tc>
      </w:tr>
      <w:tr w14:paraId="1164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25F2134">
            <w:pPr>
              <w:pStyle w:val="83"/>
            </w:pPr>
            <w:bookmarkStart w:id="461" w:name="_Toc153209032"/>
            <w:bookmarkStart w:id="462" w:name="_Toc56168308"/>
            <w:bookmarkStart w:id="463" w:name="_Toc138437087"/>
            <w:bookmarkStart w:id="464" w:name="_Toc99025973"/>
            <w:bookmarkStart w:id="465" w:name="_Toc20735933"/>
            <w:bookmarkStart w:id="466" w:name="_Toc174522851"/>
            <w:r>
              <w:t>23.</w:t>
            </w:r>
            <w:r>
              <w:tab/>
            </w:r>
            <w:r>
              <w:t>Instruções, Inspeções e Auditorias</w:t>
            </w:r>
            <w:bookmarkEnd w:id="461"/>
            <w:bookmarkEnd w:id="462"/>
            <w:bookmarkEnd w:id="463"/>
            <w:bookmarkEnd w:id="464"/>
            <w:bookmarkEnd w:id="465"/>
            <w:bookmarkEnd w:id="466"/>
          </w:p>
        </w:tc>
        <w:tc>
          <w:tcPr>
            <w:tcW w:w="6753" w:type="dxa"/>
          </w:tcPr>
          <w:p w14:paraId="06FAD8F8">
            <w:pPr>
              <w:spacing w:before="120" w:after="120" w:line="240" w:lineRule="auto"/>
              <w:ind w:left="739" w:hanging="708"/>
              <w:jc w:val="both"/>
              <w:rPr>
                <w:bCs/>
                <w:iCs/>
              </w:rPr>
            </w:pPr>
            <w:r>
              <w:rPr>
                <w:bCs/>
                <w:iCs/>
              </w:rPr>
              <w:t>23.1</w:t>
            </w:r>
            <w:r>
              <w:rPr>
                <w:bCs/>
                <w:iCs/>
              </w:rPr>
              <w:tab/>
            </w:r>
            <w:r>
              <w:rPr>
                <w:bCs/>
                <w:iCs/>
              </w:rPr>
              <w:t xml:space="preserve">O </w:t>
            </w:r>
            <w:r>
              <w:rPr>
                <w:b/>
                <w:bCs/>
                <w:iCs/>
              </w:rPr>
              <w:t>Contratado</w:t>
            </w:r>
            <w:r>
              <w:rPr>
                <w:bCs/>
                <w:iCs/>
              </w:rPr>
              <w:t xml:space="preserve"> deverá cumprir todas as instruções do Gerente do Contrato, desde que de acordo com as leis vigentes no local onde o Local das Obras está situado.</w:t>
            </w:r>
          </w:p>
          <w:p w14:paraId="03604B13">
            <w:pPr>
              <w:spacing w:before="120" w:after="120" w:line="240" w:lineRule="auto"/>
              <w:ind w:left="739" w:hanging="708"/>
              <w:jc w:val="both"/>
              <w:rPr>
                <w:bCs/>
                <w:iCs/>
              </w:rPr>
            </w:pPr>
            <w:r>
              <w:rPr>
                <w:bCs/>
                <w:iCs/>
              </w:rPr>
              <w:t>23.2</w:t>
            </w:r>
            <w:r>
              <w:rPr>
                <w:bCs/>
                <w:iCs/>
              </w:rPr>
              <w:tab/>
            </w:r>
            <w:r>
              <w:rPr>
                <w:bCs/>
                <w:iCs/>
              </w:rPr>
              <w:t xml:space="preserve">O </w:t>
            </w:r>
            <w:r>
              <w:rPr>
                <w:b/>
                <w:bCs/>
                <w:iCs/>
              </w:rPr>
              <w:t>Contratado</w:t>
            </w:r>
            <w:r>
              <w:rPr>
                <w:bCs/>
                <w:iCs/>
              </w:rPr>
              <w:t xml:space="preserve"> deverá permitir ao FONPLATA e ao </w:t>
            </w:r>
            <w:r>
              <w:rPr>
                <w:b/>
                <w:bCs/>
                <w:iCs/>
              </w:rPr>
              <w:t>Contratante</w:t>
            </w:r>
            <w:r>
              <w:rPr>
                <w:bCs/>
                <w:iCs/>
              </w:rPr>
              <w:t xml:space="preserve">, caso solicitado, que inspecione seus registros contábeis com relação à execução do Contrato, bem como, permitir a realização de uma auditoria a ser executada por auditores designados pelo FONPLATA ou pelo </w:t>
            </w:r>
            <w:r>
              <w:rPr>
                <w:b/>
                <w:bCs/>
                <w:iCs/>
              </w:rPr>
              <w:t>Contratante</w:t>
            </w:r>
            <w:r>
              <w:rPr>
                <w:bCs/>
                <w:iCs/>
              </w:rPr>
              <w:t>.</w:t>
            </w:r>
          </w:p>
        </w:tc>
      </w:tr>
      <w:tr w14:paraId="33B5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BC30248">
            <w:pPr>
              <w:pStyle w:val="83"/>
            </w:pPr>
            <w:bookmarkStart w:id="467" w:name="_Toc20735934"/>
            <w:bookmarkStart w:id="468" w:name="_Toc99025974"/>
            <w:bookmarkStart w:id="469" w:name="_Toc56168309"/>
            <w:bookmarkStart w:id="470" w:name="_Toc153209033"/>
            <w:bookmarkStart w:id="471" w:name="_Toc174522852"/>
            <w:bookmarkStart w:id="472" w:name="_Toc138437088"/>
            <w:r>
              <w:t>24.</w:t>
            </w:r>
            <w:r>
              <w:tab/>
            </w:r>
            <w:r>
              <w:t>Resolução de Conflitos</w:t>
            </w:r>
            <w:bookmarkEnd w:id="467"/>
            <w:bookmarkEnd w:id="468"/>
            <w:bookmarkEnd w:id="469"/>
            <w:bookmarkEnd w:id="470"/>
            <w:bookmarkEnd w:id="471"/>
            <w:bookmarkEnd w:id="472"/>
          </w:p>
        </w:tc>
        <w:tc>
          <w:tcPr>
            <w:tcW w:w="6753" w:type="dxa"/>
          </w:tcPr>
          <w:p w14:paraId="5DAFA89D">
            <w:pPr>
              <w:spacing w:before="120" w:after="120" w:line="240" w:lineRule="auto"/>
              <w:ind w:left="739" w:hanging="708"/>
              <w:jc w:val="both"/>
              <w:rPr>
                <w:bCs/>
                <w:iCs/>
              </w:rPr>
            </w:pPr>
            <w:r>
              <w:rPr>
                <w:bCs/>
                <w:iCs/>
              </w:rPr>
              <w:t>24.1</w:t>
            </w:r>
            <w:r>
              <w:rPr>
                <w:bCs/>
                <w:iCs/>
              </w:rPr>
              <w:tab/>
            </w:r>
            <w:r>
              <w:rPr>
                <w:bCs/>
                <w:iCs/>
              </w:rPr>
              <w:t>As Partes deverão esforçar-se para resolver, amigavelmente, por meio de negociações diretas e informais, qualquer desavença ou disputa que surgir entre as partes sobre o Contrato.</w:t>
            </w:r>
          </w:p>
          <w:p w14:paraId="10E20FA3">
            <w:pPr>
              <w:spacing w:before="120" w:after="120" w:line="240" w:lineRule="auto"/>
              <w:ind w:left="739" w:hanging="708"/>
              <w:jc w:val="both"/>
              <w:rPr>
                <w:bCs/>
                <w:iCs/>
              </w:rPr>
            </w:pPr>
            <w:r>
              <w:rPr>
                <w:bCs/>
                <w:iCs/>
              </w:rPr>
              <w:t>24.2</w:t>
            </w:r>
            <w:r>
              <w:rPr>
                <w:bCs/>
                <w:iCs/>
              </w:rPr>
              <w:tab/>
            </w:r>
            <w:r>
              <w:rPr>
                <w:bCs/>
                <w:iCs/>
              </w:rPr>
              <w:t xml:space="preserve">As Partes, de comum acordo, irão designar um profissional atribuindo-lhe a função de Conciliador/Mediador, no procedimento administrativo a ser instaurado pelo controle interno do município.  </w:t>
            </w:r>
          </w:p>
          <w:p w14:paraId="65F8608D">
            <w:pPr>
              <w:spacing w:before="120" w:after="120" w:line="240" w:lineRule="auto"/>
              <w:ind w:left="739" w:hanging="708"/>
              <w:jc w:val="both"/>
              <w:rPr>
                <w:bCs/>
                <w:iCs/>
              </w:rPr>
            </w:pPr>
            <w:r>
              <w:rPr>
                <w:bCs/>
                <w:iCs/>
              </w:rPr>
              <w:t>24.3</w:t>
            </w:r>
            <w:r>
              <w:rPr>
                <w:bCs/>
                <w:iCs/>
              </w:rPr>
              <w:tab/>
            </w:r>
            <w:r>
              <w:rPr>
                <w:bCs/>
                <w:iCs/>
              </w:rPr>
              <w:t xml:space="preserve">Se o </w:t>
            </w:r>
            <w:r>
              <w:rPr>
                <w:b/>
                <w:bCs/>
                <w:iCs/>
              </w:rPr>
              <w:t>Contratado</w:t>
            </w:r>
            <w:r>
              <w:rPr>
                <w:bCs/>
                <w:iCs/>
              </w:rPr>
              <w:t xml:space="preserve"> acreditar que uma decisão tomada pelo Gerente do Projeto extrapolou a autoridade dada ao mesmo pelo Contrato ou que a decisão foi tomada erroneamente, a decisão deverá ser encaminhada ao Conciliador dentro de 15 dias após a notificação da decisão do Gerente do Projeto.</w:t>
            </w:r>
          </w:p>
          <w:p w14:paraId="6C2E3C9D">
            <w:pPr>
              <w:spacing w:before="120" w:after="120" w:line="240" w:lineRule="auto"/>
              <w:jc w:val="both"/>
              <w:rPr>
                <w:b/>
                <w:bCs/>
                <w:iCs/>
                <w:u w:val="single"/>
              </w:rPr>
            </w:pPr>
            <w:r>
              <w:rPr>
                <w:bCs/>
                <w:iCs/>
              </w:rPr>
              <w:tab/>
            </w:r>
            <w:r>
              <w:rPr>
                <w:b/>
                <w:bCs/>
                <w:iCs/>
                <w:u w:val="single"/>
              </w:rPr>
              <w:t>Procedimento em Caso de Conflito</w:t>
            </w:r>
          </w:p>
          <w:p w14:paraId="6491FB85">
            <w:pPr>
              <w:spacing w:before="120" w:after="120" w:line="240" w:lineRule="auto"/>
              <w:ind w:left="739" w:hanging="708"/>
              <w:jc w:val="both"/>
              <w:rPr>
                <w:bCs/>
                <w:iCs/>
              </w:rPr>
            </w:pPr>
            <w:r>
              <w:rPr>
                <w:bCs/>
                <w:iCs/>
              </w:rPr>
              <w:t>24.4</w:t>
            </w:r>
            <w:r>
              <w:rPr>
                <w:bCs/>
                <w:iCs/>
              </w:rPr>
              <w:tab/>
            </w:r>
            <w:r>
              <w:rPr>
                <w:bCs/>
                <w:iCs/>
              </w:rPr>
              <w:t>No caso da não resolução amigável, o Gerente de Projeto deverá requerer ao Controle Interno do Município, instauração de procedimento administrativo específico, para a solução do conflito, observando o contraditório e ampla defesa.</w:t>
            </w:r>
          </w:p>
          <w:p w14:paraId="5A2E54D6">
            <w:pPr>
              <w:spacing w:before="120" w:after="120" w:line="240" w:lineRule="auto"/>
              <w:ind w:left="739" w:hanging="708"/>
              <w:jc w:val="both"/>
              <w:rPr>
                <w:bCs/>
                <w:iCs/>
              </w:rPr>
            </w:pPr>
            <w:r>
              <w:rPr>
                <w:bCs/>
                <w:iCs/>
              </w:rPr>
              <w:t>24.5</w:t>
            </w:r>
            <w:r>
              <w:rPr>
                <w:bCs/>
                <w:iCs/>
              </w:rPr>
              <w:tab/>
            </w:r>
            <w:r>
              <w:rPr>
                <w:bCs/>
                <w:iCs/>
              </w:rPr>
              <w:t>A administração poderá, ainda, utilizar dos meios alternativos de prevenção e resolução de controvérsias, notadamente a conciliação, a mediação, o comitê de resolução de disputas e a arbitragem, a ser designado mediante ato específico, nos termos do artigo 151, da Lei 14.133/2021.</w:t>
            </w:r>
          </w:p>
          <w:p w14:paraId="7D85B3EE">
            <w:pPr>
              <w:spacing w:after="0" w:line="240" w:lineRule="auto"/>
              <w:ind w:left="596" w:hanging="596"/>
              <w:jc w:val="both"/>
            </w:pPr>
            <w:r>
              <w:t>24.6    Caso o Contratante e o Contratado não cheguem à solução amigável, fica eleito o foro da Comarca de Dourados, Estado de Mato Grosso do Sul, para dirimir todas as questões oriundas do presente Contrato, sendo esta, competente para a propositura de qualquer medida judicial, decorrente deste instrumento contratual, com a exclusão de qualquer outro, por mais privilegiado que seja.</w:t>
            </w:r>
          </w:p>
        </w:tc>
      </w:tr>
      <w:tr w14:paraId="3813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BEBEBE" w:themeFill="background1" w:themeFillShade="BF"/>
            <w:vAlign w:val="top"/>
          </w:tcPr>
          <w:p w14:paraId="0BFC6801">
            <w:pPr>
              <w:pStyle w:val="81"/>
              <w:rPr>
                <w:rFonts w:hint="default"/>
                <w:lang w:val="pt-BR"/>
              </w:rPr>
            </w:pPr>
            <w:bookmarkStart w:id="473" w:name="_Toc138437092"/>
            <w:bookmarkStart w:id="474" w:name="_Toc174522853"/>
            <w:bookmarkStart w:id="475" w:name="_Toc153209035"/>
            <w:r>
              <w:rPr>
                <w:rFonts w:hint="default"/>
                <w:b/>
                <w:bCs/>
                <w:lang w:val="pt-BR"/>
              </w:rPr>
              <w:t>B</w:t>
            </w:r>
            <w:r>
              <w:rPr>
                <w:rFonts w:hint="default"/>
                <w:b/>
                <w:bCs/>
              </w:rPr>
              <w:t xml:space="preserve"> – CONTROLE DE </w:t>
            </w:r>
            <w:r>
              <w:rPr>
                <w:rFonts w:hint="default"/>
                <w:b/>
                <w:bCs/>
                <w:lang w:val="pt-BR"/>
              </w:rPr>
              <w:t>TEMPO</w:t>
            </w:r>
          </w:p>
        </w:tc>
      </w:tr>
      <w:tr w14:paraId="7ABD2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27E77A3">
            <w:pPr>
              <w:pStyle w:val="83"/>
            </w:pPr>
            <w:r>
              <w:t>25.</w:t>
            </w:r>
            <w:r>
              <w:tab/>
            </w:r>
            <w:r>
              <w:t>Cronograma de Implementação das Obras</w:t>
            </w:r>
            <w:bookmarkEnd w:id="473"/>
            <w:bookmarkEnd w:id="474"/>
            <w:bookmarkEnd w:id="475"/>
          </w:p>
        </w:tc>
        <w:tc>
          <w:tcPr>
            <w:tcW w:w="6753" w:type="dxa"/>
          </w:tcPr>
          <w:p w14:paraId="17BDCEEF">
            <w:pPr>
              <w:spacing w:before="120" w:after="120" w:line="240" w:lineRule="auto"/>
              <w:ind w:left="739" w:hanging="708"/>
              <w:jc w:val="both"/>
              <w:rPr>
                <w:bCs/>
                <w:iCs/>
              </w:rPr>
            </w:pPr>
            <w:r>
              <w:rPr>
                <w:bCs/>
                <w:iCs/>
              </w:rPr>
              <w:t>25.1</w:t>
            </w:r>
            <w:r>
              <w:rPr>
                <w:bCs/>
                <w:iCs/>
              </w:rPr>
              <w:tab/>
            </w:r>
            <w:r>
              <w:rPr>
                <w:bCs/>
                <w:iCs/>
              </w:rPr>
              <w:t xml:space="preserve">No prazo fixado nos </w:t>
            </w:r>
            <w:r>
              <w:rPr>
                <w:b/>
                <w:bCs/>
                <w:iCs/>
              </w:rPr>
              <w:t>DDC</w:t>
            </w:r>
            <w:r>
              <w:rPr>
                <w:bCs/>
                <w:iCs/>
              </w:rPr>
              <w:t xml:space="preserve">, o </w:t>
            </w:r>
            <w:r>
              <w:rPr>
                <w:b/>
                <w:bCs/>
                <w:iCs/>
              </w:rPr>
              <w:t>Contratado</w:t>
            </w:r>
            <w:r>
              <w:rPr>
                <w:bCs/>
                <w:iCs/>
              </w:rPr>
              <w:t xml:space="preserve"> deverá submeter à aprovação do Gerente do Contrato, o Cronograma de Implementação das Obras (Cronograma Físico) atualizado, demonstrando os métodos gerais, ordem e programação para todas as atividades nas Obras.</w:t>
            </w:r>
          </w:p>
          <w:p w14:paraId="4B2D51F0">
            <w:pPr>
              <w:spacing w:before="120" w:after="120" w:line="240" w:lineRule="auto"/>
              <w:ind w:left="739" w:hanging="708"/>
              <w:jc w:val="both"/>
              <w:rPr>
                <w:bCs/>
                <w:iCs/>
              </w:rPr>
            </w:pPr>
            <w:r>
              <w:rPr>
                <w:bCs/>
                <w:iCs/>
              </w:rPr>
              <w:t>25.2</w:t>
            </w:r>
            <w:r>
              <w:rPr>
                <w:bCs/>
                <w:iCs/>
              </w:rPr>
              <w:tab/>
            </w:r>
            <w:r>
              <w:rPr>
                <w:bCs/>
                <w:iCs/>
              </w:rPr>
              <w:t xml:space="preserve">O cronograma deverá ser atualizado conforme indicado nos </w:t>
            </w:r>
            <w:r>
              <w:rPr>
                <w:b/>
                <w:bCs/>
                <w:iCs/>
              </w:rPr>
              <w:t>DDC</w:t>
            </w:r>
            <w:r>
              <w:rPr>
                <w:bCs/>
                <w:iCs/>
              </w:rPr>
              <w:t>, demonstrando-se o progresso real alcançado em cada atividade e seus efeitos na programação do serviço remanescente, incluindo-se mudanças sugeridas na sequência das atividades.</w:t>
            </w:r>
          </w:p>
          <w:p w14:paraId="6A572C09">
            <w:pPr>
              <w:spacing w:before="120" w:after="120" w:line="240" w:lineRule="auto"/>
              <w:ind w:left="739" w:hanging="708"/>
              <w:jc w:val="both"/>
              <w:rPr>
                <w:bCs/>
                <w:iCs/>
              </w:rPr>
            </w:pPr>
            <w:r>
              <w:rPr>
                <w:bCs/>
                <w:iCs/>
              </w:rPr>
              <w:t>25.3</w:t>
            </w:r>
            <w:r>
              <w:rPr>
                <w:bCs/>
                <w:iCs/>
              </w:rPr>
              <w:tab/>
            </w:r>
            <w:r>
              <w:rPr>
                <w:bCs/>
                <w:iCs/>
              </w:rPr>
              <w:t xml:space="preserve">No caso do não cumprimento do cronograma ou a não pontualidade, o Gerente do Contrato poderá reter, do pagamento seguinte, o valor fixado nos </w:t>
            </w:r>
            <w:r>
              <w:rPr>
                <w:b/>
                <w:bCs/>
                <w:iCs/>
              </w:rPr>
              <w:t>DDC</w:t>
            </w:r>
            <w:r>
              <w:rPr>
                <w:bCs/>
                <w:iCs/>
              </w:rPr>
              <w:t xml:space="preserve"> até que a obrigação seja efetivamente cumprida.</w:t>
            </w:r>
          </w:p>
          <w:p w14:paraId="2EC20318">
            <w:pPr>
              <w:spacing w:before="120" w:after="120" w:line="240" w:lineRule="auto"/>
              <w:ind w:left="739" w:hanging="708"/>
              <w:jc w:val="both"/>
              <w:rPr>
                <w:bCs/>
                <w:iCs/>
              </w:rPr>
            </w:pPr>
            <w:r>
              <w:rPr>
                <w:bCs/>
                <w:iCs/>
              </w:rPr>
              <w:t>25.4</w:t>
            </w:r>
            <w:r>
              <w:rPr>
                <w:bCs/>
                <w:iCs/>
              </w:rPr>
              <w:tab/>
            </w:r>
            <w:r>
              <w:rPr>
                <w:bCs/>
                <w:iCs/>
              </w:rPr>
              <w:t xml:space="preserve">A aprovação do cronograma pelo Gerente do Contrato não altera as obrigações do </w:t>
            </w:r>
            <w:r>
              <w:rPr>
                <w:b/>
                <w:bCs/>
                <w:iCs/>
              </w:rPr>
              <w:t>Contratado</w:t>
            </w:r>
            <w:r>
              <w:rPr>
                <w:bCs/>
                <w:iCs/>
              </w:rPr>
              <w:t xml:space="preserve">. O </w:t>
            </w:r>
            <w:r>
              <w:rPr>
                <w:b/>
                <w:bCs/>
                <w:iCs/>
              </w:rPr>
              <w:t>Contratado</w:t>
            </w:r>
            <w:r>
              <w:rPr>
                <w:bCs/>
                <w:iCs/>
              </w:rPr>
              <w:t xml:space="preserve"> pode revisar o cronograma submetendo-o novamente, a qualquer momento, ao Gerente do Contrato.  O cronograma revisado deverá demonstrar o impacto das Variações e Eventos Passíveis de Compensação.</w:t>
            </w:r>
          </w:p>
          <w:p w14:paraId="351A59E4">
            <w:pPr>
              <w:spacing w:before="120" w:after="120" w:line="240" w:lineRule="auto"/>
              <w:ind w:left="739" w:hanging="708"/>
              <w:jc w:val="both"/>
              <w:rPr>
                <w:bCs/>
                <w:iCs/>
              </w:rPr>
            </w:pPr>
            <w:r>
              <w:rPr>
                <w:bCs/>
                <w:iCs/>
              </w:rPr>
              <w:t>25.5</w:t>
            </w:r>
            <w:r>
              <w:rPr>
                <w:bCs/>
                <w:iCs/>
              </w:rPr>
              <w:tab/>
            </w:r>
            <w:r>
              <w:rPr>
                <w:bCs/>
                <w:iCs/>
              </w:rPr>
              <w:t>Em caso de impedimento, ordem de paralisação ou suspensão do contrato, o cronograma será prorrogado automaticamente pelo tempo correspondente, anotadas tais circunstâncias mediante simples apostila.</w:t>
            </w:r>
          </w:p>
          <w:p w14:paraId="6D3E3A72">
            <w:pPr>
              <w:spacing w:before="120" w:after="120" w:line="240" w:lineRule="auto"/>
              <w:ind w:left="739" w:hanging="708"/>
              <w:jc w:val="both"/>
              <w:rPr>
                <w:bCs/>
                <w:iCs/>
              </w:rPr>
            </w:pPr>
            <w:r>
              <w:rPr>
                <w:bCs/>
                <w:iCs/>
              </w:rPr>
              <w:t>25.6</w:t>
            </w:r>
            <w:r>
              <w:rPr>
                <w:bCs/>
                <w:iCs/>
              </w:rPr>
              <w:tab/>
            </w:r>
            <w:r>
              <w:rPr>
                <w:bCs/>
                <w:iCs/>
              </w:rPr>
              <w:t xml:space="preserve">Verificada a ocorrência do disposto na subcláusula anterior por mais de um mês, o </w:t>
            </w:r>
            <w:r>
              <w:rPr>
                <w:b/>
                <w:bCs/>
                <w:iCs/>
              </w:rPr>
              <w:t>Contratante</w:t>
            </w:r>
            <w:r>
              <w:rPr>
                <w:bCs/>
                <w:iCs/>
              </w:rPr>
              <w:t xml:space="preserve"> deverá divulgar, em seu site e em placa a ser afixada em local da obra de fácil visualização, aviso público de obra paralisada, com o motivo e o responsável da inexecução temporária do objeto do contrato e a data prevista para o reinício da sua execução.</w:t>
            </w:r>
          </w:p>
        </w:tc>
      </w:tr>
      <w:tr w14:paraId="5245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1470DE4">
            <w:pPr>
              <w:pStyle w:val="83"/>
            </w:pPr>
            <w:bookmarkStart w:id="476" w:name="_Toc153209036"/>
            <w:bookmarkStart w:id="477" w:name="_Toc99025979"/>
            <w:bookmarkStart w:id="478" w:name="_Toc138437093"/>
            <w:bookmarkStart w:id="479" w:name="_Toc56168314"/>
            <w:bookmarkStart w:id="480" w:name="_Toc20735939"/>
            <w:bookmarkStart w:id="481" w:name="_Toc174522854"/>
            <w:r>
              <w:t>26.</w:t>
            </w:r>
            <w:r>
              <w:tab/>
            </w:r>
            <w:r>
              <w:t>Alteração da Data Prevista para a Conclusão</w:t>
            </w:r>
            <w:bookmarkEnd w:id="476"/>
            <w:bookmarkEnd w:id="477"/>
            <w:bookmarkEnd w:id="478"/>
            <w:bookmarkEnd w:id="479"/>
            <w:bookmarkEnd w:id="480"/>
            <w:bookmarkEnd w:id="481"/>
          </w:p>
        </w:tc>
        <w:tc>
          <w:tcPr>
            <w:tcW w:w="6753" w:type="dxa"/>
          </w:tcPr>
          <w:p w14:paraId="3B712340">
            <w:pPr>
              <w:spacing w:before="120" w:after="120" w:line="240" w:lineRule="auto"/>
              <w:ind w:left="739" w:hanging="708"/>
              <w:jc w:val="both"/>
              <w:rPr>
                <w:bCs/>
                <w:iCs/>
              </w:rPr>
            </w:pPr>
            <w:r>
              <w:rPr>
                <w:bCs/>
                <w:iCs/>
              </w:rPr>
              <w:t>26.1</w:t>
            </w:r>
            <w:r>
              <w:rPr>
                <w:bCs/>
                <w:iCs/>
              </w:rPr>
              <w:tab/>
            </w:r>
            <w:r>
              <w:rPr>
                <w:bCs/>
                <w:iCs/>
              </w:rPr>
              <w:t xml:space="preserve">O Gerente do Contrato deverá alterar a Data Prevista para a Conclusão caso um Evento Passível de Compensação venha a ocorrer ou se uma Ordem de Variação tornar impossível a conclusão na Data Prevista de acordo com a programação acordada. </w:t>
            </w:r>
          </w:p>
          <w:p w14:paraId="65C9D9AB">
            <w:pPr>
              <w:spacing w:before="120" w:after="120" w:line="240" w:lineRule="auto"/>
              <w:ind w:left="739" w:hanging="708"/>
              <w:jc w:val="both"/>
              <w:rPr>
                <w:bCs/>
                <w:iCs/>
              </w:rPr>
            </w:pPr>
            <w:r>
              <w:rPr>
                <w:bCs/>
                <w:iCs/>
              </w:rPr>
              <w:t>26.2</w:t>
            </w:r>
            <w:r>
              <w:rPr>
                <w:bCs/>
                <w:iCs/>
              </w:rPr>
              <w:tab/>
            </w:r>
            <w:r>
              <w:rPr>
                <w:bCs/>
                <w:iCs/>
              </w:rPr>
              <w:t xml:space="preserve">O Gerente do Contrato deverá decidir, dentro de 10 dias contados da data da consulta do </w:t>
            </w:r>
            <w:r>
              <w:rPr>
                <w:b/>
                <w:bCs/>
                <w:iCs/>
              </w:rPr>
              <w:t>Contratado</w:t>
            </w:r>
            <w:r>
              <w:rPr>
                <w:bCs/>
                <w:iCs/>
              </w:rPr>
              <w:t xml:space="preserve">, devidamente acompanhada das justificativas a respeito dos efeitos de um Evento de Compensação ou Variação, informando da possibilidade e duração da prorrogação da Data Prevista para a Conclusão.  Caso o </w:t>
            </w:r>
            <w:r>
              <w:rPr>
                <w:b/>
                <w:bCs/>
                <w:iCs/>
              </w:rPr>
              <w:t>Contratado</w:t>
            </w:r>
            <w:r>
              <w:rPr>
                <w:bCs/>
                <w:iCs/>
              </w:rPr>
              <w:t xml:space="preserve"> não alerte o </w:t>
            </w:r>
            <w:r>
              <w:rPr>
                <w:b/>
                <w:bCs/>
                <w:iCs/>
              </w:rPr>
              <w:t>Contratante</w:t>
            </w:r>
            <w:r>
              <w:rPr>
                <w:bCs/>
                <w:iCs/>
              </w:rPr>
              <w:t xml:space="preserve"> a respeito do provável atraso, ou deixe de cooperar para evitá-lo, o retardamento ser-lhe-á imputado deixando de ser considerado na fixação da nova Data Prevista para a Conclusão.</w:t>
            </w:r>
          </w:p>
        </w:tc>
      </w:tr>
      <w:tr w14:paraId="1167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08884E15">
            <w:pPr>
              <w:pStyle w:val="83"/>
            </w:pPr>
            <w:bookmarkStart w:id="482" w:name="_Toc153209037"/>
            <w:bookmarkStart w:id="483" w:name="_Toc20735940"/>
            <w:bookmarkStart w:id="484" w:name="_Toc99025980"/>
            <w:bookmarkStart w:id="485" w:name="_Toc138437094"/>
            <w:bookmarkStart w:id="486" w:name="_Toc56168315"/>
            <w:bookmarkStart w:id="487" w:name="_Toc174522855"/>
            <w:r>
              <w:t>27.</w:t>
            </w:r>
            <w:r>
              <w:tab/>
            </w:r>
            <w:r>
              <w:t>Antecipação</w:t>
            </w:r>
            <w:bookmarkEnd w:id="482"/>
            <w:bookmarkEnd w:id="483"/>
            <w:bookmarkEnd w:id="484"/>
            <w:bookmarkEnd w:id="485"/>
            <w:bookmarkEnd w:id="486"/>
            <w:bookmarkEnd w:id="487"/>
          </w:p>
        </w:tc>
        <w:tc>
          <w:tcPr>
            <w:tcW w:w="6753" w:type="dxa"/>
          </w:tcPr>
          <w:p w14:paraId="0EF1D8FE">
            <w:pPr>
              <w:spacing w:before="120" w:after="120" w:line="240" w:lineRule="auto"/>
              <w:ind w:left="739" w:hanging="708"/>
              <w:jc w:val="both"/>
              <w:rPr>
                <w:bCs/>
                <w:iCs/>
              </w:rPr>
            </w:pPr>
            <w:r>
              <w:rPr>
                <w:bCs/>
                <w:iCs/>
              </w:rPr>
              <w:t>27.1</w:t>
            </w:r>
            <w:r>
              <w:rPr>
                <w:bCs/>
                <w:iCs/>
              </w:rPr>
              <w:tab/>
            </w:r>
            <w:r>
              <w:rPr>
                <w:bCs/>
                <w:iCs/>
              </w:rPr>
              <w:t xml:space="preserve">Sendo de interesse do </w:t>
            </w:r>
            <w:r>
              <w:rPr>
                <w:b/>
                <w:bCs/>
                <w:iCs/>
              </w:rPr>
              <w:t>Contratante</w:t>
            </w:r>
            <w:r>
              <w:rPr>
                <w:bCs/>
                <w:iCs/>
              </w:rPr>
              <w:t xml:space="preserve"> que a conclusão da Obra se verifique antes da Data Prevista, o Gerente do Contrato deverá solicitar ao </w:t>
            </w:r>
            <w:r>
              <w:rPr>
                <w:b/>
                <w:bCs/>
                <w:iCs/>
              </w:rPr>
              <w:t>Contratado</w:t>
            </w:r>
            <w:r>
              <w:rPr>
                <w:bCs/>
                <w:iCs/>
              </w:rPr>
              <w:t xml:space="preserve"> uma oferta de preço para promover o necessário incremento no ritmo das obras. Caso o </w:t>
            </w:r>
            <w:r>
              <w:rPr>
                <w:b/>
                <w:bCs/>
                <w:iCs/>
              </w:rPr>
              <w:t>Contratante</w:t>
            </w:r>
            <w:r>
              <w:rPr>
                <w:bCs/>
                <w:iCs/>
              </w:rPr>
              <w:t xml:space="preserve"> aceite a referida oferta, a Data Prevista de Conclusão será reajustada e confirmada pelas Partes.</w:t>
            </w:r>
          </w:p>
          <w:p w14:paraId="79BFA955">
            <w:pPr>
              <w:spacing w:before="120" w:after="120" w:line="240" w:lineRule="auto"/>
              <w:ind w:left="739" w:hanging="708"/>
              <w:jc w:val="both"/>
              <w:rPr>
                <w:bCs/>
                <w:iCs/>
              </w:rPr>
            </w:pPr>
            <w:r>
              <w:rPr>
                <w:bCs/>
                <w:iCs/>
              </w:rPr>
              <w:t>27.2</w:t>
            </w:r>
            <w:r>
              <w:rPr>
                <w:bCs/>
                <w:iCs/>
              </w:rPr>
              <w:tab/>
            </w:r>
            <w:r>
              <w:rPr>
                <w:bCs/>
                <w:iCs/>
              </w:rPr>
              <w:t xml:space="preserve">Sendo aceita a </w:t>
            </w:r>
            <w:r>
              <w:rPr>
                <w:b/>
                <w:bCs/>
                <w:iCs/>
                <w:lang w:val="pt-PT"/>
              </w:rPr>
              <w:t>proposta</w:t>
            </w:r>
            <w:r>
              <w:rPr>
                <w:bCs/>
                <w:iCs/>
              </w:rPr>
              <w:t xml:space="preserve"> do </w:t>
            </w:r>
            <w:r>
              <w:rPr>
                <w:b/>
                <w:bCs/>
                <w:iCs/>
              </w:rPr>
              <w:t>Contratado</w:t>
            </w:r>
            <w:r>
              <w:rPr>
                <w:bCs/>
                <w:iCs/>
              </w:rPr>
              <w:t xml:space="preserve"> para agilizar o ritmo das obras, os decorrentes aumentos de preço serão incorporados ao Preço do Contrato e tratados como uma Variação.</w:t>
            </w:r>
          </w:p>
        </w:tc>
      </w:tr>
      <w:tr w14:paraId="0423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DCE185E">
            <w:pPr>
              <w:pStyle w:val="83"/>
            </w:pPr>
            <w:bookmarkStart w:id="488" w:name="_Toc138437095"/>
            <w:bookmarkStart w:id="489" w:name="_Toc20735941"/>
            <w:bookmarkStart w:id="490" w:name="_Toc153209038"/>
            <w:bookmarkStart w:id="491" w:name="_Toc174522856"/>
            <w:bookmarkStart w:id="492" w:name="_Toc99025981"/>
            <w:bookmarkStart w:id="493" w:name="_Toc56168316"/>
            <w:r>
              <w:t>28.</w:t>
            </w:r>
            <w:r>
              <w:tab/>
            </w:r>
            <w:r>
              <w:t>Atrasos Solicitados pelo Gerente do Contrato</w:t>
            </w:r>
            <w:bookmarkEnd w:id="488"/>
            <w:bookmarkEnd w:id="489"/>
            <w:bookmarkEnd w:id="490"/>
            <w:bookmarkEnd w:id="491"/>
            <w:bookmarkEnd w:id="492"/>
            <w:bookmarkEnd w:id="493"/>
          </w:p>
        </w:tc>
        <w:tc>
          <w:tcPr>
            <w:tcW w:w="6753" w:type="dxa"/>
          </w:tcPr>
          <w:p w14:paraId="4FAA00DA">
            <w:pPr>
              <w:spacing w:before="120" w:after="120" w:line="240" w:lineRule="auto"/>
              <w:ind w:left="739" w:hanging="708"/>
              <w:jc w:val="both"/>
              <w:rPr>
                <w:bCs/>
                <w:iCs/>
              </w:rPr>
            </w:pPr>
            <w:r>
              <w:rPr>
                <w:bCs/>
                <w:iCs/>
              </w:rPr>
              <w:t>28.1</w:t>
            </w:r>
            <w:r>
              <w:rPr>
                <w:bCs/>
                <w:iCs/>
              </w:rPr>
              <w:tab/>
            </w:r>
            <w:r>
              <w:rPr>
                <w:bCs/>
                <w:iCs/>
              </w:rPr>
              <w:t xml:space="preserve">O Gerente do Contrato poderá instruir o </w:t>
            </w:r>
            <w:r>
              <w:rPr>
                <w:b/>
                <w:bCs/>
                <w:iCs/>
              </w:rPr>
              <w:t>Contratado</w:t>
            </w:r>
            <w:r>
              <w:rPr>
                <w:bCs/>
                <w:iCs/>
              </w:rPr>
              <w:t xml:space="preserve"> no sentido de retardar o início ou o prosseguimento de qualquer atividade incluída nas Obras.</w:t>
            </w:r>
          </w:p>
        </w:tc>
      </w:tr>
      <w:tr w14:paraId="0F16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BAFCF29">
            <w:pPr>
              <w:pStyle w:val="83"/>
            </w:pPr>
            <w:bookmarkStart w:id="494" w:name="_Toc174522857"/>
            <w:bookmarkStart w:id="495" w:name="_Toc153209039"/>
            <w:bookmarkStart w:id="496" w:name="_Toc56168317"/>
            <w:bookmarkStart w:id="497" w:name="_Toc20735942"/>
            <w:bookmarkStart w:id="498" w:name="_Toc99025982"/>
            <w:bookmarkStart w:id="499" w:name="_Toc138437096"/>
            <w:r>
              <w:t>29.</w:t>
            </w:r>
            <w:r>
              <w:tab/>
            </w:r>
            <w:r>
              <w:t>Reuniões de Gerenciamento</w:t>
            </w:r>
            <w:bookmarkEnd w:id="494"/>
            <w:bookmarkEnd w:id="495"/>
            <w:bookmarkEnd w:id="496"/>
            <w:bookmarkEnd w:id="497"/>
            <w:bookmarkEnd w:id="498"/>
            <w:bookmarkEnd w:id="499"/>
          </w:p>
        </w:tc>
        <w:tc>
          <w:tcPr>
            <w:tcW w:w="6753" w:type="dxa"/>
          </w:tcPr>
          <w:p w14:paraId="6832FFD9">
            <w:pPr>
              <w:spacing w:before="120" w:after="120" w:line="240" w:lineRule="auto"/>
              <w:ind w:left="739" w:hanging="708"/>
              <w:jc w:val="both"/>
              <w:rPr>
                <w:bCs/>
                <w:iCs/>
              </w:rPr>
            </w:pPr>
            <w:r>
              <w:rPr>
                <w:bCs/>
                <w:iCs/>
              </w:rPr>
              <w:t>29.1</w:t>
            </w:r>
            <w:r>
              <w:rPr>
                <w:bCs/>
                <w:iCs/>
              </w:rPr>
              <w:tab/>
            </w:r>
            <w:r>
              <w:rPr>
                <w:bCs/>
                <w:iCs/>
              </w:rPr>
              <w:t xml:space="preserve">O Gerente do Contrato e o </w:t>
            </w:r>
            <w:r>
              <w:rPr>
                <w:b/>
                <w:bCs/>
                <w:iCs/>
              </w:rPr>
              <w:t>Contratado</w:t>
            </w:r>
            <w:r>
              <w:rPr>
                <w:bCs/>
                <w:iCs/>
              </w:rPr>
              <w:t xml:space="preserve"> poderão solicitar a realização de reuniões de gerenciamento.  A finalidade da reunião de gerenciamento será a de revisar os planos relativos ao serviço remanescente, bem como resolver problemas a respeito dos quais o </w:t>
            </w:r>
            <w:r>
              <w:rPr>
                <w:b/>
                <w:bCs/>
                <w:iCs/>
              </w:rPr>
              <w:t>Contratado</w:t>
            </w:r>
            <w:r>
              <w:rPr>
                <w:bCs/>
                <w:iCs/>
              </w:rPr>
              <w:t xml:space="preserve"> tenha alertado o </w:t>
            </w:r>
            <w:r>
              <w:rPr>
                <w:b/>
                <w:bCs/>
                <w:iCs/>
              </w:rPr>
              <w:t>Contratante</w:t>
            </w:r>
            <w:r>
              <w:rPr>
                <w:bCs/>
                <w:iCs/>
              </w:rPr>
              <w:t>, na forma da cláusula 30 das CGC.</w:t>
            </w:r>
          </w:p>
          <w:p w14:paraId="4AFD559F">
            <w:pPr>
              <w:spacing w:before="120" w:after="120" w:line="240" w:lineRule="auto"/>
              <w:ind w:left="739" w:hanging="708"/>
              <w:jc w:val="both"/>
              <w:rPr>
                <w:bCs/>
                <w:iCs/>
              </w:rPr>
            </w:pPr>
            <w:r>
              <w:rPr>
                <w:bCs/>
                <w:iCs/>
              </w:rPr>
              <w:t>29.2</w:t>
            </w:r>
            <w:r>
              <w:rPr>
                <w:bCs/>
                <w:iCs/>
              </w:rPr>
              <w:tab/>
            </w:r>
            <w:r>
              <w:rPr>
                <w:bCs/>
                <w:iCs/>
              </w:rPr>
              <w:t xml:space="preserve">O Gerente do Contrato deverá registrar em ata as reuniões de gerenciamento distribuindo cópias ao </w:t>
            </w:r>
            <w:r>
              <w:rPr>
                <w:b/>
                <w:bCs/>
                <w:iCs/>
              </w:rPr>
              <w:t>Contratado</w:t>
            </w:r>
            <w:r>
              <w:rPr>
                <w:bCs/>
                <w:iCs/>
              </w:rPr>
              <w:t xml:space="preserve"> e aos participantes da reunião. A responsabilidade das Partes na tomada de providências deverá ser decidida pelo Gerente do Contrato no curso ou após a reunião, informando, por escrito, a todos os participantes da reunião.</w:t>
            </w:r>
          </w:p>
        </w:tc>
      </w:tr>
      <w:tr w14:paraId="61EB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40B8D47">
            <w:pPr>
              <w:pStyle w:val="83"/>
            </w:pPr>
            <w:bookmarkStart w:id="500" w:name="_Toc174522858"/>
            <w:bookmarkStart w:id="501" w:name="_Toc20735943"/>
            <w:bookmarkStart w:id="502" w:name="_Toc56168318"/>
            <w:bookmarkStart w:id="503" w:name="_Toc99025983"/>
            <w:bookmarkStart w:id="504" w:name="_Toc138437097"/>
            <w:bookmarkStart w:id="505" w:name="_Toc153209040"/>
            <w:r>
              <w:t>30.</w:t>
            </w:r>
            <w:r>
              <w:tab/>
            </w:r>
            <w:r>
              <w:t>Alerta quanto a Circunstâncias Adversas</w:t>
            </w:r>
            <w:bookmarkEnd w:id="500"/>
            <w:bookmarkEnd w:id="501"/>
            <w:bookmarkEnd w:id="502"/>
            <w:bookmarkEnd w:id="503"/>
            <w:bookmarkEnd w:id="504"/>
            <w:bookmarkEnd w:id="505"/>
          </w:p>
        </w:tc>
        <w:tc>
          <w:tcPr>
            <w:tcW w:w="6753" w:type="dxa"/>
          </w:tcPr>
          <w:p w14:paraId="363A84D6">
            <w:pPr>
              <w:spacing w:before="120" w:after="120" w:line="240" w:lineRule="auto"/>
              <w:ind w:left="739" w:hanging="708"/>
              <w:jc w:val="both"/>
              <w:rPr>
                <w:bCs/>
                <w:iCs/>
              </w:rPr>
            </w:pPr>
            <w:r>
              <w:rPr>
                <w:bCs/>
                <w:iCs/>
              </w:rPr>
              <w:t>30.1</w:t>
            </w:r>
            <w:r>
              <w:rPr>
                <w:bCs/>
                <w:iCs/>
              </w:rPr>
              <w:tab/>
            </w:r>
            <w:r>
              <w:rPr>
                <w:bCs/>
                <w:iCs/>
              </w:rPr>
              <w:t xml:space="preserve"> O </w:t>
            </w:r>
            <w:r>
              <w:rPr>
                <w:b/>
                <w:bCs/>
                <w:iCs/>
              </w:rPr>
              <w:t>Contratado</w:t>
            </w:r>
            <w:r>
              <w:rPr>
                <w:bCs/>
                <w:iCs/>
              </w:rPr>
              <w:t xml:space="preserve"> deverá alertar, com antecedência, o Gerente do Contrato quanto a eventos ou circunstâncias futuras que possam: </w:t>
            </w:r>
          </w:p>
          <w:p w14:paraId="25EC2A4B">
            <w:pPr>
              <w:spacing w:before="120" w:after="120" w:line="240" w:lineRule="auto"/>
              <w:ind w:left="1306" w:hanging="425"/>
              <w:jc w:val="both"/>
              <w:rPr>
                <w:bCs/>
                <w:iCs/>
              </w:rPr>
            </w:pPr>
            <w:r>
              <w:rPr>
                <w:bCs/>
                <w:iCs/>
              </w:rPr>
              <w:t>(a)</w:t>
            </w:r>
            <w:r>
              <w:rPr>
                <w:bCs/>
                <w:iCs/>
              </w:rPr>
              <w:tab/>
            </w:r>
            <w:r>
              <w:rPr>
                <w:bCs/>
                <w:iCs/>
              </w:rPr>
              <w:t>afetar adversamente a qualidade da Obra;</w:t>
            </w:r>
          </w:p>
          <w:p w14:paraId="052ADD67">
            <w:pPr>
              <w:spacing w:before="120" w:after="120" w:line="240" w:lineRule="auto"/>
              <w:ind w:left="1306" w:hanging="425"/>
              <w:jc w:val="both"/>
              <w:rPr>
                <w:bCs/>
                <w:iCs/>
              </w:rPr>
            </w:pPr>
            <w:r>
              <w:rPr>
                <w:bCs/>
                <w:iCs/>
              </w:rPr>
              <w:t>(b)</w:t>
            </w:r>
            <w:r>
              <w:rPr>
                <w:bCs/>
                <w:iCs/>
              </w:rPr>
              <w:tab/>
            </w:r>
            <w:r>
              <w:rPr>
                <w:bCs/>
                <w:iCs/>
              </w:rPr>
              <w:t xml:space="preserve">aumentar o Preço do Contrato; ou </w:t>
            </w:r>
          </w:p>
          <w:p w14:paraId="5652DB2C">
            <w:pPr>
              <w:spacing w:before="120" w:after="120" w:line="240" w:lineRule="auto"/>
              <w:ind w:left="1306" w:hanging="425"/>
              <w:jc w:val="both"/>
              <w:rPr>
                <w:bCs/>
                <w:iCs/>
              </w:rPr>
            </w:pPr>
            <w:r>
              <w:rPr>
                <w:bCs/>
                <w:iCs/>
              </w:rPr>
              <w:t>(c)</w:t>
            </w:r>
            <w:r>
              <w:rPr>
                <w:bCs/>
                <w:iCs/>
              </w:rPr>
              <w:tab/>
            </w:r>
            <w:r>
              <w:rPr>
                <w:bCs/>
                <w:iCs/>
              </w:rPr>
              <w:t>provocar atraso na execução das Obras.</w:t>
            </w:r>
          </w:p>
          <w:p w14:paraId="5464B5BD">
            <w:pPr>
              <w:spacing w:before="120" w:after="120" w:line="240" w:lineRule="auto"/>
              <w:ind w:left="739" w:hanging="708"/>
              <w:jc w:val="both"/>
              <w:rPr>
                <w:bCs/>
                <w:iCs/>
              </w:rPr>
            </w:pPr>
            <w:r>
              <w:rPr>
                <w:bCs/>
                <w:iCs/>
              </w:rPr>
              <w:t>30.2</w:t>
            </w:r>
            <w:r>
              <w:rPr>
                <w:bCs/>
                <w:iCs/>
              </w:rPr>
              <w:tab/>
            </w:r>
            <w:r>
              <w:rPr>
                <w:bCs/>
                <w:iCs/>
              </w:rPr>
              <w:t xml:space="preserve">O Gerente do Contrato poderá solicitar ao </w:t>
            </w:r>
            <w:r>
              <w:rPr>
                <w:b/>
                <w:bCs/>
                <w:iCs/>
              </w:rPr>
              <w:t>Contratado</w:t>
            </w:r>
            <w:r>
              <w:rPr>
                <w:bCs/>
                <w:iCs/>
              </w:rPr>
              <w:t xml:space="preserve"> que apresente, com brevidade, a estimativa dos efeitos dos referidos eventos ou circunstâncias futuras no Preço do Contrato e na Data Prevista para a Conclusão.</w:t>
            </w:r>
          </w:p>
          <w:p w14:paraId="0A6F419D">
            <w:pPr>
              <w:spacing w:before="120" w:after="120" w:line="240" w:lineRule="auto"/>
              <w:ind w:left="739" w:hanging="708"/>
              <w:jc w:val="both"/>
              <w:rPr>
                <w:bCs/>
                <w:iCs/>
              </w:rPr>
            </w:pPr>
            <w:r>
              <w:rPr>
                <w:bCs/>
                <w:iCs/>
              </w:rPr>
              <w:t>30.3</w:t>
            </w:r>
            <w:r>
              <w:rPr>
                <w:bCs/>
                <w:iCs/>
              </w:rPr>
              <w:tab/>
            </w:r>
            <w:r>
              <w:rPr>
                <w:bCs/>
                <w:iCs/>
              </w:rPr>
              <w:t xml:space="preserve">O </w:t>
            </w:r>
            <w:r>
              <w:rPr>
                <w:b/>
                <w:bCs/>
                <w:iCs/>
              </w:rPr>
              <w:t>Contratado</w:t>
            </w:r>
            <w:r>
              <w:rPr>
                <w:bCs/>
                <w:iCs/>
              </w:rPr>
              <w:t xml:space="preserve"> deverá cooperar com o Gerente do Contrato na elaboração e na consideração de ofertas tendo em vista evitar ou reduzir o impacto desse evento ou circunstância.</w:t>
            </w:r>
          </w:p>
        </w:tc>
      </w:tr>
      <w:tr w14:paraId="1EA9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688ED898">
            <w:pPr>
              <w:pStyle w:val="81"/>
              <w:rPr>
                <w:bCs/>
                <w:iCs w:val="0"/>
              </w:rPr>
            </w:pPr>
            <w:bookmarkStart w:id="506" w:name="_Toc138437098"/>
            <w:bookmarkStart w:id="507" w:name="_Toc99025984"/>
            <w:bookmarkStart w:id="508" w:name="_Toc56168319"/>
            <w:bookmarkStart w:id="509" w:name="_Toc153209041"/>
            <w:bookmarkStart w:id="510" w:name="_Toc174522859"/>
            <w:bookmarkStart w:id="511" w:name="_Toc20735944"/>
            <w:r>
              <w:t>C – CONTROLE DE QUALIDADE</w:t>
            </w:r>
            <w:bookmarkEnd w:id="506"/>
            <w:bookmarkEnd w:id="507"/>
            <w:bookmarkEnd w:id="508"/>
            <w:bookmarkEnd w:id="509"/>
            <w:bookmarkEnd w:id="510"/>
            <w:bookmarkEnd w:id="511"/>
          </w:p>
        </w:tc>
      </w:tr>
      <w:tr w14:paraId="50138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0A730AA0">
            <w:pPr>
              <w:pStyle w:val="83"/>
            </w:pPr>
            <w:bookmarkStart w:id="512" w:name="_Toc153209042"/>
            <w:bookmarkStart w:id="513" w:name="_Toc174522860"/>
            <w:bookmarkStart w:id="514" w:name="_Toc139024326"/>
            <w:r>
              <w:t>31.</w:t>
            </w:r>
            <w:r>
              <w:tab/>
            </w:r>
            <w:r>
              <w:t>Identificação dos Defeitos</w:t>
            </w:r>
            <w:bookmarkEnd w:id="512"/>
            <w:bookmarkEnd w:id="513"/>
            <w:bookmarkEnd w:id="514"/>
          </w:p>
        </w:tc>
        <w:tc>
          <w:tcPr>
            <w:tcW w:w="6753" w:type="dxa"/>
          </w:tcPr>
          <w:p w14:paraId="1D188172">
            <w:pPr>
              <w:spacing w:before="120" w:after="120" w:line="240" w:lineRule="auto"/>
              <w:ind w:left="739" w:hanging="708"/>
              <w:jc w:val="both"/>
              <w:rPr>
                <w:bCs/>
                <w:iCs/>
              </w:rPr>
            </w:pPr>
            <w:r>
              <w:rPr>
                <w:bCs/>
                <w:iCs/>
              </w:rPr>
              <w:t>31.1</w:t>
            </w:r>
            <w:r>
              <w:rPr>
                <w:bCs/>
                <w:iCs/>
              </w:rPr>
              <w:tab/>
            </w:r>
            <w:r>
              <w:rPr>
                <w:bCs/>
                <w:iCs/>
              </w:rPr>
              <w:t xml:space="preserve">O Gerente do Contrato deverá inspecionar a execução do serviço pelo </w:t>
            </w:r>
            <w:r>
              <w:rPr>
                <w:b/>
                <w:bCs/>
                <w:iCs/>
              </w:rPr>
              <w:t>Contratado</w:t>
            </w:r>
            <w:r>
              <w:rPr>
                <w:bCs/>
                <w:iCs/>
              </w:rPr>
              <w:t xml:space="preserve"> notificando-o de qualquer Defeito detectado.  Essa verificação não afasta a responsabilidade do </w:t>
            </w:r>
            <w:r>
              <w:rPr>
                <w:b/>
                <w:bCs/>
                <w:iCs/>
              </w:rPr>
              <w:t>Contratado</w:t>
            </w:r>
            <w:r>
              <w:rPr>
                <w:bCs/>
                <w:iCs/>
              </w:rPr>
              <w:t xml:space="preserve">.  O Gerente do Contrato pode determinar ao </w:t>
            </w:r>
            <w:r>
              <w:rPr>
                <w:b/>
                <w:bCs/>
                <w:iCs/>
              </w:rPr>
              <w:t>Contratado</w:t>
            </w:r>
            <w:r>
              <w:rPr>
                <w:bCs/>
                <w:iCs/>
              </w:rPr>
              <w:t xml:space="preserve"> que procure um Defeito e que desfaça ou teste qualquer parte das Obras onde considere a possibilidade de existência de Defeito.</w:t>
            </w:r>
          </w:p>
        </w:tc>
      </w:tr>
      <w:tr w14:paraId="1979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6AB7954">
            <w:pPr>
              <w:pStyle w:val="83"/>
            </w:pPr>
            <w:bookmarkStart w:id="515" w:name="_Toc153209043"/>
            <w:bookmarkStart w:id="516" w:name="_Toc174522861"/>
            <w:bookmarkStart w:id="517" w:name="_Toc139024327"/>
            <w:bookmarkStart w:id="518" w:name="_Toc20735946"/>
            <w:bookmarkStart w:id="519" w:name="_Toc56168321"/>
            <w:r>
              <w:t>32.</w:t>
            </w:r>
            <w:r>
              <w:tab/>
            </w:r>
            <w:r>
              <w:t>Ensaios e Testes</w:t>
            </w:r>
            <w:bookmarkEnd w:id="515"/>
            <w:bookmarkEnd w:id="516"/>
            <w:bookmarkEnd w:id="517"/>
            <w:bookmarkEnd w:id="518"/>
            <w:bookmarkEnd w:id="519"/>
          </w:p>
        </w:tc>
        <w:tc>
          <w:tcPr>
            <w:tcW w:w="6753" w:type="dxa"/>
          </w:tcPr>
          <w:p w14:paraId="07B3F1E3">
            <w:pPr>
              <w:spacing w:before="120" w:after="120" w:line="240" w:lineRule="auto"/>
              <w:ind w:left="739" w:hanging="708"/>
              <w:jc w:val="both"/>
              <w:rPr>
                <w:bCs/>
                <w:iCs/>
              </w:rPr>
            </w:pPr>
            <w:r>
              <w:rPr>
                <w:bCs/>
                <w:iCs/>
              </w:rPr>
              <w:t>32.1</w:t>
            </w:r>
            <w:r>
              <w:rPr>
                <w:bCs/>
                <w:iCs/>
              </w:rPr>
              <w:tab/>
            </w:r>
            <w:r>
              <w:rPr>
                <w:bCs/>
                <w:iCs/>
              </w:rPr>
              <w:t xml:space="preserve">Os ensaios, os testes e as demais provas para aferição da boa execução do objeto do contrato exigidos pelas especificações técnicas correrão por conta do </w:t>
            </w:r>
            <w:r>
              <w:rPr>
                <w:b/>
                <w:bCs/>
                <w:iCs/>
              </w:rPr>
              <w:t>Contratado</w:t>
            </w:r>
            <w:r>
              <w:rPr>
                <w:bCs/>
                <w:iCs/>
              </w:rPr>
              <w:t>.</w:t>
            </w:r>
          </w:p>
          <w:p w14:paraId="3D25D153">
            <w:pPr>
              <w:spacing w:before="120" w:after="120" w:line="240" w:lineRule="auto"/>
              <w:ind w:left="739" w:hanging="708"/>
              <w:jc w:val="both"/>
              <w:rPr>
                <w:bCs/>
                <w:iCs/>
              </w:rPr>
            </w:pPr>
            <w:r>
              <w:rPr>
                <w:bCs/>
                <w:iCs/>
              </w:rPr>
              <w:t>32.2</w:t>
            </w:r>
            <w:r>
              <w:rPr>
                <w:bCs/>
                <w:iCs/>
              </w:rPr>
              <w:tab/>
            </w:r>
            <w:r>
              <w:rPr>
                <w:bCs/>
                <w:iCs/>
              </w:rPr>
              <w:t xml:space="preserve">Acatada a instrução do Gerente do Contrato e realizado um teste não incluído nas Especificações, ao fim do qual se verifique a existência de Defeito, deverá o </w:t>
            </w:r>
            <w:r>
              <w:rPr>
                <w:b/>
                <w:bCs/>
                <w:iCs/>
              </w:rPr>
              <w:t>Contratado</w:t>
            </w:r>
            <w:r>
              <w:rPr>
                <w:bCs/>
                <w:iCs/>
              </w:rPr>
              <w:t xml:space="preserve"> arcar com os custos do teste e amostras.  Caso não seja detectado Defeito, o teste será considerado um Evento Passível de Compensação.</w:t>
            </w:r>
          </w:p>
          <w:p w14:paraId="197E2563">
            <w:pPr>
              <w:spacing w:before="120" w:after="120" w:line="240" w:lineRule="auto"/>
              <w:ind w:left="739" w:hanging="708"/>
              <w:jc w:val="both"/>
              <w:rPr>
                <w:bCs/>
                <w:iCs/>
              </w:rPr>
            </w:pPr>
            <w:r>
              <w:rPr>
                <w:bCs/>
                <w:iCs/>
              </w:rPr>
              <w:t>32.3</w:t>
            </w:r>
            <w:r>
              <w:rPr>
                <w:bCs/>
                <w:iCs/>
              </w:rPr>
              <w:tab/>
            </w:r>
            <w:r>
              <w:rPr>
                <w:bCs/>
                <w:iCs/>
              </w:rPr>
              <w:t xml:space="preserve">O Gerente do </w:t>
            </w:r>
            <w:r>
              <w:rPr>
                <w:b/>
                <w:bCs/>
                <w:iCs/>
                <w:lang w:val="pt-PT"/>
              </w:rPr>
              <w:t>Contrato</w:t>
            </w:r>
            <w:r>
              <w:rPr>
                <w:bCs/>
                <w:iCs/>
              </w:rPr>
              <w:t xml:space="preserve"> poderá requerer, do </w:t>
            </w:r>
            <w:r>
              <w:rPr>
                <w:b/>
                <w:bCs/>
                <w:iCs/>
              </w:rPr>
              <w:t>Contratado</w:t>
            </w:r>
            <w:r>
              <w:rPr>
                <w:bCs/>
                <w:iCs/>
              </w:rPr>
              <w:t>, laudos/amostras dos materiais a serem empregados com o intuito de constatar e averiguar a qualidade dos mesmos</w:t>
            </w:r>
          </w:p>
        </w:tc>
      </w:tr>
      <w:tr w14:paraId="20F4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A38A0E2">
            <w:pPr>
              <w:pStyle w:val="83"/>
            </w:pPr>
            <w:bookmarkStart w:id="520" w:name="_Toc99025985"/>
            <w:bookmarkStart w:id="521" w:name="_Toc138437099"/>
            <w:bookmarkStart w:id="522" w:name="_Toc153209044"/>
            <w:bookmarkStart w:id="523" w:name="_Toc20735945"/>
            <w:bookmarkStart w:id="524" w:name="_Toc174522862"/>
            <w:bookmarkStart w:id="525" w:name="_Toc56168320"/>
            <w:r>
              <w:t>33.</w:t>
            </w:r>
            <w:r>
              <w:tab/>
            </w:r>
            <w:r>
              <w:t>Correção de Defeitos</w:t>
            </w:r>
            <w:bookmarkEnd w:id="520"/>
            <w:bookmarkEnd w:id="521"/>
            <w:bookmarkEnd w:id="522"/>
            <w:bookmarkEnd w:id="523"/>
            <w:bookmarkEnd w:id="524"/>
            <w:bookmarkEnd w:id="525"/>
          </w:p>
        </w:tc>
        <w:tc>
          <w:tcPr>
            <w:tcW w:w="6753" w:type="dxa"/>
          </w:tcPr>
          <w:p w14:paraId="04C9C07D">
            <w:pPr>
              <w:spacing w:before="120" w:after="120" w:line="240" w:lineRule="auto"/>
              <w:ind w:left="739" w:hanging="708"/>
              <w:jc w:val="both"/>
              <w:rPr>
                <w:bCs/>
                <w:iCs/>
              </w:rPr>
            </w:pPr>
            <w:r>
              <w:rPr>
                <w:bCs/>
                <w:iCs/>
              </w:rPr>
              <w:t>33.1</w:t>
            </w:r>
            <w:r>
              <w:rPr>
                <w:bCs/>
                <w:iCs/>
              </w:rPr>
              <w:tab/>
            </w:r>
            <w:r>
              <w:rPr>
                <w:bCs/>
                <w:iCs/>
              </w:rPr>
              <w:t xml:space="preserve">O Gerente de Contrato deverá informar ao </w:t>
            </w:r>
            <w:r>
              <w:rPr>
                <w:b/>
                <w:bCs/>
                <w:iCs/>
              </w:rPr>
              <w:t>Contratado</w:t>
            </w:r>
            <w:r>
              <w:rPr>
                <w:bCs/>
                <w:iCs/>
              </w:rPr>
              <w:t xml:space="preserve"> a respeito de Defeitos dos quais tenha conhecimento, antes de terminado o Período de Correção dos Defeitos (PCD), que se inicia na data da Conclusão das Obras fixada nos </w:t>
            </w:r>
            <w:r>
              <w:rPr>
                <w:b/>
                <w:bCs/>
                <w:iCs/>
              </w:rPr>
              <w:t>DDC</w:t>
            </w:r>
            <w:r>
              <w:rPr>
                <w:bCs/>
                <w:iCs/>
              </w:rPr>
              <w:t>. O PCD perdurará enquanto os Defeitos não forem corrigidos.</w:t>
            </w:r>
          </w:p>
          <w:p w14:paraId="25589CA3">
            <w:pPr>
              <w:spacing w:before="120" w:after="120" w:line="240" w:lineRule="auto"/>
              <w:ind w:left="739" w:hanging="708"/>
              <w:jc w:val="both"/>
              <w:rPr>
                <w:bCs/>
                <w:iCs/>
              </w:rPr>
            </w:pPr>
            <w:r>
              <w:rPr>
                <w:bCs/>
                <w:iCs/>
              </w:rPr>
              <w:t>33.2</w:t>
            </w:r>
            <w:r>
              <w:rPr>
                <w:bCs/>
                <w:iCs/>
              </w:rPr>
              <w:tab/>
            </w:r>
            <w:r>
              <w:rPr>
                <w:bCs/>
                <w:iCs/>
              </w:rPr>
              <w:t xml:space="preserve">Ao receber uma Comunicação de Defeito, o </w:t>
            </w:r>
            <w:r>
              <w:rPr>
                <w:b/>
                <w:bCs/>
                <w:iCs/>
              </w:rPr>
              <w:t>Contratado</w:t>
            </w:r>
            <w:r>
              <w:rPr>
                <w:bCs/>
                <w:iCs/>
              </w:rPr>
              <w:t xml:space="preserve"> deverá corrigir o defeito no prazo fixado na notificação do Gerente do Contrato.</w:t>
            </w:r>
          </w:p>
          <w:p w14:paraId="51371906">
            <w:pPr>
              <w:spacing w:before="120" w:after="120" w:line="240" w:lineRule="auto"/>
              <w:ind w:left="739" w:hanging="708"/>
              <w:jc w:val="both"/>
              <w:rPr>
                <w:bCs/>
                <w:iCs/>
              </w:rPr>
            </w:pPr>
            <w:r>
              <w:rPr>
                <w:bCs/>
                <w:iCs/>
              </w:rPr>
              <w:t>33.3</w:t>
            </w:r>
            <w:r>
              <w:rPr>
                <w:bCs/>
                <w:iCs/>
              </w:rPr>
              <w:tab/>
            </w:r>
            <w:r>
              <w:rPr>
                <w:bCs/>
                <w:iCs/>
              </w:rPr>
              <w:t xml:space="preserve">O Termo de Recebimento Parcial (TRP) será lavrado pelo Contratante na Data Prevista para a Conclusão, mediante solicitação do </w:t>
            </w:r>
            <w:r>
              <w:rPr>
                <w:b/>
                <w:bCs/>
                <w:iCs/>
              </w:rPr>
              <w:t>Contratado</w:t>
            </w:r>
            <w:r>
              <w:rPr>
                <w:bCs/>
                <w:iCs/>
              </w:rPr>
              <w:t xml:space="preserve">.  Nesta ocasião será realizada uma vistoria geral pelos representantes do </w:t>
            </w:r>
            <w:r>
              <w:rPr>
                <w:b/>
                <w:bCs/>
                <w:iCs/>
              </w:rPr>
              <w:t>Contratante</w:t>
            </w:r>
            <w:r>
              <w:rPr>
                <w:bCs/>
                <w:iCs/>
              </w:rPr>
              <w:t xml:space="preserve"> e do </w:t>
            </w:r>
            <w:r>
              <w:rPr>
                <w:b/>
                <w:bCs/>
                <w:iCs/>
              </w:rPr>
              <w:t>Contratado</w:t>
            </w:r>
            <w:r>
              <w:rPr>
                <w:bCs/>
                <w:iCs/>
              </w:rPr>
              <w:t>, e será elaborada uma listagem de todas as “não conformidades” existentes, iniciando-se o PCD</w:t>
            </w:r>
          </w:p>
          <w:p w14:paraId="670C1913">
            <w:pPr>
              <w:spacing w:before="120" w:after="120" w:line="240" w:lineRule="auto"/>
              <w:ind w:left="739" w:hanging="708"/>
              <w:jc w:val="both"/>
              <w:rPr>
                <w:bCs/>
                <w:iCs/>
              </w:rPr>
            </w:pPr>
            <w:r>
              <w:rPr>
                <w:bCs/>
                <w:iCs/>
              </w:rPr>
              <w:t>33.4</w:t>
            </w:r>
            <w:r>
              <w:rPr>
                <w:bCs/>
                <w:iCs/>
              </w:rPr>
              <w:tab/>
            </w:r>
            <w:r>
              <w:rPr>
                <w:bCs/>
                <w:iCs/>
              </w:rPr>
              <w:t xml:space="preserve">Deixando o </w:t>
            </w:r>
            <w:r>
              <w:rPr>
                <w:b/>
                <w:bCs/>
                <w:iCs/>
              </w:rPr>
              <w:t>Contratado</w:t>
            </w:r>
            <w:r>
              <w:rPr>
                <w:bCs/>
                <w:iCs/>
              </w:rPr>
              <w:t xml:space="preserve"> de corrigir o Defeito no prazo fixado conforme subcláusula anterior caberá ao Gerente do Contrato avaliar o custo da correção do Defeito e cobrá-lo do </w:t>
            </w:r>
            <w:r>
              <w:rPr>
                <w:b/>
                <w:bCs/>
                <w:iCs/>
              </w:rPr>
              <w:t>Contratado</w:t>
            </w:r>
            <w:r>
              <w:rPr>
                <w:bCs/>
                <w:iCs/>
              </w:rPr>
              <w:t>.</w:t>
            </w:r>
          </w:p>
        </w:tc>
      </w:tr>
      <w:tr w14:paraId="3B5EF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0BC5C570">
            <w:pPr>
              <w:pStyle w:val="83"/>
            </w:pPr>
            <w:bookmarkStart w:id="526" w:name="_Toc139024329"/>
            <w:bookmarkStart w:id="527" w:name="_Toc174522863"/>
            <w:bookmarkStart w:id="528" w:name="_Toc153209045"/>
            <w:r>
              <w:t>34.</w:t>
            </w:r>
            <w:r>
              <w:tab/>
            </w:r>
            <w:bookmarkEnd w:id="526"/>
            <w:bookmarkStart w:id="529" w:name="_Hlk139278916"/>
            <w:r>
              <w:t>Avaliação da Execução das Obras</w:t>
            </w:r>
            <w:bookmarkEnd w:id="527"/>
            <w:bookmarkEnd w:id="528"/>
            <w:bookmarkEnd w:id="529"/>
          </w:p>
        </w:tc>
        <w:tc>
          <w:tcPr>
            <w:tcW w:w="6753" w:type="dxa"/>
          </w:tcPr>
          <w:p w14:paraId="578C2312">
            <w:pPr>
              <w:spacing w:before="120" w:after="120" w:line="240" w:lineRule="auto"/>
              <w:ind w:left="739" w:hanging="708"/>
              <w:jc w:val="both"/>
              <w:rPr>
                <w:bCs/>
                <w:iCs/>
              </w:rPr>
            </w:pPr>
            <w:r>
              <w:rPr>
                <w:bCs/>
                <w:iCs/>
              </w:rPr>
              <w:t>34.1</w:t>
            </w:r>
            <w:r>
              <w:rPr>
                <w:bCs/>
                <w:iCs/>
              </w:rPr>
              <w:tab/>
            </w:r>
            <w:r>
              <w:rPr>
                <w:bCs/>
                <w:iCs/>
              </w:rPr>
              <w:t>A avaliação da execução das Obras utilizará o disposto a seguir.</w:t>
            </w:r>
          </w:p>
          <w:p w14:paraId="0CE57336">
            <w:pPr>
              <w:spacing w:before="120" w:after="120" w:line="240" w:lineRule="auto"/>
              <w:ind w:left="739" w:hanging="708"/>
              <w:jc w:val="both"/>
              <w:rPr>
                <w:bCs/>
                <w:iCs/>
              </w:rPr>
            </w:pPr>
            <w:r>
              <w:rPr>
                <w:bCs/>
                <w:iCs/>
              </w:rPr>
              <w:t>34.2</w:t>
            </w:r>
            <w:r>
              <w:rPr>
                <w:bCs/>
                <w:iCs/>
              </w:rPr>
              <w:tab/>
            </w:r>
            <w:r>
              <w:rPr>
                <w:bCs/>
                <w:iCs/>
              </w:rPr>
              <w:t xml:space="preserve">Será indicada a retenção ou glosa no pagamento, proporcional à irregularidade verificada, sem prejuízo das sanções cabíveis, caso se constate que o </w:t>
            </w:r>
            <w:r>
              <w:rPr>
                <w:b/>
                <w:bCs/>
                <w:iCs/>
              </w:rPr>
              <w:t>Contratado</w:t>
            </w:r>
            <w:r>
              <w:rPr>
                <w:bCs/>
                <w:iCs/>
              </w:rPr>
              <w:t>:</w:t>
            </w:r>
          </w:p>
          <w:p w14:paraId="3511A194">
            <w:pPr>
              <w:spacing w:before="120" w:after="120" w:line="240" w:lineRule="auto"/>
              <w:ind w:left="1306" w:hanging="425"/>
              <w:jc w:val="both"/>
              <w:rPr>
                <w:bCs/>
                <w:iCs/>
              </w:rPr>
            </w:pPr>
            <w:r>
              <w:rPr>
                <w:bCs/>
                <w:iCs/>
              </w:rPr>
              <w:t>(a)</w:t>
            </w:r>
            <w:r>
              <w:rPr>
                <w:bCs/>
                <w:iCs/>
              </w:rPr>
              <w:tab/>
            </w:r>
            <w:r>
              <w:rPr>
                <w:bCs/>
                <w:iCs/>
              </w:rPr>
              <w:t>não produza os resultados acordados;</w:t>
            </w:r>
          </w:p>
          <w:p w14:paraId="3DEEE313">
            <w:pPr>
              <w:spacing w:before="120" w:after="120" w:line="240" w:lineRule="auto"/>
              <w:ind w:left="1306" w:hanging="425"/>
              <w:jc w:val="both"/>
              <w:rPr>
                <w:bCs/>
                <w:iCs/>
              </w:rPr>
            </w:pPr>
            <w:r>
              <w:rPr>
                <w:bCs/>
                <w:iCs/>
              </w:rPr>
              <w:t>(b)</w:t>
            </w:r>
            <w:r>
              <w:rPr>
                <w:bCs/>
                <w:iCs/>
              </w:rPr>
              <w:tab/>
            </w:r>
            <w:r>
              <w:rPr>
                <w:bCs/>
                <w:iCs/>
              </w:rPr>
              <w:t>deixe de executar ou não executar com a qualidade mínima exigida as atividades contratadas;</w:t>
            </w:r>
          </w:p>
          <w:p w14:paraId="36D000ED">
            <w:pPr>
              <w:spacing w:before="120" w:after="120" w:line="240" w:lineRule="auto"/>
              <w:ind w:left="1306" w:hanging="425"/>
              <w:jc w:val="both"/>
              <w:rPr>
                <w:bCs/>
                <w:iCs/>
              </w:rPr>
            </w:pPr>
            <w:r>
              <w:rPr>
                <w:bCs/>
                <w:iCs/>
              </w:rPr>
              <w:t>(c)</w:t>
            </w:r>
            <w:r>
              <w:rPr>
                <w:bCs/>
                <w:iCs/>
              </w:rPr>
              <w:tab/>
            </w:r>
            <w:r>
              <w:rPr>
                <w:bCs/>
                <w:iCs/>
              </w:rPr>
              <w:t>deixe de utilizar materiais e recursos humanos exigidos para a execução das Obras, ou utilizá-los com qualidade ou quantidade inferior à demandada.</w:t>
            </w:r>
          </w:p>
          <w:p w14:paraId="1A58A180">
            <w:pPr>
              <w:spacing w:before="120" w:after="120" w:line="240" w:lineRule="auto"/>
              <w:ind w:left="739" w:hanging="708"/>
              <w:jc w:val="both"/>
              <w:rPr>
                <w:bCs/>
                <w:iCs/>
              </w:rPr>
            </w:pPr>
            <w:r>
              <w:rPr>
                <w:bCs/>
                <w:iCs/>
              </w:rPr>
              <w:t>34.3</w:t>
            </w:r>
            <w:r>
              <w:rPr>
                <w:bCs/>
                <w:iCs/>
              </w:rPr>
              <w:tab/>
            </w:r>
            <w:r>
              <w:rPr>
                <w:bCs/>
                <w:iCs/>
              </w:rPr>
              <w:t>A utilização d</w:t>
            </w:r>
            <w:r>
              <w:rPr>
                <w:bCs/>
                <w:iCs/>
                <w:lang w:val="pt-PT"/>
              </w:rPr>
              <w:t>a</w:t>
            </w:r>
            <w:r>
              <w:rPr>
                <w:bCs/>
                <w:iCs/>
              </w:rPr>
              <w:t xml:space="preserve"> Instrução de Medição de Resultado (IMR) não impede a aplicação concomitante de outros mecanismos para a avaliação da execução das Obras.</w:t>
            </w:r>
          </w:p>
        </w:tc>
      </w:tr>
      <w:tr w14:paraId="112E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424ACD23">
            <w:pPr>
              <w:pStyle w:val="81"/>
              <w:rPr>
                <w:bCs/>
                <w:iCs w:val="0"/>
              </w:rPr>
            </w:pPr>
            <w:bookmarkStart w:id="530" w:name="_Toc153209046"/>
            <w:bookmarkStart w:id="531" w:name="_Toc174522864"/>
            <w:r>
              <w:t>D – CONTROLE DE CUSTOS</w:t>
            </w:r>
            <w:bookmarkEnd w:id="530"/>
            <w:bookmarkEnd w:id="531"/>
          </w:p>
        </w:tc>
      </w:tr>
      <w:tr w14:paraId="5CF9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F748591">
            <w:pPr>
              <w:pStyle w:val="83"/>
            </w:pPr>
            <w:bookmarkStart w:id="532" w:name="_Toc139024330"/>
            <w:bookmarkStart w:id="533" w:name="_Toc179785858"/>
            <w:r>
              <w:t>35.</w:t>
            </w:r>
          </w:p>
          <w:p w14:paraId="41D8071C">
            <w:pPr>
              <w:pStyle w:val="83"/>
            </w:pPr>
            <w:r>
              <w:t xml:space="preserve">Cronograma </w:t>
            </w:r>
          </w:p>
          <w:p w14:paraId="1EBADDA2">
            <w:pPr>
              <w:pStyle w:val="83"/>
            </w:pPr>
            <w:r>
              <w:t>Físico-Financeiro</w:t>
            </w:r>
            <w:bookmarkEnd w:id="532"/>
            <w:bookmarkEnd w:id="533"/>
          </w:p>
        </w:tc>
        <w:tc>
          <w:tcPr>
            <w:tcW w:w="6753" w:type="dxa"/>
          </w:tcPr>
          <w:p w14:paraId="747C016F">
            <w:pPr>
              <w:spacing w:before="120" w:after="120" w:line="240" w:lineRule="auto"/>
              <w:ind w:left="601" w:hanging="567"/>
            </w:pPr>
            <w:bookmarkStart w:id="534" w:name="_Hlk139295739"/>
            <w:r>
              <w:t>35.1</w:t>
            </w:r>
            <w:r>
              <w:tab/>
            </w:r>
            <w:r>
              <w:t xml:space="preserve"> O </w:t>
            </w:r>
            <w:r>
              <w:rPr>
                <w:b/>
                <w:bCs/>
              </w:rPr>
              <w:t>Contratado</w:t>
            </w:r>
            <w:r>
              <w:t xml:space="preserve"> deverá elaborar um Cronograma de Atividades (Físico-Financeiro) atualizado no prazo de indicado nos </w:t>
            </w:r>
            <w:r>
              <w:rPr>
                <w:b/>
                <w:bCs/>
              </w:rPr>
              <w:t>DDC</w:t>
            </w:r>
            <w:r>
              <w:t>. As atividades constantes do Cronograma deverão compatibilizar-se com as atividades programadas para a elaboração dos Projetos e a execução das Obras.</w:t>
            </w:r>
          </w:p>
          <w:p w14:paraId="4BD997A0">
            <w:pPr>
              <w:spacing w:before="120" w:after="120" w:line="240" w:lineRule="auto"/>
              <w:ind w:left="601" w:hanging="567"/>
            </w:pPr>
            <w:r>
              <w:t>35.2</w:t>
            </w:r>
            <w:r>
              <w:tab/>
            </w:r>
            <w:r>
              <w:t xml:space="preserve"> O </w:t>
            </w:r>
            <w:r>
              <w:rPr>
                <w:b/>
                <w:bCs/>
              </w:rPr>
              <w:t>Contratado</w:t>
            </w:r>
            <w:r>
              <w:t xml:space="preserve"> deverá demonstrar no Cronograma as entregas de Materiais previstas para o Local das Obras caso estejam previstos pagamentos separados para Materiais no Local das Obras.</w:t>
            </w:r>
          </w:p>
          <w:p w14:paraId="39AECBE1">
            <w:pPr>
              <w:spacing w:before="120" w:after="120" w:line="240" w:lineRule="auto"/>
              <w:ind w:left="739" w:hanging="708"/>
              <w:jc w:val="both"/>
              <w:rPr>
                <w:bCs/>
                <w:iCs/>
              </w:rPr>
            </w:pPr>
            <w:r>
              <w:rPr>
                <w:bCs/>
                <w:iCs/>
              </w:rPr>
              <w:t>35.3</w:t>
            </w:r>
            <w:r>
              <w:rPr>
                <w:bCs/>
                <w:iCs/>
              </w:rPr>
              <w:tab/>
            </w:r>
            <w:r>
              <w:rPr>
                <w:bCs/>
                <w:iCs/>
              </w:rPr>
              <w:t xml:space="preserve">O </w:t>
            </w:r>
            <w:r>
              <w:rPr>
                <w:b/>
                <w:bCs/>
                <w:iCs/>
              </w:rPr>
              <w:t>Contratante</w:t>
            </w:r>
            <w:r>
              <w:rPr>
                <w:bCs/>
                <w:iCs/>
              </w:rPr>
              <w:t xml:space="preserve">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bookmarkEnd w:id="534"/>
          </w:p>
        </w:tc>
      </w:tr>
      <w:tr w14:paraId="1699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8F8DD26">
            <w:pPr>
              <w:pStyle w:val="83"/>
            </w:pPr>
            <w:bookmarkStart w:id="535" w:name="_Toc153209048"/>
            <w:bookmarkStart w:id="536" w:name="_Toc139024331"/>
            <w:bookmarkStart w:id="537" w:name="_Toc174522866"/>
            <w:r>
              <w:t>36.</w:t>
            </w:r>
            <w:r>
              <w:tab/>
            </w:r>
            <w:r>
              <w:t>Alterações de Quantidades</w:t>
            </w:r>
            <w:bookmarkEnd w:id="535"/>
            <w:bookmarkEnd w:id="536"/>
            <w:bookmarkEnd w:id="537"/>
          </w:p>
        </w:tc>
        <w:tc>
          <w:tcPr>
            <w:tcW w:w="6753" w:type="dxa"/>
          </w:tcPr>
          <w:p w14:paraId="0DC7C264">
            <w:pPr>
              <w:spacing w:before="120" w:after="120" w:line="240" w:lineRule="auto"/>
              <w:ind w:left="739" w:hanging="708"/>
              <w:jc w:val="both"/>
              <w:rPr>
                <w:bCs/>
                <w:iCs/>
              </w:rPr>
            </w:pPr>
            <w:r>
              <w:rPr>
                <w:bCs/>
                <w:iCs/>
              </w:rPr>
              <w:t>36.1</w:t>
            </w:r>
            <w:r>
              <w:rPr>
                <w:bCs/>
                <w:iCs/>
              </w:rPr>
              <w:tab/>
            </w:r>
            <w:r>
              <w:rPr>
                <w:bCs/>
                <w:iCs/>
              </w:rPr>
              <w:t>Caso o quantitativo medido dos serviços varie com relação àqueles estimados na planilha de quantidades para um determinado item:</w:t>
            </w:r>
          </w:p>
          <w:p w14:paraId="7FE75EC1">
            <w:pPr>
              <w:spacing w:before="120" w:after="120" w:line="240" w:lineRule="auto"/>
              <w:ind w:left="1306" w:hanging="425"/>
              <w:jc w:val="both"/>
              <w:rPr>
                <w:bCs/>
                <w:iCs/>
              </w:rPr>
            </w:pPr>
            <w:r>
              <w:rPr>
                <w:bCs/>
                <w:iCs/>
              </w:rPr>
              <w:t>(a)</w:t>
            </w:r>
            <w:r>
              <w:rPr>
                <w:bCs/>
                <w:iCs/>
              </w:rPr>
              <w:tab/>
            </w:r>
            <w:r>
              <w:rPr>
                <w:bCs/>
                <w:iCs/>
              </w:rPr>
              <w:t>quando o preço do item é preexistente no contrato, ajusta-se a quantidade pleiteada e preserva-se o valor contratual unitário do item;</w:t>
            </w:r>
          </w:p>
          <w:p w14:paraId="16B7A9EB">
            <w:pPr>
              <w:spacing w:before="120" w:after="120" w:line="240" w:lineRule="auto"/>
              <w:ind w:left="1306" w:hanging="425"/>
              <w:jc w:val="both"/>
              <w:rPr>
                <w:bCs/>
                <w:iCs/>
              </w:rPr>
            </w:pPr>
            <w:r>
              <w:rPr>
                <w:bCs/>
                <w:iCs/>
              </w:rPr>
              <w:t xml:space="preserve">(b) </w:t>
            </w:r>
            <w:r>
              <w:rPr>
                <w:bCs/>
                <w:iCs/>
              </w:rPr>
              <w:tab/>
            </w:r>
            <w:r>
              <w:rPr>
                <w:bCs/>
                <w:iCs/>
              </w:rPr>
              <w:t>quando o preço do item não existe previamente no contrato, deverá ser feito um orçamento referencial e após acordado, este valor será integrado ao contrato como um preço extracontratual;</w:t>
            </w:r>
          </w:p>
          <w:p w14:paraId="79F250F8">
            <w:pPr>
              <w:spacing w:before="120" w:after="120" w:line="240" w:lineRule="auto"/>
              <w:ind w:left="1306" w:hanging="425"/>
              <w:jc w:val="both"/>
              <w:rPr>
                <w:bCs/>
                <w:iCs/>
              </w:rPr>
            </w:pPr>
            <w:r>
              <w:rPr>
                <w:bCs/>
                <w:iCs/>
              </w:rPr>
              <w:t>(c)</w:t>
            </w:r>
            <w:r>
              <w:rPr>
                <w:bCs/>
                <w:iCs/>
              </w:rPr>
              <w:tab/>
            </w:r>
            <w:r>
              <w:rPr>
                <w:bCs/>
                <w:iCs/>
              </w:rPr>
              <w:t>em ambos os casos, essas alterações serão formalizadas com a lavratura de um termo aditivo, a ser assinado por ambas as Partes.</w:t>
            </w:r>
          </w:p>
          <w:p w14:paraId="72C43981">
            <w:pPr>
              <w:spacing w:before="120" w:after="120" w:line="240" w:lineRule="auto"/>
              <w:ind w:left="739" w:hanging="708"/>
              <w:jc w:val="both"/>
              <w:rPr>
                <w:bCs/>
                <w:iCs/>
              </w:rPr>
            </w:pPr>
            <w:r>
              <w:rPr>
                <w:bCs/>
                <w:iCs/>
              </w:rPr>
              <w:t>36.2</w:t>
            </w:r>
            <w:r>
              <w:rPr>
                <w:bCs/>
                <w:iCs/>
              </w:rPr>
              <w:tab/>
            </w:r>
            <w:r>
              <w:rPr>
                <w:bCs/>
                <w:iCs/>
              </w:rPr>
              <w:t xml:space="preserve">Será aplicada a taxa de BDI especificada no orçamento-base da licitação para os serviços novos incluídos por meio de aditivos contratuais, sempre que a taxa de BDI adotada pelo </w:t>
            </w:r>
            <w:r>
              <w:rPr>
                <w:b/>
                <w:bCs/>
                <w:iCs/>
              </w:rPr>
              <w:t>Contratado</w:t>
            </w:r>
            <w:r>
              <w:rPr>
                <w:bCs/>
                <w:iCs/>
              </w:rPr>
              <w:t xml:space="preserve"> for injustificadamente elevada, com vistas a garantir o equilíbrio econômico-financeiro do Contrato.</w:t>
            </w:r>
          </w:p>
          <w:p w14:paraId="7D666156">
            <w:pPr>
              <w:spacing w:before="120" w:after="120" w:line="240" w:lineRule="auto"/>
              <w:ind w:left="739" w:hanging="708"/>
              <w:jc w:val="both"/>
              <w:rPr>
                <w:bCs/>
                <w:iCs/>
              </w:rPr>
            </w:pPr>
            <w:r>
              <w:rPr>
                <w:bCs/>
                <w:iCs/>
              </w:rPr>
              <w:t>36.4</w:t>
            </w:r>
            <w:r>
              <w:rPr>
                <w:bCs/>
                <w:iCs/>
              </w:rPr>
              <w:tab/>
            </w:r>
            <w:r>
              <w:rPr>
                <w:bCs/>
                <w:iCs/>
              </w:rPr>
              <w:t xml:space="preserve">Caso seja requerido pelo Gerente do Contrato, deverá o </w:t>
            </w:r>
            <w:r>
              <w:rPr>
                <w:b/>
                <w:bCs/>
                <w:iCs/>
              </w:rPr>
              <w:t>Contratado</w:t>
            </w:r>
            <w:r>
              <w:rPr>
                <w:bCs/>
                <w:iCs/>
              </w:rPr>
              <w:t xml:space="preserve"> fornecer o detalhamento específico dos custos de qualquer item constante da sua proposta.</w:t>
            </w:r>
          </w:p>
        </w:tc>
      </w:tr>
      <w:tr w14:paraId="4D201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1D256E0">
            <w:pPr>
              <w:pStyle w:val="83"/>
            </w:pPr>
            <w:bookmarkStart w:id="538" w:name="_Toc174522867"/>
            <w:bookmarkStart w:id="539" w:name="_Toc56168327"/>
            <w:bookmarkStart w:id="540" w:name="_Toc153209049"/>
            <w:bookmarkStart w:id="541" w:name="_Toc20735952"/>
            <w:bookmarkStart w:id="542" w:name="_Toc139024332"/>
            <w:r>
              <w:t>37.</w:t>
            </w:r>
            <w:r>
              <w:tab/>
            </w:r>
            <w:r>
              <w:t>Variações</w:t>
            </w:r>
            <w:bookmarkEnd w:id="538"/>
            <w:bookmarkEnd w:id="539"/>
            <w:bookmarkEnd w:id="540"/>
            <w:bookmarkEnd w:id="541"/>
            <w:bookmarkEnd w:id="542"/>
          </w:p>
        </w:tc>
        <w:tc>
          <w:tcPr>
            <w:tcW w:w="6753" w:type="dxa"/>
          </w:tcPr>
          <w:p w14:paraId="30176E68">
            <w:pPr>
              <w:spacing w:before="120" w:after="120" w:line="240" w:lineRule="auto"/>
              <w:ind w:left="739" w:hanging="708"/>
              <w:jc w:val="both"/>
              <w:rPr>
                <w:bCs/>
                <w:iCs/>
              </w:rPr>
            </w:pPr>
            <w:r>
              <w:rPr>
                <w:bCs/>
                <w:iCs/>
              </w:rPr>
              <w:t>37.1</w:t>
            </w:r>
            <w:r>
              <w:rPr>
                <w:bCs/>
                <w:iCs/>
              </w:rPr>
              <w:tab/>
            </w:r>
            <w:r>
              <w:rPr>
                <w:bCs/>
                <w:iCs/>
              </w:rPr>
              <w:t xml:space="preserve">Todas as Variações deverão ser incluídas em cronogramas atualizados elaborados pelo </w:t>
            </w:r>
            <w:r>
              <w:rPr>
                <w:b/>
                <w:bCs/>
                <w:iCs/>
              </w:rPr>
              <w:t>Contratado</w:t>
            </w:r>
            <w:r>
              <w:rPr>
                <w:bCs/>
                <w:iCs/>
              </w:rPr>
              <w:t>.</w:t>
            </w:r>
          </w:p>
        </w:tc>
      </w:tr>
      <w:tr w14:paraId="1CE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122F2F6">
            <w:pPr>
              <w:pStyle w:val="83"/>
            </w:pPr>
            <w:bookmarkStart w:id="543" w:name="_Toc56168328"/>
            <w:bookmarkStart w:id="544" w:name="_Toc20735953"/>
            <w:bookmarkStart w:id="545" w:name="_Toc174522868"/>
            <w:bookmarkStart w:id="546" w:name="_Toc153209050"/>
            <w:bookmarkStart w:id="547" w:name="_Toc139024333"/>
            <w:r>
              <w:t>38.</w:t>
            </w:r>
            <w:r>
              <w:tab/>
            </w:r>
            <w:r>
              <w:t>Pagamento das Variações</w:t>
            </w:r>
            <w:bookmarkEnd w:id="543"/>
            <w:bookmarkEnd w:id="544"/>
            <w:bookmarkEnd w:id="545"/>
            <w:bookmarkEnd w:id="546"/>
            <w:bookmarkEnd w:id="547"/>
          </w:p>
        </w:tc>
        <w:tc>
          <w:tcPr>
            <w:tcW w:w="6753" w:type="dxa"/>
          </w:tcPr>
          <w:p w14:paraId="3A976505">
            <w:pPr>
              <w:spacing w:before="120" w:after="120" w:line="240" w:lineRule="auto"/>
              <w:ind w:left="739" w:hanging="708"/>
              <w:jc w:val="both"/>
              <w:rPr>
                <w:bCs/>
                <w:iCs/>
              </w:rPr>
            </w:pPr>
            <w:r>
              <w:rPr>
                <w:bCs/>
                <w:iCs/>
              </w:rPr>
              <w:t>38.1</w:t>
            </w:r>
            <w:r>
              <w:rPr>
                <w:bCs/>
                <w:iCs/>
              </w:rPr>
              <w:tab/>
            </w:r>
            <w:r>
              <w:rPr>
                <w:bCs/>
                <w:iCs/>
              </w:rPr>
              <w:t xml:space="preserve">Em atendimento a pedido do Gerente do Contrato, o </w:t>
            </w:r>
            <w:r>
              <w:rPr>
                <w:b/>
                <w:bCs/>
                <w:iCs/>
              </w:rPr>
              <w:t>Contratado</w:t>
            </w:r>
            <w:r>
              <w:rPr>
                <w:bCs/>
                <w:iCs/>
              </w:rPr>
              <w:t xml:space="preserve"> deverá estimar o custo de uma Variação fornecendo-lhe a respectiva cotação no prazo de 10 dias contados do pedido, ou em prazo superior autorizado pelo requerente, desde que antes da data de execução da Variação, competindo a este a avaliação da referida cotação.</w:t>
            </w:r>
          </w:p>
          <w:p w14:paraId="6D5BD003">
            <w:pPr>
              <w:spacing w:before="120" w:after="120" w:line="240" w:lineRule="auto"/>
              <w:ind w:left="739" w:hanging="708"/>
              <w:jc w:val="both"/>
              <w:rPr>
                <w:bCs/>
                <w:iCs/>
              </w:rPr>
            </w:pPr>
            <w:r>
              <w:rPr>
                <w:bCs/>
                <w:iCs/>
              </w:rPr>
              <w:t>38.2</w:t>
            </w:r>
            <w:r>
              <w:rPr>
                <w:bCs/>
                <w:iCs/>
              </w:rPr>
              <w:tab/>
            </w:r>
            <w:r>
              <w:rPr>
                <w:b/>
                <w:bCs/>
                <w:iCs/>
                <w:lang w:val="pt-PT"/>
              </w:rPr>
              <w:t>S</w:t>
            </w:r>
            <w:r>
              <w:rPr>
                <w:bCs/>
                <w:iCs/>
              </w:rPr>
              <w:t>e o serviço envolvido na Variação corresponder a item descrito na planilha de quantidades e caso, na opinião do Gerente do Contrato, a respectiva quantificação exceda:</w:t>
            </w:r>
          </w:p>
          <w:p w14:paraId="6C5D8D51">
            <w:pPr>
              <w:spacing w:before="120" w:after="120" w:line="240" w:lineRule="auto"/>
              <w:ind w:left="1306" w:hanging="425"/>
              <w:jc w:val="both"/>
              <w:rPr>
                <w:bCs/>
                <w:iCs/>
              </w:rPr>
            </w:pPr>
            <w:r>
              <w:rPr>
                <w:bCs/>
                <w:iCs/>
              </w:rPr>
              <w:t>(a)</w:t>
            </w:r>
            <w:r>
              <w:rPr>
                <w:bCs/>
                <w:iCs/>
              </w:rPr>
              <w:tab/>
            </w:r>
            <w:r>
              <w:rPr>
                <w:bCs/>
                <w:iCs/>
              </w:rPr>
              <w:t>o limite especificado na subcláusula 36.3 das CGC, ou</w:t>
            </w:r>
          </w:p>
          <w:p w14:paraId="39705E13">
            <w:pPr>
              <w:spacing w:before="120" w:after="120" w:line="240" w:lineRule="auto"/>
              <w:ind w:left="1306" w:hanging="425"/>
              <w:jc w:val="both"/>
              <w:rPr>
                <w:bCs/>
                <w:iCs/>
              </w:rPr>
            </w:pPr>
            <w:r>
              <w:rPr>
                <w:bCs/>
                <w:iCs/>
              </w:rPr>
              <w:t xml:space="preserve">(b) </w:t>
            </w:r>
            <w:r>
              <w:rPr>
                <w:bCs/>
                <w:iCs/>
              </w:rPr>
              <w:tab/>
            </w:r>
            <w:r>
              <w:rPr>
                <w:bCs/>
                <w:iCs/>
              </w:rPr>
              <w:t>o tempo gasto na sua execução não altere o custo unitário, o preço na planilha de quantidades deverá ser utilizado para o cálculo do valor da Variação.</w:t>
            </w:r>
          </w:p>
          <w:p w14:paraId="2B6D004A">
            <w:pPr>
              <w:spacing w:before="120" w:after="120" w:line="240" w:lineRule="auto"/>
              <w:ind w:left="1020" w:hanging="708"/>
              <w:jc w:val="both"/>
              <w:rPr>
                <w:bCs/>
                <w:iCs/>
              </w:rPr>
            </w:pPr>
            <w:r>
              <w:rPr>
                <w:bCs/>
                <w:iCs/>
              </w:rPr>
              <w:t>38.2.1</w:t>
            </w:r>
            <w:r>
              <w:rPr>
                <w:bCs/>
                <w:iCs/>
              </w:rPr>
              <w:tab/>
            </w:r>
            <w:r>
              <w:rPr>
                <w:bCs/>
                <w:iCs/>
              </w:rPr>
              <w:t>Caso o custo unitário fixado não seja aplicável aos serviços envolvidos na Variação ou, caso a natureza ou o tempo de execução do serviço envolvido na modificação não correspondam aos itens da planilha de quantidades, proceder-se-á à cotação mediante apresentação de novos preços unitários para os itens relevantes do serviço.</w:t>
            </w:r>
          </w:p>
          <w:p w14:paraId="41867FA9">
            <w:pPr>
              <w:spacing w:before="120" w:after="120" w:line="240" w:lineRule="auto"/>
              <w:ind w:left="739" w:hanging="708"/>
              <w:jc w:val="both"/>
              <w:rPr>
                <w:bCs/>
                <w:iCs/>
              </w:rPr>
            </w:pPr>
            <w:r>
              <w:rPr>
                <w:bCs/>
                <w:iCs/>
              </w:rPr>
              <w:t>38.3</w:t>
            </w:r>
            <w:r>
              <w:rPr>
                <w:bCs/>
                <w:iCs/>
              </w:rPr>
              <w:tab/>
            </w:r>
            <w:r>
              <w:rPr>
                <w:bCs/>
                <w:iCs/>
              </w:rPr>
              <w:t xml:space="preserve">Se a cotação do </w:t>
            </w:r>
            <w:r>
              <w:rPr>
                <w:b/>
                <w:bCs/>
                <w:iCs/>
              </w:rPr>
              <w:t>Contratante</w:t>
            </w:r>
            <w:r>
              <w:rPr>
                <w:bCs/>
                <w:iCs/>
              </w:rPr>
              <w:t xml:space="preserve"> não for razoável, o Gerente do Contrato autorizará a Variação e efetuará modificação do Preço do Contrato, baseando-se em sua própria estimativa sobre os efeitos da Variação nos custos do </w:t>
            </w:r>
            <w:r>
              <w:rPr>
                <w:b/>
                <w:bCs/>
                <w:iCs/>
              </w:rPr>
              <w:t>Contratado</w:t>
            </w:r>
            <w:r>
              <w:rPr>
                <w:bCs/>
                <w:iCs/>
              </w:rPr>
              <w:t>.</w:t>
            </w:r>
          </w:p>
          <w:p w14:paraId="61F0E25E">
            <w:pPr>
              <w:spacing w:before="120" w:after="120" w:line="240" w:lineRule="auto"/>
              <w:ind w:left="739" w:hanging="708"/>
              <w:jc w:val="both"/>
              <w:rPr>
                <w:bCs/>
                <w:iCs/>
              </w:rPr>
            </w:pPr>
            <w:r>
              <w:rPr>
                <w:bCs/>
                <w:iCs/>
              </w:rPr>
              <w:t>38.4</w:t>
            </w:r>
            <w:r>
              <w:rPr>
                <w:bCs/>
                <w:iCs/>
              </w:rPr>
              <w:tab/>
            </w:r>
            <w:r>
              <w:rPr>
                <w:bCs/>
                <w:iCs/>
              </w:rPr>
              <w:t>É dispensada a solicitação de proposta de preço caso o Gerente do Contrato entenda que a urgência de uma Variação é incompatível com a observância do procedimento (solicitação, apresentação e avaliação). Nesse caso, considerar-se-á a Variação como Evento Passível de Compensação.</w:t>
            </w:r>
          </w:p>
          <w:p w14:paraId="1EAEDF1B">
            <w:pPr>
              <w:spacing w:before="120" w:after="120" w:line="240" w:lineRule="auto"/>
              <w:ind w:left="739" w:hanging="708"/>
              <w:jc w:val="both"/>
              <w:rPr>
                <w:bCs/>
                <w:iCs/>
              </w:rPr>
            </w:pPr>
            <w:r>
              <w:rPr>
                <w:bCs/>
                <w:iCs/>
              </w:rPr>
              <w:t>38.5</w:t>
            </w:r>
            <w:r>
              <w:rPr>
                <w:bCs/>
                <w:iCs/>
              </w:rPr>
              <w:tab/>
            </w:r>
            <w:r>
              <w:rPr>
                <w:bCs/>
                <w:iCs/>
              </w:rPr>
              <w:t xml:space="preserve">Não constituirão Variações passíveis de pagamento adicional as atividades e serviços decorrentes de circunstâncias adversas, a respeito das quais o </w:t>
            </w:r>
            <w:r>
              <w:rPr>
                <w:b/>
                <w:bCs/>
                <w:iCs/>
              </w:rPr>
              <w:t>Contratado</w:t>
            </w:r>
            <w:r>
              <w:rPr>
                <w:bCs/>
                <w:iCs/>
              </w:rPr>
              <w:t xml:space="preserve"> devesse ter alertado o </w:t>
            </w:r>
            <w:r>
              <w:rPr>
                <w:b/>
                <w:bCs/>
                <w:iCs/>
              </w:rPr>
              <w:t>Contratante</w:t>
            </w:r>
            <w:r>
              <w:rPr>
                <w:bCs/>
                <w:iCs/>
              </w:rPr>
              <w:t>, na forma da cláusula 30 das CGC.</w:t>
            </w:r>
          </w:p>
        </w:tc>
      </w:tr>
      <w:tr w14:paraId="7C5D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565BDDEF">
            <w:pPr>
              <w:pStyle w:val="83"/>
            </w:pPr>
            <w:bookmarkStart w:id="548" w:name="_Toc56168329"/>
            <w:bookmarkStart w:id="549" w:name="_Toc174522869"/>
            <w:bookmarkStart w:id="550" w:name="_Toc153209051"/>
            <w:bookmarkStart w:id="551" w:name="_Toc139024334"/>
            <w:bookmarkStart w:id="552" w:name="_Toc20735954"/>
            <w:r>
              <w:t>39.</w:t>
            </w:r>
            <w:r>
              <w:tab/>
            </w:r>
            <w:r>
              <w:t>Previsões de Fluxo de Caixa</w:t>
            </w:r>
            <w:bookmarkEnd w:id="548"/>
            <w:bookmarkEnd w:id="549"/>
            <w:bookmarkEnd w:id="550"/>
            <w:bookmarkEnd w:id="551"/>
            <w:bookmarkEnd w:id="552"/>
          </w:p>
        </w:tc>
        <w:tc>
          <w:tcPr>
            <w:tcW w:w="6753" w:type="dxa"/>
          </w:tcPr>
          <w:p w14:paraId="675FCB7F">
            <w:pPr>
              <w:spacing w:before="120" w:after="120" w:line="240" w:lineRule="auto"/>
              <w:ind w:left="739" w:hanging="708"/>
              <w:jc w:val="both"/>
              <w:rPr>
                <w:bCs/>
                <w:iCs/>
              </w:rPr>
            </w:pPr>
            <w:r>
              <w:rPr>
                <w:bCs/>
                <w:iCs/>
              </w:rPr>
              <w:t>39.1</w:t>
            </w:r>
            <w:r>
              <w:rPr>
                <w:bCs/>
                <w:iCs/>
              </w:rPr>
              <w:tab/>
            </w:r>
            <w:r>
              <w:rPr>
                <w:bCs/>
                <w:iCs/>
              </w:rPr>
              <w:t xml:space="preserve">Na atualização do Cronograma, o </w:t>
            </w:r>
            <w:r>
              <w:rPr>
                <w:b/>
                <w:bCs/>
                <w:iCs/>
              </w:rPr>
              <w:t>Contratado</w:t>
            </w:r>
            <w:r>
              <w:rPr>
                <w:bCs/>
                <w:iCs/>
              </w:rPr>
              <w:t xml:space="preserve"> deverá fornecer ao Gerente do Contrato uma previsão atualizada de fluxo de caixa.</w:t>
            </w:r>
          </w:p>
        </w:tc>
      </w:tr>
      <w:tr w14:paraId="212D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C6CC5B0">
            <w:pPr>
              <w:pStyle w:val="83"/>
            </w:pPr>
            <w:bookmarkStart w:id="553" w:name="_Toc153209052"/>
            <w:bookmarkStart w:id="554" w:name="_Toc138437109"/>
            <w:bookmarkStart w:id="555" w:name="_Toc174522870"/>
            <w:r>
              <w:t>40.</w:t>
            </w:r>
            <w:r>
              <w:tab/>
            </w:r>
            <w:r>
              <w:t>Medições</w:t>
            </w:r>
            <w:bookmarkEnd w:id="553"/>
            <w:bookmarkEnd w:id="554"/>
            <w:bookmarkEnd w:id="555"/>
          </w:p>
        </w:tc>
        <w:tc>
          <w:tcPr>
            <w:tcW w:w="6753" w:type="dxa"/>
          </w:tcPr>
          <w:p w14:paraId="0A141337">
            <w:pPr>
              <w:spacing w:before="120" w:after="120" w:line="240" w:lineRule="auto"/>
              <w:ind w:left="739" w:hanging="708"/>
              <w:jc w:val="both"/>
              <w:rPr>
                <w:bCs/>
                <w:iCs/>
              </w:rPr>
            </w:pPr>
            <w:r>
              <w:rPr>
                <w:bCs/>
                <w:iCs/>
              </w:rPr>
              <w:t>40.1</w:t>
            </w:r>
            <w:r>
              <w:rPr>
                <w:bCs/>
                <w:iCs/>
              </w:rPr>
              <w:tab/>
            </w:r>
            <w:r>
              <w:rPr>
                <w:bCs/>
                <w:iCs/>
              </w:rPr>
              <w:t xml:space="preserve">O </w:t>
            </w:r>
            <w:r>
              <w:rPr>
                <w:b/>
                <w:bCs/>
                <w:iCs/>
              </w:rPr>
              <w:t>Contratado</w:t>
            </w:r>
            <w:r>
              <w:rPr>
                <w:bCs/>
                <w:iCs/>
              </w:rPr>
              <w:t xml:space="preserve"> submeterá ao Gerente do Contrato, mensalmente, as medições </w:t>
            </w:r>
            <w:r>
              <w:t>(por meio de planilhas e memórias de cálculo detalhadas e de acordo com o Cronograma de Atividades Físico-Financeiro atualizado)</w:t>
            </w:r>
            <w:r>
              <w:rPr>
                <w:bCs/>
                <w:iCs/>
              </w:rPr>
              <w:t xml:space="preserve"> referentes ao total dos serviços executados até a data, deduzindo os totais dos serviços acumulados certificados até a medição anterior.</w:t>
            </w:r>
          </w:p>
          <w:p w14:paraId="1850E89D">
            <w:pPr>
              <w:spacing w:before="120" w:after="120" w:line="240" w:lineRule="auto"/>
              <w:ind w:left="739" w:hanging="708"/>
              <w:jc w:val="both"/>
              <w:rPr>
                <w:bCs/>
                <w:iCs/>
              </w:rPr>
            </w:pPr>
            <w:r>
              <w:rPr>
                <w:bCs/>
                <w:iCs/>
              </w:rPr>
              <w:t>40.2</w:t>
            </w:r>
            <w:r>
              <w:rPr>
                <w:bCs/>
                <w:iCs/>
              </w:rPr>
              <w:tab/>
            </w:r>
            <w:r>
              <w:rPr>
                <w:bCs/>
                <w:iCs/>
              </w:rPr>
              <w:t xml:space="preserve">O Gerente do Contrato deverá conferir as medições mensais e atestar o pagamento a ser feito ao </w:t>
            </w:r>
            <w:r>
              <w:rPr>
                <w:b/>
                <w:bCs/>
                <w:iCs/>
              </w:rPr>
              <w:t>Contratado</w:t>
            </w:r>
            <w:r>
              <w:rPr>
                <w:bCs/>
                <w:iCs/>
              </w:rPr>
              <w:t>, por meio de um de certificado específico.</w:t>
            </w:r>
          </w:p>
          <w:p w14:paraId="43A3591B">
            <w:pPr>
              <w:spacing w:before="120" w:after="120" w:line="240" w:lineRule="auto"/>
              <w:ind w:left="739" w:hanging="708"/>
              <w:jc w:val="both"/>
              <w:rPr>
                <w:bCs/>
                <w:iCs/>
              </w:rPr>
            </w:pPr>
            <w:r>
              <w:rPr>
                <w:bCs/>
                <w:iCs/>
              </w:rPr>
              <w:t>40.3</w:t>
            </w:r>
            <w:r>
              <w:rPr>
                <w:bCs/>
                <w:iCs/>
              </w:rPr>
              <w:tab/>
            </w:r>
            <w:r>
              <w:rPr>
                <w:bCs/>
                <w:iCs/>
              </w:rPr>
              <w:t>O valor devido pelo serviço executado será determinado pelo Gerente do Contrato.</w:t>
            </w:r>
          </w:p>
          <w:p w14:paraId="51A43300">
            <w:pPr>
              <w:spacing w:before="120" w:after="120" w:line="240" w:lineRule="auto"/>
              <w:ind w:left="739" w:hanging="708"/>
              <w:jc w:val="both"/>
              <w:rPr>
                <w:bCs/>
                <w:iCs/>
              </w:rPr>
            </w:pPr>
            <w:r>
              <w:rPr>
                <w:bCs/>
                <w:iCs/>
              </w:rPr>
              <w:t>40.4</w:t>
            </w:r>
            <w:r>
              <w:rPr>
                <w:bCs/>
                <w:iCs/>
              </w:rPr>
              <w:tab/>
            </w:r>
            <w:r>
              <w:rPr>
                <w:bCs/>
                <w:iCs/>
              </w:rPr>
              <w:t>O valor do serviço realizado deverá referir-se apenas a itens incluídos na planilha de quantidades ou no cronograma de atividades (físico-financeiro).</w:t>
            </w:r>
          </w:p>
          <w:p w14:paraId="27ACE577">
            <w:pPr>
              <w:spacing w:before="120" w:after="120" w:line="240" w:lineRule="auto"/>
              <w:ind w:left="739" w:hanging="708"/>
              <w:jc w:val="both"/>
              <w:rPr>
                <w:bCs/>
                <w:iCs/>
              </w:rPr>
            </w:pPr>
            <w:r>
              <w:rPr>
                <w:bCs/>
                <w:iCs/>
              </w:rPr>
              <w:t>40.5</w:t>
            </w:r>
            <w:r>
              <w:rPr>
                <w:bCs/>
                <w:iCs/>
              </w:rPr>
              <w:tab/>
            </w:r>
            <w:r>
              <w:rPr>
                <w:bCs/>
                <w:iCs/>
              </w:rPr>
              <w:t>O valor dos serviços concluídos inclui os valores das Variações e Eventos Passíveis de Compensação.</w:t>
            </w:r>
          </w:p>
          <w:p w14:paraId="76A19F02">
            <w:pPr>
              <w:spacing w:before="120" w:after="120" w:line="240" w:lineRule="auto"/>
              <w:ind w:left="739" w:hanging="708"/>
              <w:jc w:val="both"/>
              <w:rPr>
                <w:bCs/>
                <w:iCs/>
              </w:rPr>
            </w:pPr>
            <w:r>
              <w:rPr>
                <w:bCs/>
                <w:iCs/>
              </w:rPr>
              <w:t>40.6</w:t>
            </w:r>
            <w:r>
              <w:rPr>
                <w:bCs/>
                <w:iCs/>
              </w:rPr>
              <w:tab/>
            </w:r>
            <w:r>
              <w:rPr>
                <w:bCs/>
                <w:iCs/>
              </w:rPr>
              <w:t>O Gerente do Contrato pode excluir qualquer item aprovado em certificado anterior ou reduzir a proporção de item previamente aprovado, em certificado, à luz de informações subsequentes.</w:t>
            </w:r>
          </w:p>
          <w:p w14:paraId="0C9C6C09">
            <w:pPr>
              <w:spacing w:before="120" w:after="120" w:line="240" w:lineRule="auto"/>
              <w:ind w:left="739" w:hanging="708"/>
              <w:jc w:val="both"/>
              <w:rPr>
                <w:bCs/>
                <w:iCs/>
              </w:rPr>
            </w:pPr>
            <w:r>
              <w:rPr>
                <w:bCs/>
                <w:iCs/>
              </w:rPr>
              <w:t>40.7</w:t>
            </w:r>
            <w:r>
              <w:rPr>
                <w:bCs/>
                <w:iCs/>
              </w:rPr>
              <w:tab/>
            </w:r>
            <w:r>
              <w:rPr>
                <w:bCs/>
                <w:iCs/>
              </w:rPr>
              <w:t xml:space="preserve">Outros procedimentos relacionados com o recebimento dos serviços executados constam dos </w:t>
            </w:r>
            <w:r>
              <w:rPr>
                <w:b/>
                <w:bCs/>
                <w:iCs/>
              </w:rPr>
              <w:t>DDC</w:t>
            </w:r>
            <w:r>
              <w:rPr>
                <w:bCs/>
                <w:iCs/>
              </w:rPr>
              <w:t>.</w:t>
            </w:r>
          </w:p>
        </w:tc>
      </w:tr>
      <w:tr w14:paraId="1F69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E98E510">
            <w:pPr>
              <w:pStyle w:val="83"/>
            </w:pPr>
            <w:bookmarkStart w:id="556" w:name="_Toc153209053"/>
            <w:bookmarkStart w:id="557" w:name="_Toc138437110"/>
            <w:bookmarkStart w:id="558" w:name="_Toc174522871"/>
            <w:r>
              <w:t>41.</w:t>
            </w:r>
            <w:r>
              <w:tab/>
            </w:r>
            <w:r>
              <w:t>Pagamentos</w:t>
            </w:r>
            <w:bookmarkEnd w:id="556"/>
            <w:bookmarkEnd w:id="557"/>
            <w:bookmarkEnd w:id="558"/>
          </w:p>
        </w:tc>
        <w:tc>
          <w:tcPr>
            <w:tcW w:w="6753" w:type="dxa"/>
          </w:tcPr>
          <w:p w14:paraId="73BFCEB2">
            <w:pPr>
              <w:spacing w:before="120" w:after="120" w:line="240" w:lineRule="auto"/>
              <w:ind w:left="739" w:hanging="708"/>
              <w:jc w:val="both"/>
              <w:rPr>
                <w:bCs/>
                <w:iCs/>
              </w:rPr>
            </w:pPr>
            <w:r>
              <w:rPr>
                <w:bCs/>
                <w:iCs/>
              </w:rPr>
              <w:t>41.1</w:t>
            </w:r>
            <w:r>
              <w:rPr>
                <w:bCs/>
                <w:iCs/>
              </w:rPr>
              <w:tab/>
            </w:r>
            <w:r>
              <w:rPr>
                <w:bCs/>
                <w:iCs/>
              </w:rPr>
              <w:t xml:space="preserve">O </w:t>
            </w:r>
            <w:r>
              <w:rPr>
                <w:b/>
                <w:bCs/>
                <w:iCs/>
              </w:rPr>
              <w:t>Contratante</w:t>
            </w:r>
            <w:r>
              <w:rPr>
                <w:bCs/>
                <w:iCs/>
              </w:rPr>
              <w:t xml:space="preserve"> deverá pagar ao </w:t>
            </w:r>
            <w:r>
              <w:rPr>
                <w:b/>
                <w:bCs/>
                <w:iCs/>
              </w:rPr>
              <w:t>Contratado</w:t>
            </w:r>
            <w:r>
              <w:rPr>
                <w:bCs/>
                <w:iCs/>
              </w:rPr>
              <w:t xml:space="preserve"> os valores certificados pelo Gerente do Contrato, no prazo de 30 dias contados da data de cada certificado.</w:t>
            </w:r>
          </w:p>
          <w:p w14:paraId="754D4CF0">
            <w:pPr>
              <w:spacing w:before="120" w:after="120" w:line="240" w:lineRule="auto"/>
              <w:ind w:left="739" w:hanging="708"/>
              <w:jc w:val="both"/>
              <w:rPr>
                <w:bCs/>
                <w:iCs/>
              </w:rPr>
            </w:pPr>
            <w:r>
              <w:rPr>
                <w:bCs/>
                <w:iCs/>
              </w:rPr>
              <w:t>41.2</w:t>
            </w:r>
            <w:r>
              <w:rPr>
                <w:bCs/>
                <w:iCs/>
              </w:rPr>
              <w:tab/>
            </w:r>
            <w:r>
              <w:rPr>
                <w:bCs/>
                <w:iCs/>
              </w:rPr>
              <w:t>Itens da Obra para os quais nenhuma tarifa ou preço tenha sido cotado não serão pagos, se considerados cobertos por outros preços e tarifas.</w:t>
            </w:r>
          </w:p>
          <w:p w14:paraId="699CCEF9">
            <w:pPr>
              <w:spacing w:before="120" w:after="120" w:line="240" w:lineRule="auto"/>
              <w:ind w:left="739" w:hanging="708"/>
              <w:jc w:val="both"/>
              <w:rPr>
                <w:bCs/>
                <w:iCs/>
              </w:rPr>
            </w:pPr>
            <w:r>
              <w:rPr>
                <w:bCs/>
                <w:iCs/>
              </w:rPr>
              <w:t>41.3</w:t>
            </w:r>
            <w:r>
              <w:rPr>
                <w:bCs/>
                <w:iCs/>
              </w:rPr>
              <w:tab/>
            </w:r>
            <w:r>
              <w:rPr>
                <w:bCs/>
                <w:iCs/>
              </w:rPr>
              <w:t>Caso o Gerente do Contrato não concorde com a medição apresentada poderá alterá-la, determinando o imediato pagamento da quantia resultante.</w:t>
            </w:r>
          </w:p>
          <w:p w14:paraId="6C1739EB">
            <w:pPr>
              <w:spacing w:before="120" w:after="120" w:line="240" w:lineRule="auto"/>
              <w:ind w:left="739" w:hanging="708"/>
              <w:jc w:val="both"/>
              <w:rPr>
                <w:bCs/>
                <w:iCs/>
              </w:rPr>
            </w:pPr>
            <w:r>
              <w:rPr>
                <w:bCs/>
                <w:iCs/>
              </w:rPr>
              <w:t>41.4</w:t>
            </w:r>
            <w:r>
              <w:rPr>
                <w:bCs/>
                <w:iCs/>
              </w:rPr>
              <w:tab/>
            </w:r>
            <w:r>
              <w:rPr>
                <w:bCs/>
                <w:iCs/>
              </w:rPr>
              <w:t xml:space="preserve">O </w:t>
            </w:r>
            <w:r>
              <w:rPr>
                <w:b/>
                <w:bCs/>
                <w:iCs/>
              </w:rPr>
              <w:t>Contratado</w:t>
            </w:r>
            <w:r>
              <w:rPr>
                <w:bCs/>
                <w:iCs/>
              </w:rPr>
              <w:t xml:space="preserve"> poderá recorrer da decisão do Gerente do Contrato, na forma da subcláusula 24.3 das CGC.  A atualização de que trata a subcláusula 41.8 das CGC incidirá sobre os valores devidos em virtude do provimento do recurso.</w:t>
            </w:r>
          </w:p>
          <w:p w14:paraId="2E96D08F">
            <w:pPr>
              <w:spacing w:before="120" w:after="120" w:line="240" w:lineRule="auto"/>
              <w:ind w:left="739" w:hanging="708"/>
              <w:jc w:val="both"/>
              <w:rPr>
                <w:bCs/>
                <w:iCs/>
              </w:rPr>
            </w:pPr>
            <w:bookmarkStart w:id="559" w:name="_Hlk139277538"/>
            <w:r>
              <w:rPr>
                <w:bCs/>
                <w:iCs/>
              </w:rPr>
              <w:t>41.5</w:t>
            </w:r>
            <w:r>
              <w:rPr>
                <w:bCs/>
                <w:iCs/>
              </w:rPr>
              <w:tab/>
            </w:r>
            <w:r>
              <w:rPr>
                <w:bCs/>
                <w:iCs/>
              </w:rPr>
              <w:t xml:space="preserve">Os pagamentos dos serviços realizados serão efetuados mediante a apresentação de faturas, após a determinação dos valores dos serviços executados, apurados em medições mensais, e que para o encaminhamento de uma medição ao </w:t>
            </w:r>
            <w:r>
              <w:rPr>
                <w:b/>
                <w:bCs/>
                <w:iCs/>
              </w:rPr>
              <w:t>Contratante</w:t>
            </w:r>
            <w:r>
              <w:rPr>
                <w:bCs/>
                <w:iCs/>
              </w:rPr>
              <w:t xml:space="preserve">, esta deverá estar acompanhada pelos documentos indicados nos </w:t>
            </w:r>
            <w:r>
              <w:rPr>
                <w:b/>
                <w:bCs/>
                <w:iCs/>
              </w:rPr>
              <w:t xml:space="preserve">DDC </w:t>
            </w:r>
            <w:r>
              <w:rPr>
                <w:bCs/>
                <w:iCs/>
              </w:rPr>
              <w:t>e seguindo os procedimentos ali indicados.</w:t>
            </w:r>
          </w:p>
          <w:bookmarkEnd w:id="559"/>
          <w:p w14:paraId="7A2C9A46">
            <w:pPr>
              <w:spacing w:before="120" w:after="120" w:line="240" w:lineRule="auto"/>
              <w:ind w:left="739" w:hanging="708"/>
              <w:jc w:val="both"/>
              <w:rPr>
                <w:bCs/>
                <w:iCs/>
              </w:rPr>
            </w:pPr>
            <w:r>
              <w:rPr>
                <w:bCs/>
                <w:iCs/>
              </w:rPr>
              <w:t>41.6</w:t>
            </w:r>
            <w:r>
              <w:rPr>
                <w:bCs/>
                <w:iCs/>
              </w:rPr>
              <w:tab/>
            </w:r>
            <w:r>
              <w:rPr>
                <w:bCs/>
                <w:iCs/>
              </w:rPr>
              <w:t xml:space="preserve">O pagamento da primeira parcela do Preço do Contrato ficará condicionado à apresentação dos comprovantes indicados nos </w:t>
            </w:r>
            <w:r>
              <w:rPr>
                <w:b/>
                <w:bCs/>
                <w:iCs/>
              </w:rPr>
              <w:t>DDC</w:t>
            </w:r>
            <w:r>
              <w:rPr>
                <w:bCs/>
                <w:iCs/>
              </w:rPr>
              <w:t xml:space="preserve">, cujas taxas, caso aplicáveis, deverão ser pagas pelo </w:t>
            </w:r>
            <w:r>
              <w:rPr>
                <w:b/>
                <w:bCs/>
                <w:iCs/>
              </w:rPr>
              <w:t>Contratado.</w:t>
            </w:r>
          </w:p>
          <w:p w14:paraId="3B0B9508">
            <w:pPr>
              <w:spacing w:before="120" w:after="120" w:line="240" w:lineRule="auto"/>
              <w:ind w:left="739" w:hanging="708"/>
              <w:jc w:val="both"/>
              <w:rPr>
                <w:bCs/>
                <w:iCs/>
              </w:rPr>
            </w:pPr>
            <w:r>
              <w:rPr>
                <w:bCs/>
                <w:iCs/>
              </w:rPr>
              <w:t>41.7</w:t>
            </w:r>
            <w:r>
              <w:rPr>
                <w:bCs/>
                <w:iCs/>
              </w:rPr>
              <w:tab/>
            </w:r>
            <w:r>
              <w:rPr>
                <w:bCs/>
                <w:iCs/>
              </w:rPr>
              <w:t xml:space="preserve">O pagamento final deverá ser efetuado em até 30 dias da apresentação, pelo </w:t>
            </w:r>
            <w:r>
              <w:rPr>
                <w:b/>
                <w:bCs/>
                <w:iCs/>
              </w:rPr>
              <w:t>Contratado</w:t>
            </w:r>
            <w:r>
              <w:rPr>
                <w:bCs/>
                <w:iCs/>
              </w:rPr>
              <w:t xml:space="preserve">, da respectiva fatura emitida após a obtenção do Termo de Recebimento Definitivo (TRD) das Obras e das planilhas de medição emitidas pelo Gerente do Contrato e aprovadas pelo </w:t>
            </w:r>
            <w:r>
              <w:rPr>
                <w:b/>
                <w:bCs/>
                <w:iCs/>
              </w:rPr>
              <w:t>Contratante</w:t>
            </w:r>
            <w:r>
              <w:rPr>
                <w:bCs/>
                <w:iCs/>
              </w:rPr>
              <w:t xml:space="preserve">, bem como com a apresentação da documentação indicada nos </w:t>
            </w:r>
            <w:r>
              <w:rPr>
                <w:b/>
                <w:bCs/>
                <w:iCs/>
              </w:rPr>
              <w:t>DDC</w:t>
            </w:r>
            <w:r>
              <w:rPr>
                <w:bCs/>
                <w:iCs/>
              </w:rPr>
              <w:t>.</w:t>
            </w:r>
          </w:p>
          <w:p w14:paraId="5D62592A">
            <w:pPr>
              <w:spacing w:before="120" w:after="120" w:line="240" w:lineRule="auto"/>
              <w:ind w:left="1306" w:hanging="425"/>
              <w:jc w:val="both"/>
              <w:rPr>
                <w:bCs/>
                <w:iCs/>
              </w:rPr>
            </w:pPr>
            <w:r>
              <w:rPr>
                <w:bCs/>
                <w:iCs/>
              </w:rPr>
              <w:t>(a)</w:t>
            </w:r>
            <w:r>
              <w:rPr>
                <w:bCs/>
                <w:iCs/>
              </w:rPr>
              <w:tab/>
            </w:r>
            <w:r>
              <w:rPr>
                <w:bCs/>
                <w:iCs/>
              </w:rPr>
              <w:t>Relatório de Controle Ambiental (RCA) devidamente aprovado pelo órgão ambiental competente por meio de um Certificado de Conformidade Ambiental (CCA); e</w:t>
            </w:r>
          </w:p>
          <w:p w14:paraId="7881D3D1">
            <w:pPr>
              <w:spacing w:before="120" w:after="120" w:line="240" w:lineRule="auto"/>
              <w:ind w:left="1306" w:hanging="425"/>
              <w:jc w:val="both"/>
              <w:rPr>
                <w:bCs/>
                <w:iCs/>
              </w:rPr>
            </w:pPr>
            <w:r>
              <w:rPr>
                <w:bCs/>
                <w:iCs/>
              </w:rPr>
              <w:t>(b)</w:t>
            </w:r>
            <w:r>
              <w:rPr>
                <w:bCs/>
                <w:iCs/>
              </w:rPr>
              <w:tab/>
            </w:r>
            <w:r>
              <w:rPr>
                <w:bCs/>
                <w:iCs/>
              </w:rPr>
              <w:t xml:space="preserve">com a apresentação da documentação indicada nos </w:t>
            </w:r>
            <w:r>
              <w:rPr>
                <w:b/>
                <w:bCs/>
                <w:iCs/>
              </w:rPr>
              <w:t>DDC</w:t>
            </w:r>
            <w:r>
              <w:rPr>
                <w:bCs/>
                <w:iCs/>
              </w:rPr>
              <w:t>.</w:t>
            </w:r>
          </w:p>
          <w:p w14:paraId="3E32B1F7">
            <w:pPr>
              <w:spacing w:before="120" w:after="120" w:line="240" w:lineRule="auto"/>
              <w:ind w:left="739" w:hanging="708"/>
              <w:jc w:val="both"/>
              <w:rPr>
                <w:bCs/>
                <w:iCs/>
              </w:rPr>
            </w:pPr>
            <w:r>
              <w:rPr>
                <w:bCs/>
                <w:iCs/>
              </w:rPr>
              <w:t>41.8</w:t>
            </w:r>
            <w:r>
              <w:rPr>
                <w:bCs/>
                <w:iCs/>
              </w:rPr>
              <w:tab/>
            </w:r>
            <w:r>
              <w:rPr>
                <w:bCs/>
                <w:iCs/>
              </w:rPr>
              <w:t xml:space="preserve">Nos casos de eventuais atrasos de pagamento, desde que o </w:t>
            </w:r>
            <w:r>
              <w:rPr>
                <w:b/>
                <w:bCs/>
                <w:iCs/>
              </w:rPr>
              <w:t>Contratado</w:t>
            </w:r>
            <w:r>
              <w:rPr>
                <w:bCs/>
                <w:iCs/>
              </w:rPr>
              <w:t xml:space="preserve"> não tenha concorrido, de alguma forma, para tanto, fica convencionado que a taxa de compensação financeira devida pelo </w:t>
            </w:r>
            <w:r>
              <w:rPr>
                <w:b/>
                <w:bCs/>
                <w:iCs/>
              </w:rPr>
              <w:t>Contratante</w:t>
            </w:r>
            <w:r>
              <w:rPr>
                <w:bCs/>
                <w:iCs/>
              </w:rPr>
              <w:t xml:space="preserve">, com atualização entre a data do vencimento e o efetivo adimplemento da parcela, é calculada mediante a aplicação da fórmula ou índice indicados nos </w:t>
            </w:r>
            <w:r>
              <w:rPr>
                <w:b/>
                <w:bCs/>
                <w:iCs/>
              </w:rPr>
              <w:t>DDC</w:t>
            </w:r>
            <w:r>
              <w:rPr>
                <w:bCs/>
                <w:iCs/>
              </w:rPr>
              <w:t>.</w:t>
            </w:r>
          </w:p>
        </w:tc>
      </w:tr>
      <w:tr w14:paraId="4AC2F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A88F3E4">
            <w:pPr>
              <w:pStyle w:val="83"/>
            </w:pPr>
            <w:bookmarkStart w:id="560" w:name="_Toc174522872"/>
            <w:bookmarkStart w:id="561" w:name="_Toc138437111"/>
            <w:bookmarkStart w:id="562" w:name="_Toc153209054"/>
            <w:r>
              <w:t>42.</w:t>
            </w:r>
            <w:r>
              <w:tab/>
            </w:r>
            <w:r>
              <w:t>Eventos Passíveis de Compensação</w:t>
            </w:r>
            <w:bookmarkEnd w:id="560"/>
            <w:bookmarkEnd w:id="561"/>
            <w:bookmarkEnd w:id="562"/>
          </w:p>
        </w:tc>
        <w:tc>
          <w:tcPr>
            <w:tcW w:w="6753" w:type="dxa"/>
          </w:tcPr>
          <w:p w14:paraId="6DE27EEA">
            <w:pPr>
              <w:spacing w:before="120" w:after="120" w:line="240" w:lineRule="auto"/>
              <w:ind w:left="739" w:hanging="708"/>
              <w:jc w:val="both"/>
              <w:rPr>
                <w:bCs/>
                <w:iCs/>
              </w:rPr>
            </w:pPr>
            <w:r>
              <w:rPr>
                <w:bCs/>
                <w:iCs/>
              </w:rPr>
              <w:t xml:space="preserve">42.1 </w:t>
            </w:r>
            <w:r>
              <w:rPr>
                <w:bCs/>
                <w:iCs/>
              </w:rPr>
              <w:tab/>
            </w:r>
            <w:r>
              <w:rPr>
                <w:bCs/>
                <w:iCs/>
              </w:rPr>
              <w:t>Eventos Passíveis de Compensação são:</w:t>
            </w:r>
          </w:p>
          <w:p w14:paraId="16B00D60">
            <w:pPr>
              <w:spacing w:before="120" w:after="120" w:line="240" w:lineRule="auto"/>
              <w:ind w:left="1306" w:hanging="425"/>
              <w:jc w:val="both"/>
              <w:rPr>
                <w:bCs/>
                <w:iCs/>
              </w:rPr>
            </w:pPr>
            <w:r>
              <w:rPr>
                <w:bCs/>
                <w:iCs/>
              </w:rPr>
              <w:t>(a)</w:t>
            </w:r>
            <w:r>
              <w:rPr>
                <w:bCs/>
                <w:iCs/>
              </w:rPr>
              <w:tab/>
            </w:r>
            <w:r>
              <w:rPr>
                <w:bCs/>
                <w:iCs/>
              </w:rPr>
              <w:t xml:space="preserve">omissão do </w:t>
            </w:r>
            <w:r>
              <w:rPr>
                <w:b/>
                <w:bCs/>
                <w:iCs/>
              </w:rPr>
              <w:t>Contratante</w:t>
            </w:r>
            <w:r>
              <w:rPr>
                <w:bCs/>
                <w:iCs/>
              </w:rPr>
              <w:t xml:space="preserve"> na liberação de parte do Local das Obras na Data da Posse do Local das Obras fixada nos </w:t>
            </w:r>
            <w:r>
              <w:rPr>
                <w:b/>
                <w:bCs/>
                <w:iCs/>
              </w:rPr>
              <w:t>DDC</w:t>
            </w:r>
            <w:r>
              <w:rPr>
                <w:bCs/>
                <w:iCs/>
              </w:rPr>
              <w:t>;</w:t>
            </w:r>
          </w:p>
          <w:p w14:paraId="3CDAFD09">
            <w:pPr>
              <w:spacing w:before="120" w:after="120" w:line="240" w:lineRule="auto"/>
              <w:ind w:left="1306" w:hanging="425"/>
              <w:jc w:val="both"/>
              <w:rPr>
                <w:bCs/>
                <w:iCs/>
              </w:rPr>
            </w:pPr>
            <w:r>
              <w:rPr>
                <w:bCs/>
                <w:iCs/>
              </w:rPr>
              <w:t>(b)</w:t>
            </w:r>
            <w:r>
              <w:rPr>
                <w:bCs/>
                <w:iCs/>
              </w:rPr>
              <w:tab/>
            </w:r>
            <w:r>
              <w:rPr>
                <w:bCs/>
                <w:iCs/>
              </w:rPr>
              <w:t xml:space="preserve">modificação, pelo </w:t>
            </w:r>
            <w:r>
              <w:rPr>
                <w:b/>
                <w:bCs/>
                <w:iCs/>
              </w:rPr>
              <w:t>Contratante</w:t>
            </w:r>
            <w:r>
              <w:rPr>
                <w:bCs/>
                <w:iCs/>
              </w:rPr>
              <w:t xml:space="preserve">, do cronograma de outros contratados de modo a afetar os serviços do </w:t>
            </w:r>
            <w:r>
              <w:rPr>
                <w:b/>
                <w:bCs/>
                <w:iCs/>
              </w:rPr>
              <w:t>Contratado</w:t>
            </w:r>
            <w:r>
              <w:rPr>
                <w:bCs/>
                <w:iCs/>
              </w:rPr>
              <w:t>;</w:t>
            </w:r>
          </w:p>
          <w:p w14:paraId="5CF4B5C1">
            <w:pPr>
              <w:spacing w:before="120" w:after="120" w:line="240" w:lineRule="auto"/>
              <w:ind w:left="1306" w:hanging="425"/>
              <w:jc w:val="both"/>
              <w:rPr>
                <w:bCs/>
                <w:iCs/>
              </w:rPr>
            </w:pPr>
            <w:r>
              <w:rPr>
                <w:bCs/>
                <w:iCs/>
              </w:rPr>
              <w:t>(c)</w:t>
            </w:r>
            <w:r>
              <w:rPr>
                <w:bCs/>
                <w:iCs/>
              </w:rPr>
              <w:tab/>
            </w:r>
            <w:r>
              <w:rPr>
                <w:bCs/>
                <w:iCs/>
              </w:rPr>
              <w:t>prorrogação, pelo Gerente do Contrato, do prazo das Obras, ou deixar de emitir Desenhos, Especificações, ou instruções necessárias à execução das Obras em tempo hábil;</w:t>
            </w:r>
          </w:p>
          <w:p w14:paraId="67CF19DF">
            <w:pPr>
              <w:spacing w:before="120" w:after="120" w:line="240" w:lineRule="auto"/>
              <w:ind w:left="1306" w:hanging="425"/>
              <w:jc w:val="both"/>
              <w:rPr>
                <w:bCs/>
                <w:iCs/>
              </w:rPr>
            </w:pPr>
            <w:r>
              <w:rPr>
                <w:bCs/>
                <w:iCs/>
              </w:rPr>
              <w:t>(d)</w:t>
            </w:r>
            <w:r>
              <w:rPr>
                <w:bCs/>
                <w:iCs/>
              </w:rPr>
              <w:tab/>
            </w:r>
            <w:r>
              <w:rPr>
                <w:bCs/>
                <w:iCs/>
              </w:rPr>
              <w:t>determinação do Gerente do Contrato para que seja descoberta parte das Obras ou que se realizem testes adicionais dos quais não resulte a verificação de Defeitos;</w:t>
            </w:r>
          </w:p>
          <w:p w14:paraId="7037CE49">
            <w:pPr>
              <w:spacing w:before="120" w:after="120" w:line="240" w:lineRule="auto"/>
              <w:ind w:left="1306" w:hanging="425"/>
              <w:jc w:val="both"/>
              <w:rPr>
                <w:bCs/>
                <w:iCs/>
              </w:rPr>
            </w:pPr>
            <w:r>
              <w:rPr>
                <w:bCs/>
                <w:iCs/>
              </w:rPr>
              <w:t>(e)</w:t>
            </w:r>
            <w:r>
              <w:rPr>
                <w:bCs/>
                <w:iCs/>
              </w:rPr>
              <w:tab/>
            </w:r>
            <w:r>
              <w:rPr>
                <w:bCs/>
                <w:iCs/>
              </w:rPr>
              <w:t xml:space="preserve"> omissão do Gerente do Contrato, sem justificativa, de autorizar subcontratação;</w:t>
            </w:r>
          </w:p>
          <w:p w14:paraId="3C2D57BE">
            <w:pPr>
              <w:spacing w:before="120" w:after="120" w:line="240" w:lineRule="auto"/>
              <w:ind w:left="1306" w:hanging="425"/>
              <w:jc w:val="both"/>
              <w:rPr>
                <w:bCs/>
                <w:iCs/>
              </w:rPr>
            </w:pPr>
            <w:r>
              <w:rPr>
                <w:bCs/>
                <w:iCs/>
              </w:rPr>
              <w:t>(f)</w:t>
            </w:r>
            <w:r>
              <w:rPr>
                <w:bCs/>
                <w:iCs/>
              </w:rPr>
              <w:tab/>
            </w:r>
            <w:r>
              <w:rPr>
                <w:bCs/>
                <w:iCs/>
              </w:rPr>
              <w:t xml:space="preserve">as condições do solo forem substancialmente diversas do que se poderia razoavelmente estimar antes da Carta de Aceitação, a partir de: </w:t>
            </w:r>
          </w:p>
          <w:p w14:paraId="022DB83E">
            <w:pPr>
              <w:spacing w:before="120" w:after="120" w:line="240" w:lineRule="auto"/>
              <w:ind w:left="1591" w:hanging="429"/>
              <w:jc w:val="both"/>
              <w:rPr>
                <w:bCs/>
                <w:iCs/>
              </w:rPr>
            </w:pPr>
            <w:r>
              <w:rPr>
                <w:bCs/>
                <w:iCs/>
              </w:rPr>
              <w:t>(i)</w:t>
            </w:r>
            <w:r>
              <w:rPr>
                <w:bCs/>
                <w:iCs/>
              </w:rPr>
              <w:tab/>
            </w:r>
            <w:r>
              <w:rPr>
                <w:bCs/>
                <w:iCs/>
              </w:rPr>
              <w:t>informações fornecidas aos concorrentes (incluindo-se o Relatório de Inspeção do Local das Obras);</w:t>
            </w:r>
          </w:p>
          <w:p w14:paraId="6DC2B9AB">
            <w:pPr>
              <w:spacing w:before="120" w:after="120" w:line="240" w:lineRule="auto"/>
              <w:ind w:left="1591" w:hanging="429"/>
              <w:jc w:val="both"/>
              <w:rPr>
                <w:bCs/>
                <w:iCs/>
              </w:rPr>
            </w:pPr>
            <w:r>
              <w:rPr>
                <w:bCs/>
                <w:iCs/>
              </w:rPr>
              <w:t>(ii)</w:t>
            </w:r>
            <w:r>
              <w:rPr>
                <w:bCs/>
                <w:iCs/>
              </w:rPr>
              <w:tab/>
            </w:r>
            <w:r>
              <w:rPr>
                <w:bCs/>
                <w:iCs/>
              </w:rPr>
              <w:t>informações disponíveis publicamente; e</w:t>
            </w:r>
          </w:p>
          <w:p w14:paraId="2370C7C6">
            <w:pPr>
              <w:spacing w:before="120" w:after="120" w:line="240" w:lineRule="auto"/>
              <w:ind w:left="1591" w:hanging="429"/>
              <w:jc w:val="both"/>
              <w:rPr>
                <w:bCs/>
                <w:iCs/>
              </w:rPr>
            </w:pPr>
            <w:r>
              <w:rPr>
                <w:bCs/>
                <w:iCs/>
              </w:rPr>
              <w:t>(iii)</w:t>
            </w:r>
            <w:r>
              <w:rPr>
                <w:bCs/>
                <w:iCs/>
              </w:rPr>
              <w:tab/>
            </w:r>
            <w:r>
              <w:rPr>
                <w:bCs/>
                <w:iCs/>
              </w:rPr>
              <w:t>inspeção visual do Local das Obras.</w:t>
            </w:r>
          </w:p>
          <w:p w14:paraId="5B39F520">
            <w:pPr>
              <w:spacing w:before="120" w:after="120" w:line="240" w:lineRule="auto"/>
              <w:ind w:left="1306" w:hanging="425"/>
              <w:jc w:val="both"/>
              <w:rPr>
                <w:bCs/>
                <w:iCs/>
              </w:rPr>
            </w:pPr>
            <w:r>
              <w:rPr>
                <w:bCs/>
                <w:iCs/>
              </w:rPr>
              <w:t>(g)</w:t>
            </w:r>
            <w:r>
              <w:rPr>
                <w:bCs/>
                <w:iCs/>
              </w:rPr>
              <w:tab/>
            </w:r>
            <w:r>
              <w:rPr>
                <w:bCs/>
                <w:iCs/>
              </w:rPr>
              <w:t xml:space="preserve">determinação pelo Gerente do Contrato de providências a serem tomadas pelo </w:t>
            </w:r>
            <w:r>
              <w:rPr>
                <w:b/>
                <w:bCs/>
                <w:iCs/>
              </w:rPr>
              <w:t>Contratado</w:t>
            </w:r>
            <w:r>
              <w:rPr>
                <w:bCs/>
                <w:iCs/>
              </w:rPr>
              <w:t xml:space="preserve"> diante de:</w:t>
            </w:r>
          </w:p>
          <w:p w14:paraId="34CA70DF">
            <w:pPr>
              <w:spacing w:before="120" w:after="120" w:line="240" w:lineRule="auto"/>
              <w:ind w:left="1591" w:hanging="429"/>
              <w:jc w:val="both"/>
              <w:rPr>
                <w:bCs/>
                <w:iCs/>
              </w:rPr>
            </w:pPr>
            <w:r>
              <w:rPr>
                <w:bCs/>
                <w:iCs/>
              </w:rPr>
              <w:t>(i)</w:t>
            </w:r>
            <w:r>
              <w:rPr>
                <w:bCs/>
                <w:iCs/>
              </w:rPr>
              <w:tab/>
            </w:r>
            <w:r>
              <w:rPr>
                <w:bCs/>
                <w:iCs/>
              </w:rPr>
              <w:t xml:space="preserve">situação imprevista causada pelo </w:t>
            </w:r>
            <w:r>
              <w:rPr>
                <w:b/>
                <w:bCs/>
                <w:iCs/>
              </w:rPr>
              <w:t>Contratante</w:t>
            </w:r>
            <w:r>
              <w:rPr>
                <w:bCs/>
                <w:iCs/>
              </w:rPr>
              <w:t>; ou</w:t>
            </w:r>
          </w:p>
          <w:p w14:paraId="085230BD">
            <w:pPr>
              <w:spacing w:before="120" w:after="120" w:line="240" w:lineRule="auto"/>
              <w:ind w:left="1591" w:hanging="429"/>
              <w:jc w:val="both"/>
              <w:rPr>
                <w:bCs/>
                <w:iCs/>
              </w:rPr>
            </w:pPr>
            <w:r>
              <w:rPr>
                <w:bCs/>
                <w:iCs/>
              </w:rPr>
              <w:t>(ii)</w:t>
            </w:r>
            <w:r>
              <w:rPr>
                <w:bCs/>
                <w:iCs/>
              </w:rPr>
              <w:tab/>
            </w:r>
            <w:r>
              <w:rPr>
                <w:bCs/>
                <w:iCs/>
              </w:rPr>
              <w:t>obras e trabalhos adicionais necessários à segurança ou outros.</w:t>
            </w:r>
          </w:p>
          <w:p w14:paraId="54AE4DD0">
            <w:pPr>
              <w:spacing w:before="120" w:after="120" w:line="240" w:lineRule="auto"/>
              <w:ind w:left="1306" w:hanging="425"/>
              <w:jc w:val="both"/>
              <w:rPr>
                <w:b/>
                <w:bCs/>
                <w:iCs/>
              </w:rPr>
            </w:pPr>
            <w:r>
              <w:rPr>
                <w:bCs/>
                <w:iCs/>
              </w:rPr>
              <w:t>(h)</w:t>
            </w:r>
            <w:r>
              <w:rPr>
                <w:bCs/>
                <w:iCs/>
              </w:rPr>
              <w:tab/>
            </w:r>
            <w:r>
              <w:rPr>
                <w:bCs/>
                <w:iCs/>
              </w:rPr>
              <w:t xml:space="preserve">omissão de outros contratados, autoridades públicas, órgãos de serviços públicos ou o próprio </w:t>
            </w:r>
            <w:r>
              <w:rPr>
                <w:b/>
                <w:bCs/>
                <w:iCs/>
              </w:rPr>
              <w:t>Contratante</w:t>
            </w:r>
            <w:r>
              <w:rPr>
                <w:bCs/>
                <w:iCs/>
              </w:rPr>
              <w:t xml:space="preserve">, no cumprimento de prazos e outras condições estabelecidas no Contrato, causando atrasos ou custos extras ao </w:t>
            </w:r>
            <w:r>
              <w:rPr>
                <w:b/>
                <w:bCs/>
                <w:iCs/>
              </w:rPr>
              <w:t>Contratado;</w:t>
            </w:r>
          </w:p>
          <w:p w14:paraId="057FFE24">
            <w:pPr>
              <w:spacing w:before="120" w:after="120" w:line="240" w:lineRule="auto"/>
              <w:ind w:left="1306" w:hanging="425"/>
              <w:jc w:val="both"/>
              <w:rPr>
                <w:bCs/>
                <w:iCs/>
              </w:rPr>
            </w:pPr>
            <w:r>
              <w:rPr>
                <w:bCs/>
                <w:iCs/>
              </w:rPr>
              <w:t>(</w:t>
            </w:r>
            <w:r>
              <w:rPr>
                <w:bCs/>
                <w:iCs/>
                <w:lang w:val="pt-PT"/>
              </w:rPr>
              <w:t>i</w:t>
            </w:r>
            <w:r>
              <w:rPr>
                <w:bCs/>
                <w:iCs/>
              </w:rPr>
              <w:t>)</w:t>
            </w:r>
            <w:r>
              <w:rPr>
                <w:bCs/>
                <w:iCs/>
              </w:rPr>
              <w:tab/>
            </w:r>
            <w:r>
              <w:rPr>
                <w:bCs/>
                <w:iCs/>
              </w:rPr>
              <w:t xml:space="preserve">efeitos dos riscos do Contratante sobre as obrigações do Contratado; </w:t>
            </w:r>
          </w:p>
          <w:p w14:paraId="0E2F8BEF">
            <w:pPr>
              <w:spacing w:before="120" w:after="120" w:line="240" w:lineRule="auto"/>
              <w:ind w:left="1306" w:hanging="425"/>
              <w:jc w:val="both"/>
              <w:rPr>
                <w:bCs/>
                <w:iCs/>
              </w:rPr>
            </w:pPr>
            <w:r>
              <w:rPr>
                <w:bCs/>
                <w:iCs/>
              </w:rPr>
              <w:t xml:space="preserve">(j) </w:t>
            </w:r>
            <w:r>
              <w:rPr>
                <w:bCs/>
                <w:iCs/>
              </w:rPr>
              <w:tab/>
            </w:r>
            <w:r>
              <w:rPr>
                <w:bCs/>
                <w:iCs/>
              </w:rPr>
              <w:t>atraso injustificado do Gerente do Contrato na emissão do TRD das Obras;</w:t>
            </w:r>
          </w:p>
          <w:p w14:paraId="08315B3A">
            <w:pPr>
              <w:spacing w:before="120" w:after="120" w:line="240" w:lineRule="auto"/>
              <w:ind w:left="1306" w:hanging="425"/>
              <w:jc w:val="both"/>
              <w:rPr>
                <w:bCs/>
                <w:iCs/>
              </w:rPr>
            </w:pPr>
            <w:r>
              <w:rPr>
                <w:bCs/>
                <w:iCs/>
              </w:rPr>
              <w:t>(k)</w:t>
            </w:r>
            <w:r>
              <w:rPr>
                <w:bCs/>
                <w:iCs/>
              </w:rPr>
              <w:tab/>
            </w:r>
            <w:r>
              <w:rPr>
                <w:bCs/>
                <w:iCs/>
              </w:rPr>
              <w:t xml:space="preserve">reequilíbrio econômico-financeiro do contrato, conforme os </w:t>
            </w:r>
            <w:r>
              <w:rPr>
                <w:b/>
                <w:bCs/>
                <w:iCs/>
              </w:rPr>
              <w:t>DDC</w:t>
            </w:r>
            <w:r>
              <w:rPr>
                <w:bCs/>
                <w:iCs/>
              </w:rPr>
              <w:t>;</w:t>
            </w:r>
          </w:p>
          <w:p w14:paraId="0BD4BEA3">
            <w:pPr>
              <w:spacing w:before="120" w:after="120" w:line="240" w:lineRule="auto"/>
              <w:ind w:left="1306" w:hanging="425"/>
              <w:jc w:val="both"/>
              <w:rPr>
                <w:bCs/>
                <w:iCs/>
              </w:rPr>
            </w:pPr>
            <w:r>
              <w:rPr>
                <w:bCs/>
                <w:iCs/>
              </w:rPr>
              <w:t>(</w:t>
            </w:r>
            <w:r>
              <w:rPr>
                <w:bCs/>
                <w:iCs/>
                <w:lang w:val="pt-PT"/>
              </w:rPr>
              <w:t>l</w:t>
            </w:r>
            <w:r>
              <w:rPr>
                <w:bCs/>
                <w:iCs/>
              </w:rPr>
              <w:t>)</w:t>
            </w:r>
            <w:r>
              <w:rPr>
                <w:bCs/>
                <w:iCs/>
              </w:rPr>
              <w:tab/>
            </w:r>
            <w:r>
              <w:rPr>
                <w:bCs/>
                <w:iCs/>
              </w:rPr>
              <w:t>superfaturamento</w:t>
            </w:r>
            <w:r>
              <w:rPr>
                <w:bCs/>
                <w:iCs/>
                <w:vertAlign w:val="superscript"/>
              </w:rPr>
              <w:footnoteReference w:id="11"/>
            </w:r>
            <w:r>
              <w:rPr>
                <w:bCs/>
                <w:iCs/>
              </w:rPr>
              <w:t>;</w:t>
            </w:r>
          </w:p>
          <w:p w14:paraId="00A6F9AB">
            <w:pPr>
              <w:spacing w:before="120" w:after="120" w:line="240" w:lineRule="auto"/>
              <w:ind w:left="1306" w:hanging="425"/>
              <w:jc w:val="both"/>
              <w:rPr>
                <w:bCs/>
                <w:iCs/>
              </w:rPr>
            </w:pPr>
            <w:r>
              <w:rPr>
                <w:bCs/>
                <w:iCs/>
              </w:rPr>
              <w:t>(</w:t>
            </w:r>
            <w:r>
              <w:rPr>
                <w:bCs/>
                <w:iCs/>
                <w:lang w:val="pt-PT"/>
              </w:rPr>
              <w:t>m</w:t>
            </w:r>
            <w:r>
              <w:rPr>
                <w:bCs/>
                <w:iCs/>
              </w:rPr>
              <w:t>)</w:t>
            </w:r>
            <w:r>
              <w:rPr>
                <w:bCs/>
                <w:iCs/>
              </w:rPr>
              <w:tab/>
            </w:r>
            <w:r>
              <w:rPr>
                <w:bCs/>
                <w:iCs/>
              </w:rPr>
              <w:t>alteração de projeto ou especificações, motivada pelo Contratante; e</w:t>
            </w:r>
          </w:p>
          <w:p w14:paraId="4168A13D">
            <w:pPr>
              <w:spacing w:before="120" w:after="120" w:line="240" w:lineRule="auto"/>
              <w:ind w:left="1306" w:hanging="425"/>
              <w:jc w:val="both"/>
              <w:rPr>
                <w:bCs/>
                <w:iCs/>
              </w:rPr>
            </w:pPr>
            <w:r>
              <w:rPr>
                <w:bCs/>
                <w:iCs/>
              </w:rPr>
              <w:t>(</w:t>
            </w:r>
            <w:r>
              <w:rPr>
                <w:bCs/>
                <w:iCs/>
                <w:lang w:val="pt-PT"/>
              </w:rPr>
              <w:t>n</w:t>
            </w:r>
            <w:r>
              <w:rPr>
                <w:bCs/>
                <w:iCs/>
              </w:rPr>
              <w:t>)</w:t>
            </w:r>
            <w:r>
              <w:rPr>
                <w:bCs/>
                <w:iCs/>
              </w:rPr>
              <w:tab/>
            </w:r>
            <w:r>
              <w:rPr>
                <w:bCs/>
                <w:iCs/>
              </w:rPr>
              <w:t xml:space="preserve">outros Eventos Passíveis de Compensação descritos nos </w:t>
            </w:r>
            <w:r>
              <w:rPr>
                <w:b/>
                <w:bCs/>
                <w:iCs/>
              </w:rPr>
              <w:t>DDC</w:t>
            </w:r>
            <w:r>
              <w:rPr>
                <w:bCs/>
                <w:iCs/>
              </w:rPr>
              <w:t xml:space="preserve"> ou que venham a ser determinados pelo Gerente do Contrato.</w:t>
            </w:r>
          </w:p>
          <w:p w14:paraId="3FBAFC5A">
            <w:pPr>
              <w:spacing w:before="120" w:after="120" w:line="240" w:lineRule="auto"/>
              <w:ind w:left="739" w:hanging="708"/>
              <w:jc w:val="both"/>
              <w:rPr>
                <w:bCs/>
                <w:iCs/>
              </w:rPr>
            </w:pPr>
            <w:r>
              <w:rPr>
                <w:bCs/>
                <w:iCs/>
              </w:rPr>
              <w:t>42.2</w:t>
            </w:r>
            <w:r>
              <w:rPr>
                <w:bCs/>
                <w:iCs/>
              </w:rPr>
              <w:tab/>
            </w:r>
            <w:r>
              <w:rPr>
                <w:bCs/>
                <w:iCs/>
              </w:rPr>
              <w:t>Se um Evento Passível de Compensação provocar custos adicionais ou impedir que a Obra seja concluída na Data Prevista para a Conclusão, o Preço do Contrato deverá ser acrescido e/ou prorrogada a Data Prevista para a Conclusão.  O Gerente do Contrato decidirá a respeito da necessidade e do valor do acréscimo ao Preço do Contrato e da necessidade e modo de prorrogação da Data Prevista para a Conclusão.</w:t>
            </w:r>
          </w:p>
          <w:p w14:paraId="4F95625D">
            <w:pPr>
              <w:spacing w:before="120" w:after="120" w:line="240" w:lineRule="auto"/>
              <w:ind w:left="739" w:hanging="708"/>
              <w:jc w:val="both"/>
              <w:rPr>
                <w:bCs/>
                <w:iCs/>
              </w:rPr>
            </w:pPr>
            <w:r>
              <w:rPr>
                <w:bCs/>
                <w:iCs/>
              </w:rPr>
              <w:t>42.3</w:t>
            </w:r>
            <w:r>
              <w:rPr>
                <w:bCs/>
                <w:iCs/>
              </w:rPr>
              <w:tab/>
            </w:r>
            <w:r>
              <w:rPr>
                <w:bCs/>
                <w:iCs/>
              </w:rPr>
              <w:t xml:space="preserve">Tão logo tenham sido prestadas pelo </w:t>
            </w:r>
            <w:r>
              <w:rPr>
                <w:b/>
                <w:bCs/>
                <w:iCs/>
              </w:rPr>
              <w:t>Contratado</w:t>
            </w:r>
            <w:r>
              <w:rPr>
                <w:bCs/>
                <w:iCs/>
              </w:rPr>
              <w:t xml:space="preserve">, as informações demonstrando os efeitos do Evento Passível de Compensação sobre a previsão de custos do </w:t>
            </w:r>
            <w:r>
              <w:rPr>
                <w:b/>
                <w:bCs/>
                <w:iCs/>
              </w:rPr>
              <w:t>Contratado</w:t>
            </w:r>
            <w:r>
              <w:rPr>
                <w:bCs/>
                <w:iCs/>
              </w:rPr>
              <w:t xml:space="preserve">, o Gerente do Contrato deverá avaliar o Preço do Contrato ajustado.  Se a estimativa fornecida pelo </w:t>
            </w:r>
            <w:r>
              <w:rPr>
                <w:b/>
                <w:bCs/>
                <w:iCs/>
              </w:rPr>
              <w:t>Contratado</w:t>
            </w:r>
            <w:r>
              <w:rPr>
                <w:bCs/>
                <w:iCs/>
              </w:rPr>
              <w:t xml:space="preserve"> não for razoável, o Gerente do Contrato, baseado na sua própria estimativa, efetuará o ajuste do Preço do Contrato.</w:t>
            </w:r>
          </w:p>
          <w:p w14:paraId="05C42128">
            <w:pPr>
              <w:spacing w:before="120" w:after="120" w:line="240" w:lineRule="auto"/>
              <w:ind w:left="739" w:hanging="708"/>
              <w:jc w:val="both"/>
              <w:rPr>
                <w:bCs/>
                <w:iCs/>
              </w:rPr>
            </w:pPr>
            <w:r>
              <w:rPr>
                <w:bCs/>
                <w:iCs/>
              </w:rPr>
              <w:t>42.4</w:t>
            </w:r>
            <w:r>
              <w:rPr>
                <w:bCs/>
                <w:iCs/>
              </w:rPr>
              <w:tab/>
            </w:r>
            <w:r>
              <w:rPr>
                <w:bCs/>
                <w:iCs/>
              </w:rPr>
              <w:t xml:space="preserve">O </w:t>
            </w:r>
            <w:r>
              <w:rPr>
                <w:b/>
                <w:bCs/>
                <w:iCs/>
              </w:rPr>
              <w:t>Contratado</w:t>
            </w:r>
            <w:r>
              <w:rPr>
                <w:bCs/>
                <w:iCs/>
              </w:rPr>
              <w:t xml:space="preserve"> não terá direito a compensações, caso deixe de alertar previamente o Gerente do Contrato ou deixar de cooperar com o mesmo caso o evento venha a prejudicar os interesses do </w:t>
            </w:r>
            <w:r>
              <w:rPr>
                <w:b/>
                <w:bCs/>
                <w:iCs/>
              </w:rPr>
              <w:t>Contratante.</w:t>
            </w:r>
          </w:p>
        </w:tc>
      </w:tr>
      <w:tr w14:paraId="74C1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D477277">
            <w:pPr>
              <w:pStyle w:val="83"/>
            </w:pPr>
            <w:bookmarkStart w:id="563" w:name="_Toc138437112"/>
            <w:bookmarkStart w:id="564" w:name="_Toc174522873"/>
            <w:bookmarkStart w:id="565" w:name="_Toc153209055"/>
            <w:r>
              <w:t>43.</w:t>
            </w:r>
            <w:r>
              <w:tab/>
            </w:r>
            <w:r>
              <w:t>Impostos</w:t>
            </w:r>
            <w:bookmarkEnd w:id="563"/>
            <w:r>
              <w:t>, Tributos e Taxas</w:t>
            </w:r>
            <w:bookmarkEnd w:id="564"/>
            <w:bookmarkEnd w:id="565"/>
          </w:p>
        </w:tc>
        <w:tc>
          <w:tcPr>
            <w:tcW w:w="6753" w:type="dxa"/>
          </w:tcPr>
          <w:p w14:paraId="3803D215">
            <w:pPr>
              <w:spacing w:before="120" w:after="120" w:line="240" w:lineRule="auto"/>
              <w:ind w:left="739" w:hanging="708"/>
              <w:jc w:val="both"/>
              <w:rPr>
                <w:bCs/>
                <w:iCs/>
              </w:rPr>
            </w:pPr>
            <w:r>
              <w:rPr>
                <w:bCs/>
                <w:iCs/>
              </w:rPr>
              <w:t>43.1</w:t>
            </w:r>
            <w:r>
              <w:rPr>
                <w:bCs/>
                <w:iCs/>
              </w:rPr>
              <w:tab/>
            </w:r>
            <w:r>
              <w:rPr>
                <w:bCs/>
                <w:iCs/>
              </w:rPr>
              <w:t xml:space="preserve">Cabe ao </w:t>
            </w:r>
            <w:r>
              <w:rPr>
                <w:b/>
                <w:bCs/>
                <w:iCs/>
              </w:rPr>
              <w:t>Contratado</w:t>
            </w:r>
            <w:r>
              <w:rPr>
                <w:bCs/>
                <w:iCs/>
              </w:rPr>
              <w:t xml:space="preserve"> assumir, sob sua exclusiva responsabilidade, o pagamento de todos impostos, taxas e/ou qualquer ônus fiscais e tributários de origem federal, estadual e municipal, bem como todos os encargos trabalhistas, previdenciários e comerciais, vigentes durante a execução das Obras, e, ainda, quaisquer outros encargos judiciais ou extrajudiciais que lhe sejam imputáveis, inclusive em relação a terceiros, em decorrência da celebração do contrato.</w:t>
            </w:r>
          </w:p>
          <w:p w14:paraId="6D38747A">
            <w:pPr>
              <w:spacing w:before="120" w:after="120" w:line="240" w:lineRule="auto"/>
              <w:ind w:left="739" w:hanging="708"/>
              <w:jc w:val="both"/>
              <w:rPr>
                <w:bCs/>
                <w:iCs/>
              </w:rPr>
            </w:pPr>
            <w:r>
              <w:rPr>
                <w:bCs/>
                <w:iCs/>
              </w:rPr>
              <w:t>43.2</w:t>
            </w:r>
            <w:r>
              <w:rPr>
                <w:bCs/>
                <w:iCs/>
              </w:rPr>
              <w:tab/>
            </w:r>
            <w:r>
              <w:rPr>
                <w:bCs/>
                <w:iCs/>
              </w:rPr>
              <w:t xml:space="preserve">A inadimplência do </w:t>
            </w:r>
            <w:r>
              <w:rPr>
                <w:b/>
                <w:bCs/>
                <w:iCs/>
              </w:rPr>
              <w:t>Contratado</w:t>
            </w:r>
            <w:r>
              <w:rPr>
                <w:bCs/>
                <w:iCs/>
              </w:rPr>
              <w:t xml:space="preserve"> quanto aos impostos, taxas ou quaisquer ônus fiscais e tributários de origem federal, estadual e municipal, não transfere ao </w:t>
            </w:r>
            <w:r>
              <w:rPr>
                <w:b/>
                <w:bCs/>
                <w:iCs/>
              </w:rPr>
              <w:t>Contratante</w:t>
            </w:r>
            <w:r>
              <w:rPr>
                <w:bCs/>
                <w:iCs/>
              </w:rPr>
              <w:t xml:space="preserve"> a responsabilidade por seu pagamento, nem poderá onerar o objeto da presente contratação ou restringir a execução dos serviços.</w:t>
            </w:r>
          </w:p>
          <w:p w14:paraId="44F1D611">
            <w:pPr>
              <w:spacing w:before="120" w:after="120" w:line="240" w:lineRule="auto"/>
              <w:jc w:val="both"/>
              <w:rPr>
                <w:b/>
                <w:bCs/>
                <w:iCs/>
                <w:u w:val="single"/>
              </w:rPr>
            </w:pPr>
            <w:r>
              <w:rPr>
                <w:bCs/>
                <w:iCs/>
              </w:rPr>
              <w:tab/>
            </w:r>
            <w:r>
              <w:rPr>
                <w:b/>
                <w:bCs/>
                <w:iCs/>
                <w:u w:val="single"/>
              </w:rPr>
              <w:t>Alteração de Impostos e Tributos</w:t>
            </w:r>
          </w:p>
          <w:p w14:paraId="2D718BA6">
            <w:pPr>
              <w:spacing w:before="120" w:after="120" w:line="240" w:lineRule="auto"/>
              <w:ind w:left="739" w:hanging="708"/>
              <w:jc w:val="both"/>
              <w:rPr>
                <w:bCs/>
                <w:iCs/>
              </w:rPr>
            </w:pPr>
            <w:r>
              <w:rPr>
                <w:bCs/>
                <w:iCs/>
              </w:rPr>
              <w:t>43.3</w:t>
            </w:r>
            <w:r>
              <w:rPr>
                <w:bCs/>
                <w:iCs/>
              </w:rPr>
              <w:tab/>
            </w:r>
            <w:r>
              <w:rPr>
                <w:bCs/>
                <w:iCs/>
              </w:rPr>
              <w:t xml:space="preserve">O Gerente do Contrato deverá ajustar o Preço do Contrato caso os impostos e tributos sejam alterados durante o período compreendido entre 30 dias da data de apresentação das ofertas e a data da última fatura.  O reajuste deverá refletir o percentual de variação do valor dos impostos e tributos pagos pelo </w:t>
            </w:r>
            <w:r>
              <w:rPr>
                <w:b/>
                <w:bCs/>
                <w:iCs/>
              </w:rPr>
              <w:t>Contratado</w:t>
            </w:r>
            <w:r>
              <w:rPr>
                <w:bCs/>
                <w:iCs/>
              </w:rPr>
              <w:t xml:space="preserve">, assegurando-se que tal variação já não tenha sido incorporada no Preço do Contrato ou de seus reajustes, referidos na cláusula </w:t>
            </w:r>
            <w:r>
              <w:rPr>
                <w:bCs/>
                <w:iCs/>
                <w:lang w:val="pt-PT"/>
              </w:rPr>
              <w:t xml:space="preserve">45 </w:t>
            </w:r>
            <w:r>
              <w:rPr>
                <w:bCs/>
                <w:iCs/>
              </w:rPr>
              <w:t>das CGC.</w:t>
            </w:r>
          </w:p>
        </w:tc>
      </w:tr>
      <w:tr w14:paraId="40EF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837F2F3">
            <w:pPr>
              <w:pStyle w:val="83"/>
            </w:pPr>
            <w:bookmarkStart w:id="566" w:name="_Toc138437113"/>
            <w:bookmarkStart w:id="567" w:name="_Toc174522874"/>
            <w:bookmarkStart w:id="568" w:name="_Toc153209056"/>
            <w:r>
              <w:t>44.</w:t>
            </w:r>
            <w:r>
              <w:tab/>
            </w:r>
            <w:r>
              <w:t>Moeda</w:t>
            </w:r>
            <w:bookmarkEnd w:id="566"/>
            <w:r>
              <w:t xml:space="preserve"> do Pagamento</w:t>
            </w:r>
            <w:bookmarkEnd w:id="567"/>
            <w:bookmarkEnd w:id="568"/>
          </w:p>
        </w:tc>
        <w:tc>
          <w:tcPr>
            <w:tcW w:w="6753" w:type="dxa"/>
          </w:tcPr>
          <w:p w14:paraId="0991E881">
            <w:pPr>
              <w:spacing w:before="120" w:after="120" w:line="240" w:lineRule="auto"/>
              <w:ind w:left="739" w:hanging="708"/>
              <w:jc w:val="both"/>
              <w:rPr>
                <w:bCs/>
                <w:iCs/>
              </w:rPr>
            </w:pPr>
            <w:r>
              <w:rPr>
                <w:bCs/>
                <w:iCs/>
              </w:rPr>
              <w:t>44.1</w:t>
            </w:r>
            <w:r>
              <w:rPr>
                <w:bCs/>
                <w:iCs/>
              </w:rPr>
              <w:tab/>
            </w:r>
            <w:r>
              <w:rPr>
                <w:bCs/>
                <w:iCs/>
              </w:rPr>
              <w:t>Os pagamentos serão efetuados em Real.</w:t>
            </w:r>
          </w:p>
        </w:tc>
      </w:tr>
      <w:tr w14:paraId="072A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E16434C">
            <w:pPr>
              <w:pStyle w:val="83"/>
            </w:pPr>
            <w:bookmarkStart w:id="569" w:name="_Toc174522875"/>
            <w:bookmarkStart w:id="570" w:name="_Toc153209057"/>
            <w:bookmarkStart w:id="571" w:name="_Toc138437114"/>
            <w:r>
              <w:t>45.</w:t>
            </w:r>
            <w:r>
              <w:tab/>
            </w:r>
            <w:r>
              <w:t>Reajuste de Preços</w:t>
            </w:r>
            <w:bookmarkEnd w:id="569"/>
            <w:bookmarkEnd w:id="570"/>
            <w:bookmarkEnd w:id="571"/>
          </w:p>
        </w:tc>
        <w:tc>
          <w:tcPr>
            <w:tcW w:w="6753" w:type="dxa"/>
          </w:tcPr>
          <w:p w14:paraId="29B8742A">
            <w:pPr>
              <w:spacing w:before="120" w:after="120" w:line="240" w:lineRule="auto"/>
              <w:ind w:left="739" w:hanging="708"/>
              <w:jc w:val="both"/>
              <w:rPr>
                <w:bCs/>
                <w:iCs/>
              </w:rPr>
            </w:pPr>
            <w:bookmarkStart w:id="572" w:name="_Hlk116478320"/>
            <w:r>
              <w:rPr>
                <w:bCs/>
                <w:iCs/>
              </w:rPr>
              <w:t>45.1</w:t>
            </w:r>
            <w:r>
              <w:rPr>
                <w:bCs/>
                <w:iCs/>
              </w:rPr>
              <w:tab/>
            </w:r>
            <w:r>
              <w:rPr>
                <w:bCs/>
                <w:iCs/>
              </w:rPr>
              <w:t xml:space="preserve">Os preços somente estarão sujeitos a reajustamento se assim estiver previsto nos </w:t>
            </w:r>
            <w:r>
              <w:rPr>
                <w:b/>
                <w:bCs/>
                <w:iCs/>
              </w:rPr>
              <w:t>DDC</w:t>
            </w:r>
            <w:r>
              <w:rPr>
                <w:bCs/>
                <w:iCs/>
              </w:rPr>
              <w:t xml:space="preserve">. Caso haja previsão, os valores faturados, serão ajustados pela aplicação do respectivo fator de reajuste de preços aos valores de pagamento devidos de acordo </w:t>
            </w:r>
            <w:bookmarkStart w:id="573" w:name="_Hlk121906375"/>
            <w:r>
              <w:rPr>
                <w:bCs/>
                <w:iCs/>
              </w:rPr>
              <w:t xml:space="preserve">com o texto, a fórmula e os índices indicados nos </w:t>
            </w:r>
            <w:r>
              <w:rPr>
                <w:b/>
                <w:bCs/>
                <w:iCs/>
              </w:rPr>
              <w:t>DDC</w:t>
            </w:r>
            <w:bookmarkEnd w:id="573"/>
            <w:r>
              <w:rPr>
                <w:bCs/>
                <w:iCs/>
              </w:rPr>
              <w:t xml:space="preserve">: </w:t>
            </w:r>
          </w:p>
          <w:bookmarkEnd w:id="572"/>
          <w:p w14:paraId="65A37236">
            <w:pPr>
              <w:spacing w:before="120" w:after="120" w:line="240" w:lineRule="auto"/>
              <w:ind w:left="739" w:hanging="708"/>
              <w:jc w:val="both"/>
              <w:rPr>
                <w:bCs/>
                <w:iCs/>
              </w:rPr>
            </w:pPr>
            <w:r>
              <w:rPr>
                <w:bCs/>
                <w:iCs/>
              </w:rPr>
              <w:t>45.2</w:t>
            </w:r>
            <w:r>
              <w:rPr>
                <w:bCs/>
                <w:iCs/>
              </w:rPr>
              <w:tab/>
            </w:r>
            <w:r>
              <w:rPr>
                <w:bCs/>
                <w:iCs/>
              </w:rPr>
              <w:t xml:space="preserve">No caso de atraso ou não divulgação do índice de reajustamento, o </w:t>
            </w:r>
            <w:r>
              <w:rPr>
                <w:b/>
                <w:bCs/>
                <w:iCs/>
              </w:rPr>
              <w:t>Contratante</w:t>
            </w:r>
            <w:r>
              <w:rPr>
                <w:bCs/>
                <w:iCs/>
              </w:rPr>
              <w:t xml:space="preserve"> pagará ao </w:t>
            </w:r>
            <w:r>
              <w:rPr>
                <w:b/>
                <w:bCs/>
                <w:iCs/>
              </w:rPr>
              <w:t>Contratado</w:t>
            </w:r>
            <w:r>
              <w:rPr>
                <w:bCs/>
                <w:iCs/>
              </w:rPr>
              <w:t xml:space="preserve"> a importância calculada pela última variação conhecida, liquidando a diferença correspondente tão logo seja divulgado o índice definitivo.  Fica o </w:t>
            </w:r>
            <w:r>
              <w:rPr>
                <w:b/>
                <w:bCs/>
                <w:iCs/>
              </w:rPr>
              <w:t>Contratado</w:t>
            </w:r>
            <w:r>
              <w:rPr>
                <w:bCs/>
                <w:iCs/>
              </w:rPr>
              <w:t xml:space="preserve"> obrigado a apresentar memória de cálculo referente ao reajustamento de preços do valor remanescente, sempre que este ocorrer.</w:t>
            </w:r>
          </w:p>
          <w:p w14:paraId="063F8434">
            <w:pPr>
              <w:spacing w:before="120" w:after="120" w:line="240" w:lineRule="auto"/>
              <w:ind w:left="739" w:hanging="708"/>
              <w:jc w:val="both"/>
              <w:rPr>
                <w:bCs/>
                <w:iCs/>
              </w:rPr>
            </w:pPr>
            <w:r>
              <w:rPr>
                <w:bCs/>
                <w:iCs/>
              </w:rPr>
              <w:t>45.3</w:t>
            </w:r>
            <w:r>
              <w:rPr>
                <w:bCs/>
                <w:iCs/>
              </w:rPr>
              <w:tab/>
            </w:r>
            <w:r>
              <w:rPr>
                <w:bCs/>
                <w:iCs/>
              </w:rPr>
              <w:t>Nas aferições finais, o índice utilizado para reajuste será, obrigatoriamente, o definitivo.</w:t>
            </w:r>
          </w:p>
          <w:p w14:paraId="61F9F2CB">
            <w:pPr>
              <w:spacing w:before="120" w:after="120" w:line="240" w:lineRule="auto"/>
              <w:ind w:left="739" w:hanging="708"/>
              <w:jc w:val="both"/>
              <w:rPr>
                <w:bCs/>
                <w:iCs/>
              </w:rPr>
            </w:pPr>
            <w:r>
              <w:rPr>
                <w:bCs/>
                <w:iCs/>
              </w:rPr>
              <w:t>45.4</w:t>
            </w:r>
            <w:r>
              <w:rPr>
                <w:bCs/>
                <w:iCs/>
              </w:rPr>
              <w:tab/>
            </w:r>
            <w:r>
              <w:rPr>
                <w:bCs/>
                <w:iCs/>
              </w:rPr>
              <w:t xml:space="preserve">Caso o índice estabelecido para reajustamento venha a ser extinto ou de qualquer forma não possa mais ser utilizado, será adotado em substituição, mediante aditamento do Contrato, o que vier a ser determinado pela legislação então em vigor. </w:t>
            </w:r>
          </w:p>
          <w:p w14:paraId="629FD19A">
            <w:pPr>
              <w:spacing w:before="120" w:after="120" w:line="240" w:lineRule="auto"/>
              <w:ind w:left="739" w:hanging="708"/>
              <w:jc w:val="both"/>
              <w:rPr>
                <w:bCs/>
                <w:iCs/>
              </w:rPr>
            </w:pPr>
            <w:r>
              <w:rPr>
                <w:bCs/>
                <w:iCs/>
              </w:rPr>
              <w:t>45.5</w:t>
            </w:r>
            <w:r>
              <w:rPr>
                <w:bCs/>
                <w:iCs/>
              </w:rPr>
              <w:tab/>
            </w:r>
            <w:r>
              <w:rPr>
                <w:bCs/>
                <w:iCs/>
              </w:rPr>
              <w:t xml:space="preserve">Somente ocorrerá este reajuste para as parcelas que ultrapassem o período mencionado e caso o adimplemento da obrigação das parcelas a realizar não estejam atrasadas por culpa do </w:t>
            </w:r>
            <w:r>
              <w:rPr>
                <w:b/>
                <w:bCs/>
                <w:iCs/>
              </w:rPr>
              <w:t xml:space="preserve">Contratado </w:t>
            </w:r>
            <w:r>
              <w:rPr>
                <w:bCs/>
                <w:iCs/>
              </w:rPr>
              <w:t>conforme cronograma físico aprovado pela fiscalização.</w:t>
            </w:r>
          </w:p>
          <w:p w14:paraId="78DE611C">
            <w:pPr>
              <w:spacing w:before="120" w:after="120" w:line="240" w:lineRule="auto"/>
              <w:ind w:left="739" w:hanging="708"/>
              <w:jc w:val="both"/>
              <w:rPr>
                <w:bCs/>
                <w:iCs/>
              </w:rPr>
            </w:pPr>
            <w:r>
              <w:rPr>
                <w:bCs/>
                <w:iCs/>
              </w:rPr>
              <w:t>45.6</w:t>
            </w:r>
            <w:r>
              <w:rPr>
                <w:bCs/>
                <w:iCs/>
              </w:rPr>
              <w:tab/>
            </w:r>
            <w:r>
              <w:rPr>
                <w:bCs/>
                <w:iCs/>
              </w:rPr>
              <w:t>O reajuste será realizado por apostilamento.</w:t>
            </w:r>
          </w:p>
        </w:tc>
      </w:tr>
      <w:tr w14:paraId="5F7E8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59C5E74">
            <w:pPr>
              <w:pStyle w:val="83"/>
            </w:pPr>
            <w:bookmarkStart w:id="574" w:name="_Toc174522876"/>
            <w:bookmarkStart w:id="575" w:name="_Toc153209058"/>
            <w:bookmarkStart w:id="576" w:name="_Toc138437115"/>
            <w:r>
              <w:t>46.</w:t>
            </w:r>
            <w:r>
              <w:tab/>
            </w:r>
            <w:r>
              <w:t>Retenções</w:t>
            </w:r>
            <w:bookmarkEnd w:id="574"/>
            <w:bookmarkEnd w:id="575"/>
            <w:bookmarkEnd w:id="576"/>
          </w:p>
        </w:tc>
        <w:tc>
          <w:tcPr>
            <w:tcW w:w="6753" w:type="dxa"/>
          </w:tcPr>
          <w:p w14:paraId="1B23D1E9">
            <w:pPr>
              <w:spacing w:before="120" w:after="120" w:line="240" w:lineRule="auto"/>
              <w:ind w:left="739" w:hanging="708"/>
              <w:jc w:val="both"/>
              <w:rPr>
                <w:bCs/>
                <w:iCs/>
              </w:rPr>
            </w:pPr>
            <w:r>
              <w:rPr>
                <w:bCs/>
                <w:iCs/>
              </w:rPr>
              <w:t>46.1</w:t>
            </w:r>
            <w:r>
              <w:rPr>
                <w:bCs/>
                <w:iCs/>
              </w:rPr>
              <w:tab/>
            </w:r>
            <w:r>
              <w:rPr>
                <w:bCs/>
                <w:iCs/>
              </w:rPr>
              <w:t xml:space="preserve">O </w:t>
            </w:r>
            <w:r>
              <w:rPr>
                <w:b/>
                <w:bCs/>
                <w:iCs/>
              </w:rPr>
              <w:t xml:space="preserve">Contratante </w:t>
            </w:r>
            <w:r>
              <w:rPr>
                <w:bCs/>
                <w:iCs/>
              </w:rPr>
              <w:t xml:space="preserve">poderá reter de cada pagamento devido ao </w:t>
            </w:r>
            <w:r>
              <w:rPr>
                <w:b/>
                <w:bCs/>
                <w:iCs/>
              </w:rPr>
              <w:t>Contratado</w:t>
            </w:r>
            <w:r>
              <w:rPr>
                <w:bCs/>
                <w:iCs/>
              </w:rPr>
              <w:t xml:space="preserve">, o percentual fixado nos </w:t>
            </w:r>
            <w:r>
              <w:rPr>
                <w:b/>
                <w:bCs/>
                <w:iCs/>
              </w:rPr>
              <w:t>DDC</w:t>
            </w:r>
            <w:r>
              <w:rPr>
                <w:bCs/>
                <w:iCs/>
              </w:rPr>
              <w:t>, até a Data de Conclusão da Obra.</w:t>
            </w:r>
          </w:p>
          <w:p w14:paraId="52C482EE">
            <w:pPr>
              <w:spacing w:before="120" w:after="120" w:line="240" w:lineRule="auto"/>
              <w:ind w:left="739" w:hanging="708"/>
              <w:jc w:val="both"/>
              <w:rPr>
                <w:bCs/>
                <w:iCs/>
              </w:rPr>
            </w:pPr>
            <w:r>
              <w:rPr>
                <w:bCs/>
                <w:iCs/>
              </w:rPr>
              <w:t>46.2</w:t>
            </w:r>
            <w:r>
              <w:rPr>
                <w:bCs/>
                <w:iCs/>
              </w:rPr>
              <w:tab/>
            </w:r>
            <w:r>
              <w:rPr>
                <w:bCs/>
                <w:iCs/>
              </w:rPr>
              <w:t xml:space="preserve">Na Data de Conclusão da Obra metade do valor total retido, com a emissão do Termo de Recebimento Parcial (TRP) das Obras será restituído ao </w:t>
            </w:r>
            <w:r>
              <w:rPr>
                <w:b/>
                <w:bCs/>
                <w:iCs/>
              </w:rPr>
              <w:t>Contratado</w:t>
            </w:r>
            <w:r>
              <w:rPr>
                <w:bCs/>
                <w:iCs/>
              </w:rPr>
              <w:t xml:space="preserve">, sendo a outra metade restituída após o encerramento do Período de Correção de Defeitos (PCD) e da certificação, pelo Gerente do Contrato [por meio do Termo de Recebimento Definitivo (TRD) das Obras] da correção dos Defeitos que foram notificados ao </w:t>
            </w:r>
            <w:r>
              <w:rPr>
                <w:b/>
                <w:bCs/>
                <w:iCs/>
              </w:rPr>
              <w:t>Contratado</w:t>
            </w:r>
            <w:r>
              <w:rPr>
                <w:bCs/>
                <w:iCs/>
              </w:rPr>
              <w:t xml:space="preserve"> e então corrigidos.</w:t>
            </w:r>
          </w:p>
          <w:p w14:paraId="1A99D40B">
            <w:pPr>
              <w:pStyle w:val="49"/>
              <w:numPr>
                <w:ilvl w:val="1"/>
                <w:numId w:val="41"/>
              </w:numPr>
              <w:spacing w:before="120" w:after="120" w:line="240" w:lineRule="auto"/>
              <w:jc w:val="both"/>
              <w:rPr>
                <w:bCs/>
                <w:iCs/>
              </w:rPr>
            </w:pPr>
            <w:r>
              <w:rPr>
                <w:bCs/>
                <w:iCs/>
              </w:rPr>
              <w:t xml:space="preserve">Na Data de Conclusão da Obra, o </w:t>
            </w:r>
            <w:r>
              <w:rPr>
                <w:b/>
                <w:bCs/>
                <w:iCs/>
              </w:rPr>
              <w:t>Contratado</w:t>
            </w:r>
            <w:r>
              <w:rPr>
                <w:bCs/>
                <w:iCs/>
              </w:rPr>
              <w:t xml:space="preserve"> pode substituir o restante do valor retido por meio de garantia bancária aceita pelo </w:t>
            </w:r>
            <w:r>
              <w:rPr>
                <w:b/>
                <w:bCs/>
                <w:iCs/>
              </w:rPr>
              <w:t>Contratante</w:t>
            </w:r>
            <w:r>
              <w:rPr>
                <w:bCs/>
                <w:iCs/>
              </w:rPr>
              <w:t>.</w:t>
            </w:r>
          </w:p>
          <w:p w14:paraId="179240C7">
            <w:pPr>
              <w:pStyle w:val="49"/>
              <w:numPr>
                <w:ilvl w:val="1"/>
                <w:numId w:val="41"/>
              </w:numPr>
              <w:spacing w:before="120" w:after="120" w:line="240" w:lineRule="auto"/>
              <w:jc w:val="both"/>
              <w:rPr>
                <w:bCs/>
                <w:iCs/>
              </w:rPr>
            </w:pPr>
            <w:r>
              <w:rPr>
                <w:bCs/>
                <w:iCs/>
              </w:rPr>
              <w:t xml:space="preserve"> </w:t>
            </w:r>
            <w:r>
              <w:rPr>
                <w:sz w:val="24"/>
                <w:szCs w:val="24"/>
              </w:rPr>
              <w:t>É facultada a retenção dos créditos decorrente do contrato, ate o limite dos prejuízos causado à Administração Pública e das multas aplicadas, nos termos do inciso IV do art. 139 da Lei n° 14.133, de 2021</w:t>
            </w:r>
            <w:r>
              <w:rPr>
                <w:rFonts w:cs="Calibri"/>
                <w:sz w:val="24"/>
                <w:szCs w:val="24"/>
              </w:rPr>
              <w:t>.</w:t>
            </w:r>
          </w:p>
        </w:tc>
      </w:tr>
      <w:tr w14:paraId="6739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0C54138B">
            <w:pPr>
              <w:pStyle w:val="83"/>
            </w:pPr>
            <w:bookmarkStart w:id="577" w:name="_Toc20735962"/>
            <w:bookmarkStart w:id="578" w:name="_Toc56168337"/>
            <w:bookmarkStart w:id="579" w:name="_Toc139024342"/>
            <w:bookmarkStart w:id="580" w:name="_Toc174522877"/>
            <w:bookmarkStart w:id="581" w:name="_Toc153209059"/>
            <w:r>
              <w:t>47</w:t>
            </w:r>
            <w:bookmarkEnd w:id="577"/>
            <w:bookmarkEnd w:id="578"/>
            <w:r>
              <w:t>.</w:t>
            </w:r>
            <w:r>
              <w:tab/>
            </w:r>
            <w:r>
              <w:t>Sanções</w:t>
            </w:r>
            <w:bookmarkEnd w:id="579"/>
            <w:r>
              <w:t xml:space="preserve"> Administrativas</w:t>
            </w:r>
            <w:bookmarkEnd w:id="580"/>
            <w:bookmarkEnd w:id="581"/>
          </w:p>
        </w:tc>
        <w:tc>
          <w:tcPr>
            <w:tcW w:w="6753" w:type="dxa"/>
          </w:tcPr>
          <w:p w14:paraId="081E23E8">
            <w:pPr>
              <w:spacing w:before="120" w:after="120" w:line="240" w:lineRule="auto"/>
              <w:ind w:left="739" w:hanging="708"/>
              <w:jc w:val="both"/>
              <w:rPr>
                <w:bCs/>
                <w:iCs/>
              </w:rPr>
            </w:pPr>
            <w:r>
              <w:rPr>
                <w:bCs/>
                <w:iCs/>
              </w:rPr>
              <w:t>47.1</w:t>
            </w:r>
            <w:r>
              <w:rPr>
                <w:bCs/>
                <w:iCs/>
              </w:rPr>
              <w:tab/>
            </w:r>
            <w:r>
              <w:rPr>
                <w:bCs/>
                <w:iCs/>
              </w:rPr>
              <w:t xml:space="preserve">Poderão ser aplicadas ao </w:t>
            </w:r>
            <w:r>
              <w:rPr>
                <w:b/>
                <w:bCs/>
                <w:iCs/>
              </w:rPr>
              <w:t>Contratado</w:t>
            </w:r>
            <w:r>
              <w:rPr>
                <w:bCs/>
                <w:iCs/>
              </w:rPr>
              <w:t xml:space="preserve"> pelas infrações administrativas as seguintes sanções, detalhadas nos </w:t>
            </w:r>
            <w:r>
              <w:rPr>
                <w:b/>
                <w:bCs/>
                <w:iCs/>
              </w:rPr>
              <w:t>DDC</w:t>
            </w:r>
            <w:r>
              <w:rPr>
                <w:bCs/>
                <w:iCs/>
              </w:rPr>
              <w:t>:</w:t>
            </w:r>
          </w:p>
          <w:p w14:paraId="0C13046C">
            <w:pPr>
              <w:spacing w:before="120" w:after="120" w:line="240" w:lineRule="auto"/>
              <w:ind w:left="1306" w:hanging="425"/>
              <w:jc w:val="both"/>
              <w:rPr>
                <w:bCs/>
                <w:iCs/>
              </w:rPr>
            </w:pPr>
            <w:r>
              <w:rPr>
                <w:bCs/>
                <w:iCs/>
              </w:rPr>
              <w:t>(a)</w:t>
            </w:r>
            <w:r>
              <w:rPr>
                <w:bCs/>
                <w:iCs/>
              </w:rPr>
              <w:tab/>
            </w:r>
            <w:r>
              <w:rPr>
                <w:bCs/>
                <w:iCs/>
              </w:rPr>
              <w:t>advertência;</w:t>
            </w:r>
          </w:p>
          <w:p w14:paraId="27D2FFA0">
            <w:pPr>
              <w:spacing w:before="120" w:after="120" w:line="240" w:lineRule="auto"/>
              <w:ind w:left="1306" w:hanging="425"/>
              <w:jc w:val="both"/>
              <w:rPr>
                <w:bCs/>
                <w:iCs/>
              </w:rPr>
            </w:pPr>
            <w:r>
              <w:rPr>
                <w:bCs/>
                <w:iCs/>
              </w:rPr>
              <w:t>(b)</w:t>
            </w:r>
            <w:r>
              <w:rPr>
                <w:bCs/>
                <w:iCs/>
              </w:rPr>
              <w:tab/>
            </w:r>
            <w:r>
              <w:rPr>
                <w:bCs/>
                <w:iCs/>
              </w:rPr>
              <w:t>multa;</w:t>
            </w:r>
          </w:p>
          <w:p w14:paraId="025494D2">
            <w:pPr>
              <w:spacing w:before="120" w:after="120" w:line="240" w:lineRule="auto"/>
              <w:ind w:left="1306" w:hanging="425"/>
              <w:jc w:val="both"/>
              <w:rPr>
                <w:bCs/>
                <w:iCs/>
              </w:rPr>
            </w:pPr>
            <w:r>
              <w:rPr>
                <w:bCs/>
                <w:iCs/>
              </w:rPr>
              <w:t>(c)</w:t>
            </w:r>
            <w:r>
              <w:rPr>
                <w:bCs/>
                <w:iCs/>
              </w:rPr>
              <w:tab/>
            </w:r>
            <w:r>
              <w:rPr>
                <w:bCs/>
                <w:iCs/>
              </w:rPr>
              <w:t>impedimento de licitar e contratar; e</w:t>
            </w:r>
          </w:p>
          <w:p w14:paraId="469A1E6C">
            <w:pPr>
              <w:spacing w:before="120" w:after="120" w:line="240" w:lineRule="auto"/>
              <w:ind w:left="1306" w:hanging="425"/>
              <w:jc w:val="both"/>
              <w:rPr>
                <w:bCs/>
                <w:iCs/>
              </w:rPr>
            </w:pPr>
            <w:r>
              <w:rPr>
                <w:bCs/>
                <w:iCs/>
              </w:rPr>
              <w:t>(d)</w:t>
            </w:r>
            <w:r>
              <w:rPr>
                <w:bCs/>
                <w:iCs/>
              </w:rPr>
              <w:tab/>
            </w:r>
            <w:r>
              <w:rPr>
                <w:bCs/>
                <w:iCs/>
              </w:rPr>
              <w:t>declaração de inidoneidade para licitar ou contratar.</w:t>
            </w:r>
          </w:p>
          <w:p w14:paraId="4D11BCAA">
            <w:pPr>
              <w:spacing w:before="120" w:after="120" w:line="240" w:lineRule="auto"/>
              <w:ind w:left="739" w:hanging="708"/>
              <w:jc w:val="both"/>
              <w:rPr>
                <w:bCs/>
                <w:iCs/>
              </w:rPr>
            </w:pPr>
            <w:r>
              <w:rPr>
                <w:bCs/>
                <w:iCs/>
              </w:rPr>
              <w:t>47.2</w:t>
            </w:r>
            <w:r>
              <w:rPr>
                <w:bCs/>
                <w:iCs/>
              </w:rPr>
              <w:tab/>
            </w:r>
            <w:r>
              <w:rPr>
                <w:bCs/>
                <w:iCs/>
              </w:rPr>
              <w:t xml:space="preserve">O </w:t>
            </w:r>
            <w:r>
              <w:rPr>
                <w:b/>
                <w:bCs/>
                <w:iCs/>
              </w:rPr>
              <w:t>Contratado</w:t>
            </w:r>
            <w:r>
              <w:rPr>
                <w:bCs/>
                <w:iCs/>
              </w:rPr>
              <w:t xml:space="preserve"> deverá pagar multa de mora no percentual fixado nos </w:t>
            </w:r>
            <w:r>
              <w:rPr>
                <w:b/>
                <w:bCs/>
                <w:iCs/>
              </w:rPr>
              <w:t>DDC</w:t>
            </w:r>
            <w:r>
              <w:rPr>
                <w:bCs/>
                <w:iCs/>
              </w:rPr>
              <w:t xml:space="preserve"> para cada dia de atraso relativo à Data Prevista para a Conclusão.  O valor total das multas não deverá exceder o montante fixado nos </w:t>
            </w:r>
            <w:r>
              <w:rPr>
                <w:b/>
                <w:bCs/>
                <w:iCs/>
              </w:rPr>
              <w:t>DDC</w:t>
            </w:r>
            <w:r>
              <w:rPr>
                <w:bCs/>
                <w:iCs/>
              </w:rPr>
              <w:t xml:space="preserve">.  É facultado ao </w:t>
            </w:r>
            <w:r>
              <w:rPr>
                <w:b/>
                <w:bCs/>
                <w:iCs/>
              </w:rPr>
              <w:t>Contratante</w:t>
            </w:r>
            <w:r>
              <w:rPr>
                <w:bCs/>
                <w:iCs/>
              </w:rPr>
              <w:t xml:space="preserve"> deduzir, as despesas relativas às multas, dos pagamentos devidos ao </w:t>
            </w:r>
            <w:r>
              <w:rPr>
                <w:b/>
                <w:bCs/>
                <w:iCs/>
              </w:rPr>
              <w:t>Contratado</w:t>
            </w:r>
            <w:r>
              <w:rPr>
                <w:bCs/>
                <w:iCs/>
              </w:rPr>
              <w:t xml:space="preserve">.  Os pagamentos de multa não isentarão o </w:t>
            </w:r>
            <w:r>
              <w:rPr>
                <w:b/>
                <w:bCs/>
                <w:iCs/>
              </w:rPr>
              <w:t>Contratado</w:t>
            </w:r>
            <w:r>
              <w:rPr>
                <w:bCs/>
                <w:iCs/>
              </w:rPr>
              <w:t xml:space="preserve"> do cumprimento de suas obrigações.</w:t>
            </w:r>
          </w:p>
          <w:p w14:paraId="3BB1E0AE">
            <w:pPr>
              <w:spacing w:before="120" w:after="120" w:line="240" w:lineRule="auto"/>
              <w:ind w:left="739" w:hanging="708"/>
              <w:jc w:val="both"/>
              <w:rPr>
                <w:bCs/>
                <w:iCs/>
              </w:rPr>
            </w:pPr>
            <w:r>
              <w:rPr>
                <w:bCs/>
                <w:iCs/>
              </w:rPr>
              <w:t>47.3</w:t>
            </w:r>
            <w:r>
              <w:rPr>
                <w:bCs/>
                <w:iCs/>
              </w:rPr>
              <w:tab/>
            </w:r>
            <w:r>
              <w:rPr>
                <w:bCs/>
                <w:iCs/>
              </w:rPr>
              <w:t xml:space="preserve">É facultada a defesa do </w:t>
            </w:r>
            <w:r>
              <w:rPr>
                <w:b/>
                <w:bCs/>
                <w:iCs/>
              </w:rPr>
              <w:t xml:space="preserve">Contratado </w:t>
            </w:r>
            <w:r>
              <w:rPr>
                <w:bCs/>
                <w:iCs/>
              </w:rPr>
              <w:t>no respectivo processo, num prazo de 15 (quinze) dias úteis, a contar da data de notificação do fato.</w:t>
            </w:r>
          </w:p>
          <w:p w14:paraId="7FE2C67F">
            <w:pPr>
              <w:spacing w:before="120" w:after="120" w:line="240" w:lineRule="auto"/>
              <w:ind w:left="739" w:hanging="708"/>
              <w:jc w:val="both"/>
              <w:rPr>
                <w:bCs/>
                <w:iCs/>
              </w:rPr>
            </w:pPr>
            <w:r>
              <w:rPr>
                <w:bCs/>
                <w:iCs/>
              </w:rPr>
              <w:t>47.4</w:t>
            </w:r>
            <w:r>
              <w:rPr>
                <w:bCs/>
                <w:iCs/>
              </w:rPr>
              <w:tab/>
            </w:r>
            <w:r>
              <w:rPr>
                <w:bCs/>
                <w:iCs/>
              </w:rPr>
              <w:t xml:space="preserve">As demais medidas aplicáveis às sanções estão indicadas nos </w:t>
            </w:r>
            <w:r>
              <w:rPr>
                <w:b/>
                <w:bCs/>
                <w:iCs/>
              </w:rPr>
              <w:t>DDC</w:t>
            </w:r>
            <w:r>
              <w:rPr>
                <w:bCs/>
                <w:iCs/>
              </w:rPr>
              <w:t>.</w:t>
            </w:r>
          </w:p>
        </w:tc>
      </w:tr>
      <w:tr w14:paraId="676D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D449B13">
            <w:pPr>
              <w:pStyle w:val="83"/>
            </w:pPr>
            <w:bookmarkStart w:id="582" w:name="_Toc153209060"/>
            <w:bookmarkStart w:id="583" w:name="_Toc174522878"/>
            <w:bookmarkStart w:id="584" w:name="_Toc138437117"/>
            <w:r>
              <w:t>48.</w:t>
            </w:r>
            <w:r>
              <w:tab/>
            </w:r>
            <w:r>
              <w:t>Antecipação da Conclusão</w:t>
            </w:r>
            <w:bookmarkEnd w:id="582"/>
            <w:bookmarkEnd w:id="583"/>
            <w:bookmarkEnd w:id="584"/>
          </w:p>
        </w:tc>
        <w:tc>
          <w:tcPr>
            <w:tcW w:w="6753" w:type="dxa"/>
          </w:tcPr>
          <w:p w14:paraId="7CC4D850">
            <w:pPr>
              <w:spacing w:before="120" w:after="120" w:line="240" w:lineRule="auto"/>
              <w:ind w:left="739" w:hanging="708"/>
              <w:jc w:val="both"/>
              <w:rPr>
                <w:bCs/>
                <w:iCs/>
              </w:rPr>
            </w:pPr>
            <w:r>
              <w:rPr>
                <w:bCs/>
                <w:iCs/>
              </w:rPr>
              <w:t>48.1</w:t>
            </w:r>
            <w:r>
              <w:rPr>
                <w:bCs/>
                <w:iCs/>
              </w:rPr>
              <w:tab/>
            </w:r>
            <w:r>
              <w:rPr>
                <w:bCs/>
                <w:iCs/>
              </w:rPr>
              <w:t xml:space="preserve">O </w:t>
            </w:r>
            <w:r>
              <w:rPr>
                <w:b/>
                <w:bCs/>
                <w:iCs/>
              </w:rPr>
              <w:t>Contratado</w:t>
            </w:r>
            <w:r>
              <w:rPr>
                <w:bCs/>
                <w:iCs/>
              </w:rPr>
              <w:t xml:space="preserve"> não faz jus a nenhuma bonificação em caso de antecipação na conclusão das Obras.</w:t>
            </w:r>
          </w:p>
        </w:tc>
      </w:tr>
      <w:tr w14:paraId="1F35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65FA4FB">
            <w:pPr>
              <w:pStyle w:val="83"/>
            </w:pPr>
            <w:bookmarkStart w:id="585" w:name="_Toc174522879"/>
            <w:bookmarkStart w:id="586" w:name="_Toc138437118"/>
            <w:bookmarkStart w:id="587" w:name="_Toc153209061"/>
            <w:r>
              <w:t>49.</w:t>
            </w:r>
            <w:r>
              <w:tab/>
            </w:r>
            <w:r>
              <w:t>Adiantamento</w:t>
            </w:r>
            <w:bookmarkEnd w:id="585"/>
            <w:bookmarkEnd w:id="586"/>
            <w:bookmarkEnd w:id="587"/>
          </w:p>
        </w:tc>
        <w:tc>
          <w:tcPr>
            <w:tcW w:w="6753" w:type="dxa"/>
          </w:tcPr>
          <w:p w14:paraId="17593456">
            <w:pPr>
              <w:spacing w:before="120" w:after="120" w:line="240" w:lineRule="auto"/>
              <w:ind w:left="739" w:hanging="708"/>
              <w:jc w:val="both"/>
              <w:rPr>
                <w:bCs/>
                <w:iCs/>
              </w:rPr>
            </w:pPr>
            <w:bookmarkStart w:id="588" w:name="_Hlk139296357"/>
            <w:r>
              <w:rPr>
                <w:bCs/>
                <w:iCs/>
              </w:rPr>
              <w:t>49.1</w:t>
            </w:r>
            <w:r>
              <w:rPr>
                <w:bCs/>
                <w:iCs/>
              </w:rPr>
              <w:tab/>
            </w:r>
            <w:r>
              <w:rPr>
                <w:bCs/>
                <w:iCs/>
              </w:rPr>
              <w:t xml:space="preserve">O </w:t>
            </w:r>
            <w:r>
              <w:rPr>
                <w:b/>
                <w:bCs/>
                <w:iCs/>
              </w:rPr>
              <w:t>Contratado</w:t>
            </w:r>
            <w:r>
              <w:rPr>
                <w:bCs/>
                <w:iCs/>
              </w:rPr>
              <w:t xml:space="preserve"> não faz jus a nenhum adiantamento.</w:t>
            </w:r>
            <w:bookmarkEnd w:id="588"/>
          </w:p>
        </w:tc>
      </w:tr>
      <w:tr w14:paraId="7FBF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B2545E4">
            <w:pPr>
              <w:pStyle w:val="83"/>
            </w:pPr>
            <w:bookmarkStart w:id="589" w:name="_Toc174522880"/>
            <w:bookmarkStart w:id="590" w:name="_Toc138437119"/>
            <w:bookmarkStart w:id="591" w:name="_Toc153209062"/>
            <w:r>
              <w:t>50.</w:t>
            </w:r>
            <w:r>
              <w:tab/>
            </w:r>
            <w:r>
              <w:t>Garantia de Execução do Contrato</w:t>
            </w:r>
            <w:bookmarkEnd w:id="589"/>
            <w:bookmarkEnd w:id="590"/>
            <w:bookmarkEnd w:id="591"/>
          </w:p>
        </w:tc>
        <w:tc>
          <w:tcPr>
            <w:tcW w:w="6753" w:type="dxa"/>
          </w:tcPr>
          <w:p w14:paraId="0CFAFA5F">
            <w:pPr>
              <w:spacing w:before="120" w:after="120" w:line="240" w:lineRule="auto"/>
              <w:ind w:left="739" w:hanging="708"/>
              <w:jc w:val="both"/>
              <w:rPr>
                <w:bCs/>
                <w:iCs/>
              </w:rPr>
            </w:pPr>
            <w:r>
              <w:rPr>
                <w:bCs/>
                <w:iCs/>
              </w:rPr>
              <w:t>50.1</w:t>
            </w:r>
            <w:r>
              <w:rPr>
                <w:bCs/>
                <w:iCs/>
              </w:rPr>
              <w:tab/>
            </w:r>
            <w:r>
              <w:rPr>
                <w:bCs/>
                <w:iCs/>
              </w:rPr>
              <w:t xml:space="preserve">A garantia de execução do Contrato deverá ser fornecida ao </w:t>
            </w:r>
            <w:r>
              <w:rPr>
                <w:b/>
                <w:bCs/>
                <w:iCs/>
              </w:rPr>
              <w:t>Contratante</w:t>
            </w:r>
            <w:r>
              <w:rPr>
                <w:bCs/>
                <w:iCs/>
              </w:rPr>
              <w:t xml:space="preserve"> até a data de emissão da Ordem de Serviço (OS) pelo </w:t>
            </w:r>
            <w:r>
              <w:rPr>
                <w:b/>
                <w:bCs/>
                <w:iCs/>
              </w:rPr>
              <w:t>Contratante</w:t>
            </w:r>
            <w:r>
              <w:rPr>
                <w:bCs/>
                <w:iCs/>
              </w:rPr>
              <w:t xml:space="preserve">, no valor estipulado nos </w:t>
            </w:r>
            <w:r>
              <w:rPr>
                <w:b/>
                <w:bCs/>
                <w:iCs/>
              </w:rPr>
              <w:t>DDC</w:t>
            </w:r>
            <w:r>
              <w:rPr>
                <w:bCs/>
                <w:iCs/>
              </w:rPr>
              <w:t xml:space="preserve"> de acordo com o formulário apropriado, por um banco ou empresa fiadora aceitável pelo </w:t>
            </w:r>
            <w:r>
              <w:rPr>
                <w:b/>
                <w:bCs/>
                <w:iCs/>
              </w:rPr>
              <w:t>Contratante</w:t>
            </w:r>
            <w:r>
              <w:rPr>
                <w:bCs/>
                <w:iCs/>
              </w:rPr>
              <w:t xml:space="preserve">, e expressa em real. A garantia de execução será válida até uma data 30 (trinta) dias a partir da data de emissão do Termo de Recebimento Definitivo (TRD) das Obras </w:t>
            </w:r>
            <w:r>
              <w:rPr>
                <w:bCs/>
                <w:iCs/>
                <w:lang w:val="pt-PT"/>
              </w:rPr>
              <w:t>no caso de uma garantia bancária e até um ano a partir da data de emissão do TRD das Obras no caso de Seguro Garantia.</w:t>
            </w:r>
          </w:p>
          <w:p w14:paraId="73ECC499">
            <w:pPr>
              <w:spacing w:before="120" w:after="120" w:line="240" w:lineRule="auto"/>
              <w:ind w:left="739" w:hanging="708"/>
              <w:jc w:val="both"/>
              <w:rPr>
                <w:bCs/>
                <w:iCs/>
              </w:rPr>
            </w:pPr>
            <w:r>
              <w:rPr>
                <w:bCs/>
                <w:iCs/>
              </w:rPr>
              <w:t>50.2</w:t>
            </w:r>
            <w:r>
              <w:rPr>
                <w:bCs/>
                <w:iCs/>
              </w:rPr>
              <w:tab/>
            </w:r>
            <w:r>
              <w:rPr>
                <w:bCs/>
                <w:iCs/>
              </w:rPr>
              <w:t xml:space="preserve">A garantia de execução deverá ser emitida por uma instituição de prestígio escolhida pelo </w:t>
            </w:r>
            <w:r>
              <w:rPr>
                <w:b/>
                <w:bCs/>
                <w:iCs/>
              </w:rPr>
              <w:t>Contratado</w:t>
            </w:r>
            <w:r>
              <w:rPr>
                <w:bCs/>
                <w:iCs/>
              </w:rPr>
              <w:t xml:space="preserve">, aceita pelo </w:t>
            </w:r>
            <w:r>
              <w:rPr>
                <w:b/>
                <w:bCs/>
                <w:iCs/>
              </w:rPr>
              <w:t>Contratante</w:t>
            </w:r>
            <w:r>
              <w:rPr>
                <w:bCs/>
                <w:iCs/>
              </w:rPr>
              <w:t xml:space="preserve"> e localizada em qualquer país.  Se a instituição que emitir a garantia estiver localizada fora do Brasil, deverá ter uma instituição financeira correspondente no Brasil que permita fazer efetiva essa garantia.</w:t>
            </w:r>
          </w:p>
          <w:p w14:paraId="473EC340">
            <w:pPr>
              <w:spacing w:before="120" w:after="120" w:line="240" w:lineRule="auto"/>
              <w:ind w:left="739" w:hanging="708"/>
              <w:jc w:val="both"/>
              <w:rPr>
                <w:bCs/>
                <w:iCs/>
              </w:rPr>
            </w:pPr>
            <w:r>
              <w:rPr>
                <w:bCs/>
                <w:iCs/>
              </w:rPr>
              <w:t>50.3</w:t>
            </w:r>
            <w:r>
              <w:rPr>
                <w:bCs/>
                <w:iCs/>
              </w:rPr>
              <w:tab/>
            </w:r>
            <w:r>
              <w:rPr>
                <w:bCs/>
                <w:iCs/>
              </w:rPr>
              <w:t xml:space="preserve">A garantia de execução do Contrato deverá ser fornecida ao </w:t>
            </w:r>
            <w:r>
              <w:rPr>
                <w:b/>
                <w:bCs/>
                <w:iCs/>
              </w:rPr>
              <w:t>Contratante</w:t>
            </w:r>
            <w:r>
              <w:rPr>
                <w:bCs/>
                <w:iCs/>
              </w:rPr>
              <w:t xml:space="preserve"> no prazo máximo de 10 dias, prorrogáveis por igual período, a critério do </w:t>
            </w:r>
            <w:r>
              <w:rPr>
                <w:b/>
                <w:bCs/>
                <w:iCs/>
              </w:rPr>
              <w:t>Contratante</w:t>
            </w:r>
            <w:r>
              <w:rPr>
                <w:bCs/>
                <w:iCs/>
              </w:rPr>
              <w:t xml:space="preserve">, contados da assinatura do contrato, no valor estipulado nos </w:t>
            </w:r>
            <w:r>
              <w:rPr>
                <w:b/>
                <w:bCs/>
                <w:iCs/>
              </w:rPr>
              <w:t>DDC</w:t>
            </w:r>
            <w:r>
              <w:rPr>
                <w:bCs/>
                <w:iCs/>
              </w:rPr>
              <w:t>.</w:t>
            </w:r>
          </w:p>
          <w:p w14:paraId="0E7F2341">
            <w:pPr>
              <w:spacing w:before="120" w:after="120" w:line="240" w:lineRule="auto"/>
              <w:ind w:left="739" w:hanging="708"/>
              <w:jc w:val="both"/>
              <w:rPr>
                <w:bCs/>
                <w:iCs/>
              </w:rPr>
            </w:pPr>
            <w:bookmarkStart w:id="592" w:name="_Hlk139286267"/>
            <w:r>
              <w:rPr>
                <w:bCs/>
                <w:iCs/>
              </w:rPr>
              <w:t>50.4</w:t>
            </w:r>
            <w:r>
              <w:rPr>
                <w:bCs/>
                <w:iCs/>
              </w:rPr>
              <w:tab/>
            </w:r>
            <w:r>
              <w:rPr>
                <w:bCs/>
                <w:iCs/>
              </w:rPr>
              <w:t xml:space="preserve">No caso de alteração do Preço do Contrato, ou prorrogação de sua vigência, a garantia de execução deverá ser ajustada pelo </w:t>
            </w:r>
            <w:r>
              <w:rPr>
                <w:b/>
                <w:bCs/>
                <w:iCs/>
              </w:rPr>
              <w:t xml:space="preserve">Contratado </w:t>
            </w:r>
            <w:r>
              <w:rPr>
                <w:bCs/>
                <w:iCs/>
              </w:rPr>
              <w:t>à nova situação ou renovada, seguindo os mesmos parâmetros utilizados quando da contratação.</w:t>
            </w:r>
          </w:p>
          <w:bookmarkEnd w:id="592"/>
          <w:p w14:paraId="5E7508C1">
            <w:pPr>
              <w:spacing w:before="120" w:after="120" w:line="240" w:lineRule="auto"/>
              <w:ind w:left="739" w:hanging="708"/>
              <w:jc w:val="both"/>
              <w:rPr>
                <w:bCs/>
                <w:iCs/>
              </w:rPr>
            </w:pPr>
            <w:r>
              <w:rPr>
                <w:bCs/>
                <w:iCs/>
              </w:rPr>
              <w:t>50.5</w:t>
            </w:r>
            <w:r>
              <w:rPr>
                <w:bCs/>
                <w:iCs/>
              </w:rPr>
              <w:tab/>
            </w:r>
            <w:r>
              <w:rPr>
                <w:bCs/>
                <w:iCs/>
              </w:rPr>
              <w:t xml:space="preserve">Caso indicado nos </w:t>
            </w:r>
            <w:r>
              <w:rPr>
                <w:b/>
                <w:bCs/>
                <w:iCs/>
              </w:rPr>
              <w:t>DDC</w:t>
            </w:r>
            <w:r>
              <w:rPr>
                <w:bCs/>
                <w:iCs/>
              </w:rPr>
              <w:t xml:space="preserve">, outros tipos de garantia de execução do Contrato poderão ser aceitos pelo </w:t>
            </w:r>
            <w:r>
              <w:rPr>
                <w:b/>
                <w:bCs/>
                <w:iCs/>
              </w:rPr>
              <w:t>Contratante</w:t>
            </w:r>
            <w:r>
              <w:rPr>
                <w:bCs/>
                <w:iCs/>
              </w:rPr>
              <w:t>.</w:t>
            </w:r>
          </w:p>
        </w:tc>
      </w:tr>
      <w:tr w14:paraId="52AF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6ADBD5F">
            <w:pPr>
              <w:pStyle w:val="83"/>
            </w:pPr>
            <w:bookmarkStart w:id="593" w:name="_Toc138437120"/>
            <w:bookmarkStart w:id="594" w:name="_Toc153209063"/>
            <w:bookmarkStart w:id="595" w:name="_Toc174522881"/>
            <w:r>
              <w:t>51.</w:t>
            </w:r>
            <w:r>
              <w:tab/>
            </w:r>
            <w:r>
              <w:t>Serviços Adicionais</w:t>
            </w:r>
            <w:bookmarkEnd w:id="593"/>
            <w:bookmarkEnd w:id="594"/>
            <w:bookmarkEnd w:id="595"/>
          </w:p>
        </w:tc>
        <w:tc>
          <w:tcPr>
            <w:tcW w:w="6753" w:type="dxa"/>
          </w:tcPr>
          <w:p w14:paraId="4B0763AA">
            <w:pPr>
              <w:spacing w:before="120" w:after="120" w:line="240" w:lineRule="auto"/>
              <w:ind w:left="739" w:hanging="708"/>
              <w:jc w:val="both"/>
              <w:rPr>
                <w:bCs/>
                <w:iCs/>
              </w:rPr>
            </w:pPr>
            <w:r>
              <w:rPr>
                <w:bCs/>
                <w:iCs/>
              </w:rPr>
              <w:t>51.1</w:t>
            </w:r>
            <w:r>
              <w:rPr>
                <w:bCs/>
                <w:iCs/>
              </w:rPr>
              <w:tab/>
            </w:r>
            <w:r>
              <w:rPr>
                <w:bCs/>
                <w:iCs/>
              </w:rPr>
              <w:t xml:space="preserve">Caso venham a ser necessários e, estejam indicados nos </w:t>
            </w:r>
            <w:r>
              <w:rPr>
                <w:b/>
                <w:bCs/>
                <w:iCs/>
              </w:rPr>
              <w:t>DDC</w:t>
            </w:r>
            <w:r>
              <w:rPr>
                <w:bCs/>
                <w:iCs/>
              </w:rPr>
              <w:t xml:space="preserve">, Serviços Adicionais de pequena monta poderão ser executados, desde que prévia e expressamente autorizados pelo Gerente do Contrato.  Tais serviços, quando autorizados, serão remunerados à razão dos respectivos preços unitários cotados pelo </w:t>
            </w:r>
            <w:r>
              <w:rPr>
                <w:b/>
                <w:bCs/>
                <w:iCs/>
              </w:rPr>
              <w:t>Contratado</w:t>
            </w:r>
            <w:r>
              <w:rPr>
                <w:bCs/>
                <w:iCs/>
              </w:rPr>
              <w:t xml:space="preserve"> na planilha de preços unitários após a solicitação, por escrito, do Gerente do Contrato. </w:t>
            </w:r>
          </w:p>
          <w:p w14:paraId="5B7CD14F">
            <w:pPr>
              <w:spacing w:before="120" w:after="120" w:line="240" w:lineRule="auto"/>
              <w:ind w:left="739" w:hanging="708"/>
              <w:jc w:val="both"/>
              <w:rPr>
                <w:bCs/>
                <w:iCs/>
              </w:rPr>
            </w:pPr>
            <w:r>
              <w:rPr>
                <w:bCs/>
                <w:iCs/>
              </w:rPr>
              <w:t>51.2</w:t>
            </w:r>
            <w:r>
              <w:rPr>
                <w:bCs/>
                <w:iCs/>
              </w:rPr>
              <w:tab/>
            </w:r>
            <w:r>
              <w:rPr>
                <w:bCs/>
                <w:iCs/>
              </w:rPr>
              <w:t xml:space="preserve">Todo serviço a ser pago como Serviço Adicional deverá ser registrado pelo </w:t>
            </w:r>
            <w:r>
              <w:rPr>
                <w:b/>
                <w:bCs/>
                <w:iCs/>
              </w:rPr>
              <w:t>Contratante</w:t>
            </w:r>
            <w:r>
              <w:rPr>
                <w:bCs/>
                <w:iCs/>
              </w:rPr>
              <w:t xml:space="preserve"> em formulários aprovados pelo Gerente do Contrato, a quem compete conferi-los e atestá-los no prazo de dois dias de sua conclusão.</w:t>
            </w:r>
          </w:p>
          <w:p w14:paraId="3DB53B9F">
            <w:pPr>
              <w:spacing w:before="120" w:after="120" w:line="240" w:lineRule="auto"/>
              <w:ind w:left="739" w:hanging="708"/>
              <w:jc w:val="both"/>
              <w:rPr>
                <w:bCs/>
                <w:iCs/>
              </w:rPr>
            </w:pPr>
            <w:r>
              <w:rPr>
                <w:bCs/>
                <w:iCs/>
              </w:rPr>
              <w:t>51.3</w:t>
            </w:r>
            <w:r>
              <w:rPr>
                <w:bCs/>
                <w:iCs/>
              </w:rPr>
              <w:tab/>
            </w:r>
            <w:r>
              <w:rPr>
                <w:bCs/>
                <w:iCs/>
              </w:rPr>
              <w:t xml:space="preserve">O </w:t>
            </w:r>
            <w:r>
              <w:rPr>
                <w:b/>
                <w:bCs/>
                <w:iCs/>
              </w:rPr>
              <w:t>Contratado</w:t>
            </w:r>
            <w:r>
              <w:rPr>
                <w:bCs/>
                <w:iCs/>
              </w:rPr>
              <w:t xml:space="preserve"> somente receberá por Serviço Adicional quando devidamente atestado.</w:t>
            </w:r>
          </w:p>
          <w:p w14:paraId="7D1047FD">
            <w:pPr>
              <w:spacing w:before="120" w:after="120" w:line="240" w:lineRule="auto"/>
              <w:ind w:left="739" w:hanging="708"/>
              <w:jc w:val="both"/>
              <w:rPr>
                <w:bCs/>
                <w:iCs/>
              </w:rPr>
            </w:pPr>
            <w:r>
              <w:rPr>
                <w:bCs/>
                <w:iCs/>
              </w:rPr>
              <w:t>51.4</w:t>
            </w:r>
            <w:r>
              <w:rPr>
                <w:bCs/>
                <w:iCs/>
              </w:rPr>
              <w:tab/>
            </w:r>
            <w:r>
              <w:rPr>
                <w:bCs/>
                <w:iCs/>
              </w:rPr>
              <w:t xml:space="preserve">Os </w:t>
            </w:r>
            <w:r>
              <w:rPr>
                <w:b/>
                <w:bCs/>
                <w:iCs/>
              </w:rPr>
              <w:t>DDC</w:t>
            </w:r>
            <w:r>
              <w:rPr>
                <w:bCs/>
                <w:iCs/>
              </w:rPr>
              <w:t xml:space="preserve"> determinam os procedimentos para a inclusão de novos serviços que não constam na planilha de preços do </w:t>
            </w:r>
            <w:r>
              <w:rPr>
                <w:b/>
                <w:bCs/>
                <w:iCs/>
              </w:rPr>
              <w:t>Contratado.</w:t>
            </w:r>
          </w:p>
        </w:tc>
      </w:tr>
      <w:tr w14:paraId="49E9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F65C83B">
            <w:pPr>
              <w:pStyle w:val="83"/>
            </w:pPr>
            <w:bookmarkStart w:id="596" w:name="_Toc174522882"/>
            <w:bookmarkStart w:id="597" w:name="_Toc153209064"/>
            <w:bookmarkStart w:id="598" w:name="_Toc138437121"/>
            <w:r>
              <w:t>52.</w:t>
            </w:r>
            <w:r>
              <w:tab/>
            </w:r>
            <w:r>
              <w:t>Reparação de Danos</w:t>
            </w:r>
            <w:bookmarkEnd w:id="596"/>
            <w:bookmarkEnd w:id="597"/>
            <w:bookmarkEnd w:id="598"/>
          </w:p>
        </w:tc>
        <w:tc>
          <w:tcPr>
            <w:tcW w:w="6753" w:type="dxa"/>
          </w:tcPr>
          <w:p w14:paraId="6EF417F2">
            <w:pPr>
              <w:spacing w:before="120" w:after="120" w:line="240" w:lineRule="auto"/>
              <w:ind w:left="739" w:hanging="708"/>
              <w:jc w:val="both"/>
              <w:rPr>
                <w:bCs/>
                <w:iCs/>
              </w:rPr>
            </w:pPr>
            <w:r>
              <w:rPr>
                <w:bCs/>
                <w:iCs/>
              </w:rPr>
              <w:t>52.1</w:t>
            </w:r>
            <w:r>
              <w:rPr>
                <w:bCs/>
                <w:iCs/>
              </w:rPr>
              <w:tab/>
            </w:r>
            <w:r>
              <w:rPr>
                <w:bCs/>
                <w:iCs/>
              </w:rPr>
              <w:t xml:space="preserve">O </w:t>
            </w:r>
            <w:r>
              <w:rPr>
                <w:b/>
                <w:bCs/>
                <w:iCs/>
              </w:rPr>
              <w:t>Contratado</w:t>
            </w:r>
            <w:r>
              <w:rPr>
                <w:bCs/>
                <w:iCs/>
              </w:rPr>
              <w:t xml:space="preserve"> deverá, às suas expensas, reparar perdas e danos, desde a Data de Início até o término do PCD, verificados nas Obras e materiais a elas incorporados, caso os mesmos lhe possam ser imputáveis.</w:t>
            </w:r>
          </w:p>
        </w:tc>
      </w:tr>
      <w:tr w14:paraId="672B7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0107733B">
            <w:pPr>
              <w:pStyle w:val="81"/>
            </w:pPr>
            <w:bookmarkStart w:id="599" w:name="_Toc138437122"/>
            <w:bookmarkStart w:id="600" w:name="_Toc153209065"/>
            <w:bookmarkStart w:id="601" w:name="_Toc174522883"/>
            <w:r>
              <w:t>E – ENCERRAMENTO DO CONTRATO</w:t>
            </w:r>
            <w:bookmarkEnd w:id="599"/>
            <w:bookmarkEnd w:id="600"/>
            <w:bookmarkEnd w:id="601"/>
          </w:p>
        </w:tc>
      </w:tr>
      <w:tr w14:paraId="4808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36E6950B">
            <w:pPr>
              <w:pStyle w:val="83"/>
            </w:pPr>
            <w:bookmarkStart w:id="602" w:name="_Toc153209066"/>
            <w:bookmarkStart w:id="603" w:name="_Toc138437123"/>
            <w:bookmarkStart w:id="604" w:name="_Toc174522884"/>
            <w:r>
              <w:t>53.</w:t>
            </w:r>
            <w:r>
              <w:tab/>
            </w:r>
            <w:r>
              <w:t>Término</w:t>
            </w:r>
            <w:bookmarkEnd w:id="602"/>
            <w:bookmarkEnd w:id="603"/>
            <w:bookmarkEnd w:id="604"/>
          </w:p>
        </w:tc>
        <w:tc>
          <w:tcPr>
            <w:tcW w:w="6753" w:type="dxa"/>
          </w:tcPr>
          <w:p w14:paraId="1A2707ED">
            <w:pPr>
              <w:spacing w:before="120" w:after="120" w:line="240" w:lineRule="auto"/>
              <w:ind w:left="739" w:hanging="708"/>
              <w:jc w:val="both"/>
              <w:rPr>
                <w:bCs/>
                <w:iCs/>
              </w:rPr>
            </w:pPr>
            <w:r>
              <w:rPr>
                <w:bCs/>
                <w:iCs/>
              </w:rPr>
              <w:t>53.1</w:t>
            </w:r>
            <w:r>
              <w:rPr>
                <w:bCs/>
                <w:iCs/>
              </w:rPr>
              <w:tab/>
            </w:r>
            <w:r>
              <w:rPr>
                <w:bCs/>
                <w:iCs/>
              </w:rPr>
              <w:t xml:space="preserve">O </w:t>
            </w:r>
            <w:r>
              <w:rPr>
                <w:b/>
                <w:bCs/>
                <w:iCs/>
              </w:rPr>
              <w:t>Contratado</w:t>
            </w:r>
            <w:r>
              <w:rPr>
                <w:bCs/>
                <w:iCs/>
              </w:rPr>
              <w:t xml:space="preserve"> solicitará e obterá do Gerente do Contrato a emissão do TRD das Obras quando comprovado o término da Obra.</w:t>
            </w:r>
          </w:p>
          <w:p w14:paraId="5B357B70">
            <w:pPr>
              <w:spacing w:before="120" w:after="120" w:line="240" w:lineRule="auto"/>
              <w:ind w:left="739" w:hanging="708"/>
              <w:jc w:val="both"/>
              <w:rPr>
                <w:bCs/>
                <w:iCs/>
              </w:rPr>
            </w:pPr>
            <w:r>
              <w:rPr>
                <w:bCs/>
                <w:iCs/>
              </w:rPr>
              <w:t>53.2</w:t>
            </w:r>
            <w:r>
              <w:rPr>
                <w:bCs/>
                <w:iCs/>
              </w:rPr>
              <w:tab/>
            </w:r>
            <w:r>
              <w:rPr>
                <w:bCs/>
                <w:iCs/>
              </w:rPr>
              <w:t xml:space="preserve">Resolvidas todas as “não conformidades” descritas no Termo de Recebimento Parcial (TRP) das Obras, o </w:t>
            </w:r>
            <w:r>
              <w:rPr>
                <w:b/>
                <w:bCs/>
                <w:iCs/>
              </w:rPr>
              <w:t>Contratante</w:t>
            </w:r>
            <w:r>
              <w:rPr>
                <w:bCs/>
                <w:iCs/>
              </w:rPr>
              <w:t xml:space="preserve"> terá o prazo de 10 dias após a comunicação do </w:t>
            </w:r>
            <w:r>
              <w:rPr>
                <w:b/>
                <w:bCs/>
                <w:iCs/>
              </w:rPr>
              <w:t>Contratado</w:t>
            </w:r>
            <w:r>
              <w:rPr>
                <w:bCs/>
                <w:iCs/>
              </w:rPr>
              <w:t xml:space="preserve"> para a emissão do TRD.</w:t>
            </w:r>
          </w:p>
          <w:p w14:paraId="4813C22E">
            <w:pPr>
              <w:spacing w:before="120" w:after="120" w:line="240" w:lineRule="auto"/>
              <w:ind w:left="739" w:hanging="708"/>
              <w:jc w:val="both"/>
              <w:rPr>
                <w:bCs/>
                <w:iCs/>
              </w:rPr>
            </w:pPr>
            <w:r>
              <w:rPr>
                <w:bCs/>
                <w:iCs/>
              </w:rPr>
              <w:t>53.3</w:t>
            </w:r>
            <w:r>
              <w:rPr>
                <w:bCs/>
                <w:iCs/>
              </w:rPr>
              <w:tab/>
            </w:r>
            <w:r>
              <w:rPr>
                <w:bCs/>
                <w:iCs/>
              </w:rPr>
              <w:t xml:space="preserve">O recebimento definitivo pelo </w:t>
            </w:r>
            <w:r>
              <w:rPr>
                <w:b/>
                <w:bCs/>
                <w:iCs/>
              </w:rPr>
              <w:t>Contratante</w:t>
            </w:r>
            <w:r>
              <w:rPr>
                <w:bCs/>
                <w:iCs/>
              </w:rPr>
              <w:t xml:space="preserve"> não eximirá o </w:t>
            </w:r>
            <w:r>
              <w:rPr>
                <w:b/>
                <w:bCs/>
                <w:iCs/>
              </w:rPr>
              <w:t>Contratado</w:t>
            </w:r>
            <w:r>
              <w:rPr>
                <w:bCs/>
                <w:iCs/>
              </w:rPr>
              <w:t xml:space="preserve">, pelo prazo mínimo de cinco anos, admitida a previsão de prazo de garantia superior no edital e no contrato, da responsabilidade objetiva pela solidez e segurança dos materiais e dos serviços executados e pela funcionalidade da construção, da reforma, da recuperação ou da ampliação do bem imóvel, e, em caso de vício, defeito ou incorreção identificados, o </w:t>
            </w:r>
            <w:r>
              <w:rPr>
                <w:b/>
                <w:bCs/>
                <w:iCs/>
              </w:rPr>
              <w:t>Contratado</w:t>
            </w:r>
            <w:r>
              <w:rPr>
                <w:bCs/>
                <w:iCs/>
              </w:rPr>
              <w:t xml:space="preserve"> ficará responsável pela reparação, pela correção, pela reconstrução ou pela substituição necessárias.</w:t>
            </w:r>
          </w:p>
          <w:p w14:paraId="53ADDCF6">
            <w:pPr>
              <w:spacing w:before="120" w:after="120" w:line="240" w:lineRule="auto"/>
              <w:ind w:left="739" w:hanging="708"/>
              <w:jc w:val="both"/>
              <w:rPr>
                <w:bCs/>
                <w:iCs/>
              </w:rPr>
            </w:pPr>
            <w:r>
              <w:rPr>
                <w:bCs/>
                <w:iCs/>
              </w:rPr>
              <w:t>53.4</w:t>
            </w:r>
            <w:r>
              <w:rPr>
                <w:bCs/>
                <w:iCs/>
              </w:rPr>
              <w:tab/>
            </w:r>
            <w:r>
              <w:rPr>
                <w:bCs/>
                <w:iCs/>
              </w:rPr>
              <w:t xml:space="preserve">Outros procedimentos para o recebimento definitivo das Obras constam dos </w:t>
            </w:r>
            <w:r>
              <w:rPr>
                <w:b/>
                <w:bCs/>
                <w:iCs/>
              </w:rPr>
              <w:t>DDC</w:t>
            </w:r>
            <w:r>
              <w:rPr>
                <w:bCs/>
                <w:iCs/>
              </w:rPr>
              <w:t>.</w:t>
            </w:r>
          </w:p>
        </w:tc>
      </w:tr>
      <w:tr w14:paraId="7B33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046F53A">
            <w:pPr>
              <w:pStyle w:val="83"/>
            </w:pPr>
            <w:bookmarkStart w:id="605" w:name="_Toc138437124"/>
            <w:bookmarkStart w:id="606" w:name="_Toc99026010"/>
            <w:bookmarkStart w:id="607" w:name="_Toc20735970"/>
            <w:bookmarkStart w:id="608" w:name="_Toc56168345"/>
            <w:bookmarkStart w:id="609" w:name="_Toc174522885"/>
            <w:bookmarkStart w:id="610" w:name="_Toc153209067"/>
            <w:r>
              <w:t>54.</w:t>
            </w:r>
            <w:r>
              <w:tab/>
            </w:r>
            <w:r>
              <w:t>Posse</w:t>
            </w:r>
            <w:bookmarkEnd w:id="605"/>
            <w:bookmarkEnd w:id="606"/>
            <w:bookmarkEnd w:id="607"/>
            <w:bookmarkEnd w:id="608"/>
            <w:r>
              <w:t xml:space="preserve"> pelo Contratante</w:t>
            </w:r>
            <w:bookmarkEnd w:id="609"/>
            <w:bookmarkEnd w:id="610"/>
          </w:p>
        </w:tc>
        <w:tc>
          <w:tcPr>
            <w:tcW w:w="6753" w:type="dxa"/>
          </w:tcPr>
          <w:p w14:paraId="337B4878">
            <w:pPr>
              <w:spacing w:before="120" w:after="120" w:line="240" w:lineRule="auto"/>
              <w:ind w:left="739" w:hanging="708"/>
              <w:jc w:val="both"/>
              <w:rPr>
                <w:bCs/>
                <w:iCs/>
              </w:rPr>
            </w:pPr>
            <w:r>
              <w:rPr>
                <w:bCs/>
                <w:iCs/>
              </w:rPr>
              <w:t>54.1</w:t>
            </w:r>
            <w:r>
              <w:rPr>
                <w:bCs/>
                <w:iCs/>
              </w:rPr>
              <w:tab/>
            </w:r>
            <w:r>
              <w:rPr>
                <w:bCs/>
                <w:iCs/>
              </w:rPr>
              <w:t xml:space="preserve">O </w:t>
            </w:r>
            <w:r>
              <w:rPr>
                <w:b/>
                <w:bCs/>
                <w:iCs/>
              </w:rPr>
              <w:t>Contratante</w:t>
            </w:r>
            <w:r>
              <w:rPr>
                <w:bCs/>
                <w:iCs/>
              </w:rPr>
              <w:t xml:space="preserve"> deverá tomar posse do Local das Obras nos 10 dias contados da data de emissão do TRD pelo Gerente do Contrato.</w:t>
            </w:r>
          </w:p>
          <w:p w14:paraId="2CDC2116">
            <w:pPr>
              <w:spacing w:before="120" w:after="120" w:line="240" w:lineRule="auto"/>
              <w:ind w:left="739" w:hanging="708"/>
              <w:jc w:val="both"/>
              <w:rPr>
                <w:bCs/>
                <w:iCs/>
              </w:rPr>
            </w:pPr>
            <w:r>
              <w:rPr>
                <w:bCs/>
                <w:iCs/>
              </w:rPr>
              <w:t>54.2</w:t>
            </w:r>
            <w:r>
              <w:rPr>
                <w:bCs/>
                <w:iCs/>
              </w:rPr>
              <w:tab/>
            </w:r>
            <w:r>
              <w:rPr>
                <w:bCs/>
                <w:iCs/>
              </w:rPr>
              <w:t xml:space="preserve">Salvo as disposições das subcláusulas 32 a </w:t>
            </w:r>
            <w:r>
              <w:rPr>
                <w:bCs/>
                <w:iCs/>
                <w:lang w:val="pt-PT"/>
              </w:rPr>
              <w:t>34</w:t>
            </w:r>
            <w:r>
              <w:rPr>
                <w:bCs/>
                <w:iCs/>
              </w:rPr>
              <w:t xml:space="preserve"> das CGC, as Obras serão assumidas pelo </w:t>
            </w:r>
            <w:r>
              <w:rPr>
                <w:b/>
                <w:bCs/>
                <w:iCs/>
              </w:rPr>
              <w:t>Contratante</w:t>
            </w:r>
            <w:r>
              <w:rPr>
                <w:bCs/>
                <w:iCs/>
              </w:rPr>
              <w:t xml:space="preserve"> quando:</w:t>
            </w:r>
          </w:p>
          <w:p w14:paraId="7924E63C">
            <w:pPr>
              <w:spacing w:before="120" w:after="120" w:line="240" w:lineRule="auto"/>
              <w:ind w:left="1306" w:hanging="425"/>
              <w:jc w:val="both"/>
              <w:rPr>
                <w:bCs/>
                <w:iCs/>
              </w:rPr>
            </w:pPr>
            <w:r>
              <w:rPr>
                <w:bCs/>
                <w:iCs/>
              </w:rPr>
              <w:t>(a)</w:t>
            </w:r>
            <w:r>
              <w:rPr>
                <w:bCs/>
                <w:iCs/>
              </w:rPr>
              <w:tab/>
            </w:r>
            <w:r>
              <w:rPr>
                <w:bCs/>
                <w:iCs/>
              </w:rPr>
              <w:t>as Obras forem concluídas em concordância com o Contrato; e</w:t>
            </w:r>
          </w:p>
          <w:p w14:paraId="2719AA10">
            <w:pPr>
              <w:spacing w:before="120" w:after="120" w:line="240" w:lineRule="auto"/>
              <w:ind w:left="1306" w:hanging="425"/>
              <w:jc w:val="both"/>
              <w:rPr>
                <w:bCs/>
                <w:iCs/>
              </w:rPr>
            </w:pPr>
            <w:r>
              <w:rPr>
                <w:bCs/>
                <w:iCs/>
              </w:rPr>
              <w:t>(b)</w:t>
            </w:r>
            <w:r>
              <w:rPr>
                <w:bCs/>
                <w:iCs/>
              </w:rPr>
              <w:tab/>
            </w:r>
            <w:r>
              <w:rPr>
                <w:bCs/>
                <w:iCs/>
              </w:rPr>
              <w:t xml:space="preserve">um Certificado de Ocupação das Obras tenha sido emitido pelo </w:t>
            </w:r>
            <w:r>
              <w:rPr>
                <w:b/>
                <w:bCs/>
                <w:iCs/>
              </w:rPr>
              <w:t>Contratante</w:t>
            </w:r>
            <w:r>
              <w:rPr>
                <w:bCs/>
                <w:iCs/>
              </w:rPr>
              <w:t>.</w:t>
            </w:r>
          </w:p>
        </w:tc>
      </w:tr>
      <w:tr w14:paraId="2AB6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7896807">
            <w:pPr>
              <w:pStyle w:val="83"/>
            </w:pPr>
            <w:bookmarkStart w:id="611" w:name="_Toc56168346"/>
            <w:bookmarkStart w:id="612" w:name="_Toc153209068"/>
            <w:bookmarkStart w:id="613" w:name="_Toc99026011"/>
            <w:bookmarkStart w:id="614" w:name="_Toc20735971"/>
            <w:bookmarkStart w:id="615" w:name="_Toc138437125"/>
            <w:bookmarkStart w:id="616" w:name="_Toc174522886"/>
            <w:r>
              <w:t>55.</w:t>
            </w:r>
            <w:r>
              <w:tab/>
            </w:r>
            <w:r>
              <w:t>Contabilização Final</w:t>
            </w:r>
            <w:bookmarkEnd w:id="611"/>
            <w:bookmarkEnd w:id="612"/>
            <w:bookmarkEnd w:id="613"/>
            <w:bookmarkEnd w:id="614"/>
            <w:bookmarkEnd w:id="615"/>
            <w:bookmarkEnd w:id="616"/>
          </w:p>
        </w:tc>
        <w:tc>
          <w:tcPr>
            <w:tcW w:w="6753" w:type="dxa"/>
          </w:tcPr>
          <w:p w14:paraId="07E68D78">
            <w:pPr>
              <w:spacing w:before="120" w:after="120" w:line="240" w:lineRule="auto"/>
              <w:ind w:left="739" w:hanging="708"/>
              <w:jc w:val="both"/>
              <w:rPr>
                <w:bCs/>
                <w:iCs/>
              </w:rPr>
            </w:pPr>
            <w:r>
              <w:rPr>
                <w:bCs/>
                <w:iCs/>
              </w:rPr>
              <w:t>55.1</w:t>
            </w:r>
            <w:r>
              <w:rPr>
                <w:bCs/>
                <w:iCs/>
              </w:rPr>
              <w:tab/>
            </w:r>
            <w:r>
              <w:rPr>
                <w:bCs/>
                <w:iCs/>
              </w:rPr>
              <w:t xml:space="preserve">Antes de expirado o PCD, o </w:t>
            </w:r>
            <w:r>
              <w:rPr>
                <w:b/>
                <w:bCs/>
                <w:iCs/>
              </w:rPr>
              <w:t>Contratado</w:t>
            </w:r>
            <w:r>
              <w:rPr>
                <w:bCs/>
                <w:iCs/>
              </w:rPr>
              <w:t xml:space="preserve"> deverá apresentar ao Gerente do Contrato um balanço detalhado do valor de seu crédito.  O Gerente do Contrato emitirá um TRD confirmando os valores devidos ao </w:t>
            </w:r>
            <w:r>
              <w:rPr>
                <w:b/>
                <w:bCs/>
                <w:iCs/>
              </w:rPr>
              <w:t>Contratado</w:t>
            </w:r>
            <w:r>
              <w:rPr>
                <w:bCs/>
                <w:iCs/>
              </w:rPr>
              <w:t xml:space="preserve">, no prazo de 60 dias do recebimento do referido balanço, caso o mesmo esteja correto e completo.  Caso contrário, o Gerente do Contrato deverá fornecer, no prazo fixado acima, uma planilha que estabeleça as correções e adições necessárias.  Se o balanço final reapresentado permanecer insatisfatório, o Gerente do Contrato deverá decidir qual o valor a ser pago ao </w:t>
            </w:r>
            <w:r>
              <w:rPr>
                <w:b/>
                <w:bCs/>
                <w:iCs/>
              </w:rPr>
              <w:t>Contratado</w:t>
            </w:r>
            <w:r>
              <w:rPr>
                <w:bCs/>
                <w:iCs/>
              </w:rPr>
              <w:t>, informando-o por escrito.</w:t>
            </w:r>
          </w:p>
        </w:tc>
      </w:tr>
      <w:tr w14:paraId="1ADA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532F4B33">
            <w:pPr>
              <w:pStyle w:val="83"/>
            </w:pPr>
            <w:bookmarkStart w:id="617" w:name="_Toc153209069"/>
            <w:bookmarkStart w:id="618" w:name="_Toc99026012"/>
            <w:bookmarkStart w:id="619" w:name="_Toc138437126"/>
            <w:bookmarkStart w:id="620" w:name="_Toc20735972"/>
            <w:bookmarkStart w:id="621" w:name="_Toc174522887"/>
            <w:bookmarkStart w:id="622" w:name="_Toc56168347"/>
            <w:r>
              <w:t>56.</w:t>
            </w:r>
            <w:r>
              <w:tab/>
            </w:r>
            <w:r>
              <w:t>Manuais de Operação e Manutenção e Desenhos de Como Construído (As Built)</w:t>
            </w:r>
            <w:bookmarkEnd w:id="617"/>
            <w:bookmarkEnd w:id="618"/>
            <w:bookmarkEnd w:id="619"/>
            <w:bookmarkEnd w:id="620"/>
            <w:bookmarkEnd w:id="621"/>
            <w:bookmarkEnd w:id="622"/>
          </w:p>
        </w:tc>
        <w:tc>
          <w:tcPr>
            <w:tcW w:w="6753" w:type="dxa"/>
          </w:tcPr>
          <w:p w14:paraId="366E07F6">
            <w:pPr>
              <w:spacing w:before="120" w:after="120" w:line="240" w:lineRule="auto"/>
              <w:ind w:left="739" w:hanging="708"/>
              <w:jc w:val="both"/>
              <w:rPr>
                <w:bCs/>
                <w:iCs/>
              </w:rPr>
            </w:pPr>
            <w:r>
              <w:rPr>
                <w:bCs/>
                <w:iCs/>
              </w:rPr>
              <w:t>56.1</w:t>
            </w:r>
            <w:r>
              <w:rPr>
                <w:bCs/>
                <w:iCs/>
              </w:rPr>
              <w:tab/>
            </w:r>
            <w:r>
              <w:rPr>
                <w:bCs/>
                <w:iCs/>
              </w:rPr>
              <w:t>Os Desenhos de Como Construído (A</w:t>
            </w:r>
            <w:r>
              <w:rPr>
                <w:bCs/>
                <w:i/>
                <w:iCs/>
              </w:rPr>
              <w:t>s Built)</w:t>
            </w:r>
            <w:r>
              <w:rPr>
                <w:bCs/>
                <w:iCs/>
              </w:rPr>
              <w:t xml:space="preserve"> e/ou Manuais de Operação e Manutenção deverão ser fornecidos pelo </w:t>
            </w:r>
            <w:r>
              <w:rPr>
                <w:b/>
                <w:bCs/>
                <w:iCs/>
              </w:rPr>
              <w:t>Contratado</w:t>
            </w:r>
            <w:r>
              <w:rPr>
                <w:bCs/>
                <w:iCs/>
              </w:rPr>
              <w:t xml:space="preserve"> nas datas estabelecidas nos </w:t>
            </w:r>
            <w:r>
              <w:rPr>
                <w:b/>
                <w:bCs/>
                <w:iCs/>
              </w:rPr>
              <w:t>DDC</w:t>
            </w:r>
            <w:r>
              <w:rPr>
                <w:bCs/>
                <w:iCs/>
              </w:rPr>
              <w:t>.</w:t>
            </w:r>
          </w:p>
          <w:p w14:paraId="5F86765E">
            <w:pPr>
              <w:spacing w:before="120" w:after="120" w:line="240" w:lineRule="auto"/>
              <w:ind w:left="739" w:hanging="708"/>
              <w:jc w:val="both"/>
              <w:rPr>
                <w:bCs/>
                <w:iCs/>
              </w:rPr>
            </w:pPr>
            <w:r>
              <w:rPr>
                <w:bCs/>
                <w:iCs/>
              </w:rPr>
              <w:t>56.2</w:t>
            </w:r>
            <w:r>
              <w:rPr>
                <w:bCs/>
                <w:iCs/>
              </w:rPr>
              <w:tab/>
            </w:r>
            <w:r>
              <w:rPr>
                <w:bCs/>
                <w:iCs/>
              </w:rPr>
              <w:t xml:space="preserve">Não cumprido o disposto na subcláusula anterior ou na hipótese de os referidos documentos não receberem a aprovação do Gerente do Contrato, cabe a este deduzir o valor fixado nos </w:t>
            </w:r>
            <w:r>
              <w:rPr>
                <w:b/>
                <w:bCs/>
                <w:iCs/>
              </w:rPr>
              <w:t>DDC</w:t>
            </w:r>
            <w:r>
              <w:rPr>
                <w:bCs/>
                <w:iCs/>
              </w:rPr>
              <w:t xml:space="preserve">, dos pagamentos a serem efetuados ao </w:t>
            </w:r>
            <w:r>
              <w:rPr>
                <w:b/>
                <w:bCs/>
                <w:iCs/>
              </w:rPr>
              <w:t>Contratado</w:t>
            </w:r>
            <w:r>
              <w:rPr>
                <w:bCs/>
                <w:iCs/>
              </w:rPr>
              <w:t>.</w:t>
            </w:r>
          </w:p>
        </w:tc>
      </w:tr>
      <w:tr w14:paraId="69BD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4E3E59D0">
            <w:pPr>
              <w:pStyle w:val="83"/>
            </w:pPr>
            <w:bookmarkStart w:id="623" w:name="_Toc174522888"/>
            <w:bookmarkStart w:id="624" w:name="_Toc138437127"/>
            <w:bookmarkStart w:id="625" w:name="_Toc99026013"/>
            <w:bookmarkStart w:id="626" w:name="_Toc20735973"/>
            <w:bookmarkStart w:id="627" w:name="_Toc56168348"/>
            <w:bookmarkStart w:id="628" w:name="_Toc153209070"/>
            <w:r>
              <w:t>57.</w:t>
            </w:r>
            <w:r>
              <w:tab/>
            </w:r>
            <w:r>
              <w:t>Rescisão</w:t>
            </w:r>
            <w:bookmarkEnd w:id="623"/>
            <w:bookmarkEnd w:id="624"/>
            <w:bookmarkEnd w:id="625"/>
            <w:bookmarkEnd w:id="626"/>
            <w:bookmarkEnd w:id="627"/>
            <w:bookmarkEnd w:id="628"/>
          </w:p>
        </w:tc>
        <w:tc>
          <w:tcPr>
            <w:tcW w:w="6753" w:type="dxa"/>
          </w:tcPr>
          <w:p w14:paraId="158FCB35">
            <w:pPr>
              <w:spacing w:before="120" w:after="120" w:line="240" w:lineRule="auto"/>
              <w:jc w:val="both"/>
              <w:rPr>
                <w:b/>
                <w:bCs/>
                <w:iCs/>
                <w:u w:val="single"/>
              </w:rPr>
            </w:pPr>
            <w:r>
              <w:rPr>
                <w:bCs/>
                <w:iCs/>
              </w:rPr>
              <w:tab/>
            </w:r>
            <w:r>
              <w:rPr>
                <w:b/>
                <w:bCs/>
                <w:iCs/>
                <w:u w:val="single"/>
              </w:rPr>
              <w:t>Pelo Contratante</w:t>
            </w:r>
          </w:p>
          <w:p w14:paraId="32A5C9A4">
            <w:pPr>
              <w:spacing w:before="120" w:after="120" w:line="240" w:lineRule="auto"/>
              <w:ind w:left="739" w:hanging="708"/>
              <w:jc w:val="both"/>
              <w:rPr>
                <w:bCs/>
                <w:iCs/>
              </w:rPr>
            </w:pPr>
            <w:r>
              <w:rPr>
                <w:bCs/>
                <w:iCs/>
              </w:rPr>
              <w:t>57.1</w:t>
            </w:r>
            <w:r>
              <w:rPr>
                <w:bCs/>
                <w:iCs/>
              </w:rPr>
              <w:tab/>
            </w:r>
            <w:r>
              <w:rPr>
                <w:bCs/>
                <w:iCs/>
              </w:rPr>
              <w:t xml:space="preserve">O Contrato pode ser rescindido uma vez constatado o descumprimento fundamental de obrigação decorrente do Contrato, assegurados o contraditório e a ampla defesa </w:t>
            </w:r>
            <w:r>
              <w:rPr>
                <w:iCs/>
                <w:lang w:val="pt-PT"/>
              </w:rPr>
              <w:t>mediante autorização escrita e fundamentada da autoridade competente do Contratante, com 30 (trinta) dias de antecedência</w:t>
            </w:r>
            <w:r>
              <w:rPr>
                <w:bCs/>
                <w:iCs/>
              </w:rPr>
              <w:t>.</w:t>
            </w:r>
          </w:p>
          <w:p w14:paraId="3FC6AF9D">
            <w:pPr>
              <w:spacing w:before="120" w:after="120" w:line="240" w:lineRule="auto"/>
              <w:ind w:left="739" w:hanging="708"/>
              <w:jc w:val="both"/>
              <w:rPr>
                <w:bCs/>
                <w:iCs/>
              </w:rPr>
            </w:pPr>
            <w:r>
              <w:rPr>
                <w:bCs/>
                <w:iCs/>
              </w:rPr>
              <w:t>57.2</w:t>
            </w:r>
            <w:r>
              <w:rPr>
                <w:bCs/>
                <w:iCs/>
              </w:rPr>
              <w:tab/>
            </w:r>
            <w:r>
              <w:rPr>
                <w:bCs/>
                <w:iCs/>
              </w:rPr>
              <w:t>Para as finalidades desta cláusula é considerado o não cumprimento fundamental:</w:t>
            </w:r>
          </w:p>
          <w:p w14:paraId="2699F305">
            <w:pPr>
              <w:spacing w:before="120" w:after="120" w:line="240" w:lineRule="auto"/>
              <w:ind w:left="1306" w:hanging="425"/>
              <w:jc w:val="both"/>
              <w:rPr>
                <w:bCs/>
                <w:iCs/>
              </w:rPr>
            </w:pPr>
            <w:r>
              <w:rPr>
                <w:bCs/>
                <w:iCs/>
              </w:rPr>
              <w:t>(a)</w:t>
            </w:r>
            <w:r>
              <w:rPr>
                <w:bCs/>
                <w:iCs/>
              </w:rPr>
              <w:tab/>
            </w:r>
            <w:r>
              <w:rPr>
                <w:bCs/>
                <w:iCs/>
              </w:rPr>
              <w:t>o não cumprimento ou cumprimento irregular de normas do edital ou de cláusulas contratuais, de especificações, de projetos ou de prazos;</w:t>
            </w:r>
          </w:p>
          <w:p w14:paraId="4E3DC28D">
            <w:pPr>
              <w:spacing w:before="120" w:after="120" w:line="240" w:lineRule="auto"/>
              <w:ind w:left="1306" w:hanging="425"/>
              <w:jc w:val="both"/>
              <w:rPr>
                <w:bCs/>
                <w:iCs/>
              </w:rPr>
            </w:pPr>
            <w:r>
              <w:rPr>
                <w:bCs/>
                <w:iCs/>
              </w:rPr>
              <w:t>(b)</w:t>
            </w:r>
            <w:r>
              <w:rPr>
                <w:bCs/>
                <w:iCs/>
              </w:rPr>
              <w:tab/>
            </w:r>
            <w:r>
              <w:rPr>
                <w:bCs/>
                <w:iCs/>
              </w:rPr>
              <w:t>o desatendimento das determinações regulares emitidas pela fiscalização;</w:t>
            </w:r>
          </w:p>
          <w:p w14:paraId="19A4B55E">
            <w:pPr>
              <w:spacing w:before="120" w:after="120" w:line="240" w:lineRule="auto"/>
              <w:ind w:left="1306" w:hanging="425"/>
              <w:jc w:val="both"/>
              <w:rPr>
                <w:bCs/>
                <w:iCs/>
              </w:rPr>
            </w:pPr>
            <w:r>
              <w:rPr>
                <w:bCs/>
                <w:iCs/>
              </w:rPr>
              <w:t>(c)</w:t>
            </w:r>
            <w:r>
              <w:rPr>
                <w:bCs/>
                <w:iCs/>
              </w:rPr>
              <w:tab/>
            </w:r>
            <w:r>
              <w:rPr>
                <w:bCs/>
                <w:iCs/>
              </w:rPr>
              <w:t xml:space="preserve">a interrupção da Obra pelo </w:t>
            </w:r>
            <w:r>
              <w:rPr>
                <w:b/>
                <w:bCs/>
                <w:iCs/>
              </w:rPr>
              <w:t>Contratado</w:t>
            </w:r>
            <w:r>
              <w:rPr>
                <w:bCs/>
                <w:iCs/>
              </w:rPr>
              <w:t xml:space="preserve"> por 30 dias sem que a paralisação tenha sido prevista no Cronograma e autorizada pelo Gerente do Contrato;</w:t>
            </w:r>
          </w:p>
          <w:p w14:paraId="7A199EF5">
            <w:pPr>
              <w:spacing w:before="120" w:after="120" w:line="240" w:lineRule="auto"/>
              <w:ind w:left="1306" w:hanging="425"/>
              <w:jc w:val="both"/>
              <w:rPr>
                <w:bCs/>
                <w:iCs/>
              </w:rPr>
            </w:pPr>
            <w:r>
              <w:rPr>
                <w:bCs/>
                <w:iCs/>
              </w:rPr>
              <w:t>(d)</w:t>
            </w:r>
            <w:r>
              <w:rPr>
                <w:bCs/>
                <w:iCs/>
              </w:rPr>
              <w:tab/>
            </w:r>
            <w:r>
              <w:rPr>
                <w:bCs/>
                <w:iCs/>
              </w:rPr>
              <w:t xml:space="preserve">o não cumprimento pelo </w:t>
            </w:r>
            <w:r>
              <w:rPr>
                <w:b/>
                <w:bCs/>
                <w:iCs/>
              </w:rPr>
              <w:t>Contratado</w:t>
            </w:r>
            <w:r>
              <w:rPr>
                <w:bCs/>
                <w:iCs/>
              </w:rPr>
              <w:t>, no prazo de 30 dias, de instrução no sentido de interromper as Obras;</w:t>
            </w:r>
          </w:p>
          <w:p w14:paraId="70B67A7B">
            <w:pPr>
              <w:spacing w:before="120" w:after="120" w:line="240" w:lineRule="auto"/>
              <w:ind w:left="1306" w:hanging="425"/>
              <w:jc w:val="both"/>
              <w:rPr>
                <w:bCs/>
                <w:iCs/>
              </w:rPr>
            </w:pPr>
            <w:r>
              <w:rPr>
                <w:bCs/>
                <w:iCs/>
              </w:rPr>
              <w:t>(e)</w:t>
            </w:r>
            <w:r>
              <w:rPr>
                <w:bCs/>
                <w:iCs/>
              </w:rPr>
              <w:tab/>
            </w:r>
            <w:r>
              <w:rPr>
                <w:bCs/>
                <w:iCs/>
              </w:rPr>
              <w:t xml:space="preserve">declaração da falência ou pedido de recuperação judicial ou de insolvência civil, ou dissolução da sociedade do </w:t>
            </w:r>
            <w:r>
              <w:rPr>
                <w:b/>
                <w:bCs/>
                <w:iCs/>
              </w:rPr>
              <w:t>Contratado</w:t>
            </w:r>
            <w:r>
              <w:rPr>
                <w:bCs/>
                <w:iCs/>
              </w:rPr>
              <w:t>;</w:t>
            </w:r>
          </w:p>
          <w:p w14:paraId="0DDFFEF8">
            <w:pPr>
              <w:spacing w:before="120" w:after="120" w:line="240" w:lineRule="auto"/>
              <w:ind w:left="1306" w:hanging="425"/>
              <w:jc w:val="both"/>
              <w:rPr>
                <w:bCs/>
                <w:iCs/>
              </w:rPr>
            </w:pPr>
            <w:r>
              <w:rPr>
                <w:bCs/>
                <w:iCs/>
              </w:rPr>
              <w:t>(f)</w:t>
            </w:r>
            <w:r>
              <w:rPr>
                <w:bCs/>
                <w:iCs/>
              </w:rPr>
              <w:tab/>
            </w:r>
            <w:r>
              <w:rPr>
                <w:bCs/>
                <w:iCs/>
              </w:rPr>
              <w:t xml:space="preserve">alteração social ou modificação da finalidade ou da estrutura do </w:t>
            </w:r>
            <w:r>
              <w:rPr>
                <w:b/>
                <w:bCs/>
                <w:iCs/>
              </w:rPr>
              <w:t>Contratado</w:t>
            </w:r>
            <w:r>
              <w:rPr>
                <w:bCs/>
                <w:iCs/>
              </w:rPr>
              <w:t xml:space="preserve"> que restrinja sua capacidade de concluir o contrato;</w:t>
            </w:r>
          </w:p>
          <w:p w14:paraId="016AF702">
            <w:pPr>
              <w:spacing w:before="120" w:after="120" w:line="240" w:lineRule="auto"/>
              <w:ind w:left="1306" w:hanging="425"/>
              <w:jc w:val="both"/>
              <w:rPr>
                <w:bCs/>
                <w:iCs/>
              </w:rPr>
            </w:pPr>
            <w:r>
              <w:rPr>
                <w:bCs/>
                <w:iCs/>
              </w:rPr>
              <w:t>(g)</w:t>
            </w:r>
            <w:r>
              <w:rPr>
                <w:bCs/>
                <w:iCs/>
              </w:rPr>
              <w:tab/>
            </w:r>
            <w:r>
              <w:rPr>
                <w:bCs/>
                <w:iCs/>
              </w:rPr>
              <w:t xml:space="preserve">o não pagamento, pelo </w:t>
            </w:r>
            <w:r>
              <w:rPr>
                <w:b/>
                <w:bCs/>
                <w:iCs/>
              </w:rPr>
              <w:t>Contratante,</w:t>
            </w:r>
            <w:r>
              <w:rPr>
                <w:bCs/>
                <w:iCs/>
              </w:rPr>
              <w:t xml:space="preserve"> no prazo de 60 dias contados da data de emissão do Certificado para Pagamento;</w:t>
            </w:r>
          </w:p>
          <w:p w14:paraId="3334363E">
            <w:pPr>
              <w:spacing w:before="120" w:after="120" w:line="240" w:lineRule="auto"/>
              <w:ind w:left="1306" w:hanging="425"/>
              <w:jc w:val="both"/>
              <w:rPr>
                <w:bCs/>
                <w:iCs/>
              </w:rPr>
            </w:pPr>
            <w:r>
              <w:rPr>
                <w:bCs/>
                <w:iCs/>
              </w:rPr>
              <w:t>(h)</w:t>
            </w:r>
            <w:r>
              <w:rPr>
                <w:bCs/>
                <w:iCs/>
              </w:rPr>
              <w:tab/>
            </w:r>
            <w:r>
              <w:rPr>
                <w:bCs/>
                <w:iCs/>
              </w:rPr>
              <w:t xml:space="preserve">omissão do </w:t>
            </w:r>
            <w:r>
              <w:rPr>
                <w:b/>
                <w:bCs/>
                <w:iCs/>
              </w:rPr>
              <w:t>Contratado</w:t>
            </w:r>
            <w:r>
              <w:rPr>
                <w:bCs/>
                <w:iCs/>
              </w:rPr>
              <w:t xml:space="preserve"> na correção de Defeitos, quando do recebimento da segunda notificação, uma vez que as correções efetuadas já efetuadas em decorrência de uma primeira notificação foram consideradas insatisfatórias;</w:t>
            </w:r>
          </w:p>
          <w:p w14:paraId="2EB6E5FB">
            <w:pPr>
              <w:spacing w:before="120" w:after="120" w:line="240" w:lineRule="auto"/>
              <w:ind w:left="1306" w:hanging="425"/>
              <w:jc w:val="both"/>
              <w:rPr>
                <w:bCs/>
                <w:iCs/>
              </w:rPr>
            </w:pPr>
            <w:r>
              <w:rPr>
                <w:bCs/>
                <w:iCs/>
              </w:rPr>
              <w:t>(i)</w:t>
            </w:r>
            <w:r>
              <w:rPr>
                <w:bCs/>
                <w:iCs/>
              </w:rPr>
              <w:tab/>
            </w:r>
            <w:r>
              <w:rPr>
                <w:bCs/>
                <w:iCs/>
              </w:rPr>
              <w:t xml:space="preserve">o montante das multas aplicadas pelo </w:t>
            </w:r>
            <w:r>
              <w:rPr>
                <w:b/>
                <w:bCs/>
                <w:iCs/>
              </w:rPr>
              <w:t>Contratante,</w:t>
            </w:r>
            <w:r>
              <w:rPr>
                <w:bCs/>
                <w:iCs/>
              </w:rPr>
              <w:t xml:space="preserve"> por atraso na execução das Obras exceda a 10% do Preço do Contrato;</w:t>
            </w:r>
          </w:p>
          <w:p w14:paraId="1C2211D4">
            <w:pPr>
              <w:spacing w:before="120" w:after="120" w:line="240" w:lineRule="auto"/>
              <w:ind w:left="1306" w:hanging="425"/>
              <w:jc w:val="both"/>
              <w:rPr>
                <w:bCs/>
                <w:iCs/>
              </w:rPr>
            </w:pPr>
            <w:r>
              <w:rPr>
                <w:bCs/>
                <w:iCs/>
              </w:rPr>
              <w:t>(j)</w:t>
            </w:r>
            <w:r>
              <w:rPr>
                <w:bCs/>
                <w:iCs/>
              </w:rPr>
              <w:tab/>
            </w:r>
            <w:r>
              <w:rPr>
                <w:bCs/>
                <w:iCs/>
              </w:rPr>
              <w:t xml:space="preserve">inobservância, pelo </w:t>
            </w:r>
            <w:r>
              <w:rPr>
                <w:b/>
                <w:bCs/>
                <w:iCs/>
              </w:rPr>
              <w:t>Contratado</w:t>
            </w:r>
            <w:r>
              <w:rPr>
                <w:bCs/>
                <w:iCs/>
              </w:rPr>
              <w:t>, de normas técnicas, ambientais, de segurança, da legislação trabalhista ou previdenciária;</w:t>
            </w:r>
          </w:p>
          <w:p w14:paraId="78F92C6C">
            <w:pPr>
              <w:spacing w:before="120" w:after="120" w:line="240" w:lineRule="auto"/>
              <w:ind w:left="1306" w:hanging="425"/>
              <w:jc w:val="both"/>
              <w:rPr>
                <w:bCs/>
                <w:iCs/>
              </w:rPr>
            </w:pPr>
            <w:r>
              <w:rPr>
                <w:bCs/>
                <w:iCs/>
              </w:rPr>
              <w:t>(k)</w:t>
            </w:r>
            <w:r>
              <w:rPr>
                <w:bCs/>
                <w:iCs/>
              </w:rPr>
              <w:tab/>
            </w:r>
            <w:r>
              <w:rPr>
                <w:bCs/>
                <w:iCs/>
              </w:rPr>
              <w:t xml:space="preserve">atraso na obtenção da licença ambiental quando de responsabilidade do </w:t>
            </w:r>
            <w:r>
              <w:rPr>
                <w:b/>
                <w:bCs/>
                <w:iCs/>
              </w:rPr>
              <w:t>Contratado</w:t>
            </w:r>
            <w:r>
              <w:rPr>
                <w:bCs/>
                <w:iCs/>
              </w:rPr>
              <w:t>, ou impossibilidade de obtê-la, ou alteração substancial do anteprojeto que dela resultar, ainda que obtida no prazo previsto;</w:t>
            </w:r>
          </w:p>
          <w:p w14:paraId="752C892E">
            <w:pPr>
              <w:spacing w:before="120" w:after="120" w:line="240" w:lineRule="auto"/>
              <w:ind w:left="1306" w:hanging="425"/>
              <w:jc w:val="both"/>
              <w:rPr>
                <w:bCs/>
                <w:iCs/>
              </w:rPr>
            </w:pPr>
            <w:r>
              <w:rPr>
                <w:bCs/>
                <w:iCs/>
              </w:rPr>
              <w:t>(l)</w:t>
            </w:r>
            <w:r>
              <w:rPr>
                <w:bCs/>
                <w:iCs/>
              </w:rPr>
              <w:tab/>
            </w:r>
            <w:r>
              <w:rPr>
                <w:bCs/>
                <w:iCs/>
              </w:rPr>
              <w:t xml:space="preserve">atraso na liberação das áreas sujeitas a desapropriação, a desocupação, ou impossibilidade de liberação dessas áreas, quando de responsabilidade do </w:t>
            </w:r>
            <w:r>
              <w:rPr>
                <w:b/>
                <w:bCs/>
                <w:iCs/>
              </w:rPr>
              <w:t>Contratado</w:t>
            </w:r>
            <w:r>
              <w:rPr>
                <w:bCs/>
                <w:iCs/>
              </w:rPr>
              <w:t>;</w:t>
            </w:r>
          </w:p>
          <w:p w14:paraId="562830D6">
            <w:pPr>
              <w:spacing w:before="120" w:after="120" w:line="240" w:lineRule="auto"/>
              <w:ind w:left="1306" w:hanging="425"/>
              <w:jc w:val="both"/>
              <w:rPr>
                <w:bCs/>
                <w:iCs/>
              </w:rPr>
            </w:pPr>
            <w:r>
              <w:rPr>
                <w:bCs/>
                <w:iCs/>
              </w:rPr>
              <w:t>(m)</w:t>
            </w:r>
            <w:r>
              <w:rPr>
                <w:bCs/>
                <w:iCs/>
              </w:rPr>
              <w:tab/>
            </w:r>
            <w:r>
              <w:rPr>
                <w:bCs/>
                <w:iCs/>
              </w:rPr>
              <w:t>não cumprimento das obrigações relativas à reserva de cargos prevista em lei, bem como em outras normas específicas, para pessoa com deficiência, para reabilitado da Previdência Social ou para aprendiz;</w:t>
            </w:r>
          </w:p>
          <w:p w14:paraId="7B37FA3D">
            <w:pPr>
              <w:spacing w:before="120" w:after="120" w:line="240" w:lineRule="auto"/>
              <w:ind w:left="1306" w:hanging="425"/>
              <w:jc w:val="both"/>
              <w:rPr>
                <w:bCs/>
                <w:iCs/>
              </w:rPr>
            </w:pPr>
            <w:r>
              <w:rPr>
                <w:bCs/>
                <w:iCs/>
              </w:rPr>
              <w:t>(n)</w:t>
            </w:r>
            <w:r>
              <w:rPr>
                <w:bCs/>
                <w:iCs/>
              </w:rPr>
              <w:tab/>
            </w:r>
            <w:r>
              <w:rPr>
                <w:bCs/>
                <w:iCs/>
              </w:rPr>
              <w:t>caso fortuito ou força maior, regularmente comprovados, impeditivos da execução do contrato;</w:t>
            </w:r>
          </w:p>
          <w:p w14:paraId="651E53AF">
            <w:pPr>
              <w:spacing w:before="120" w:after="120" w:line="240" w:lineRule="auto"/>
              <w:ind w:left="1306" w:hanging="425"/>
              <w:jc w:val="both"/>
              <w:rPr>
                <w:bCs/>
                <w:iCs/>
              </w:rPr>
            </w:pPr>
            <w:r>
              <w:rPr>
                <w:bCs/>
                <w:iCs/>
              </w:rPr>
              <w:t>(o)</w:t>
            </w:r>
            <w:r>
              <w:rPr>
                <w:bCs/>
                <w:iCs/>
              </w:rPr>
              <w:tab/>
            </w:r>
            <w:r>
              <w:rPr>
                <w:bCs/>
                <w:iCs/>
              </w:rPr>
              <w:t xml:space="preserve">a multa de mora para o atraso injustificado ultrapassar o montante indicado nos </w:t>
            </w:r>
            <w:r>
              <w:rPr>
                <w:b/>
                <w:bCs/>
                <w:iCs/>
              </w:rPr>
              <w:t>DDC</w:t>
            </w:r>
            <w:r>
              <w:rPr>
                <w:bCs/>
                <w:iCs/>
              </w:rPr>
              <w:t xml:space="preserve">; </w:t>
            </w:r>
            <w:r>
              <w:rPr>
                <w:iCs/>
                <w:lang w:val="pt-PT"/>
              </w:rPr>
              <w:t>e</w:t>
            </w:r>
          </w:p>
          <w:p w14:paraId="7484A87F">
            <w:pPr>
              <w:spacing w:before="120" w:after="120" w:line="240" w:lineRule="auto"/>
              <w:ind w:left="1306" w:hanging="425"/>
              <w:jc w:val="both"/>
              <w:rPr>
                <w:bCs/>
                <w:iCs/>
              </w:rPr>
            </w:pPr>
            <w:bookmarkStart w:id="629" w:name="_Hlk139287783"/>
            <w:r>
              <w:rPr>
                <w:bCs/>
                <w:iCs/>
              </w:rPr>
              <w:t>(p)</w:t>
            </w:r>
            <w:r>
              <w:rPr>
                <w:bCs/>
                <w:iCs/>
              </w:rPr>
              <w:tab/>
            </w:r>
            <w:r>
              <w:rPr>
                <w:bCs/>
                <w:iCs/>
              </w:rPr>
              <w:t xml:space="preserve">outros casos indicados nos </w:t>
            </w:r>
            <w:r>
              <w:rPr>
                <w:b/>
                <w:bCs/>
                <w:iCs/>
              </w:rPr>
              <w:t>DDC</w:t>
            </w:r>
            <w:r>
              <w:rPr>
                <w:bCs/>
                <w:iCs/>
              </w:rPr>
              <w:t>.</w:t>
            </w:r>
          </w:p>
          <w:bookmarkEnd w:id="629"/>
          <w:p w14:paraId="10F57253">
            <w:pPr>
              <w:spacing w:before="120" w:after="120" w:line="240" w:lineRule="auto"/>
              <w:ind w:left="739" w:hanging="708"/>
              <w:jc w:val="both"/>
              <w:rPr>
                <w:bCs/>
                <w:iCs/>
              </w:rPr>
            </w:pPr>
            <w:r>
              <w:rPr>
                <w:bCs/>
                <w:iCs/>
              </w:rPr>
              <w:t>57.3</w:t>
            </w:r>
            <w:r>
              <w:rPr>
                <w:bCs/>
                <w:iCs/>
              </w:rPr>
              <w:tab/>
            </w:r>
            <w:r>
              <w:rPr>
                <w:bCs/>
                <w:iCs/>
              </w:rPr>
              <w:t xml:space="preserve">O </w:t>
            </w:r>
            <w:r>
              <w:rPr>
                <w:b/>
                <w:bCs/>
                <w:iCs/>
              </w:rPr>
              <w:t>Contratante</w:t>
            </w:r>
            <w:r>
              <w:rPr>
                <w:bCs/>
                <w:iCs/>
              </w:rPr>
              <w:t xml:space="preserve"> pode, também, a seu juízo, rescindir este Contrato, no todo ou em parte, caso o </w:t>
            </w:r>
            <w:r>
              <w:rPr>
                <w:b/>
                <w:bCs/>
                <w:iCs/>
              </w:rPr>
              <w:t>Contratado</w:t>
            </w:r>
            <w:r>
              <w:rPr>
                <w:bCs/>
                <w:iCs/>
              </w:rPr>
              <w:t xml:space="preserve"> tenha se envolvido em práticas proibidas.</w:t>
            </w:r>
          </w:p>
          <w:p w14:paraId="6A738D24">
            <w:pPr>
              <w:spacing w:before="120" w:after="120" w:line="240" w:lineRule="auto"/>
              <w:jc w:val="both"/>
              <w:rPr>
                <w:b/>
                <w:bCs/>
                <w:iCs/>
                <w:u w:val="single"/>
              </w:rPr>
            </w:pPr>
            <w:r>
              <w:rPr>
                <w:bCs/>
                <w:iCs/>
              </w:rPr>
              <w:tab/>
            </w:r>
            <w:r>
              <w:rPr>
                <w:b/>
                <w:bCs/>
                <w:iCs/>
                <w:u w:val="single"/>
              </w:rPr>
              <w:t>Pelo Contratado</w:t>
            </w:r>
          </w:p>
          <w:p w14:paraId="61E814DE">
            <w:pPr>
              <w:spacing w:before="120" w:after="120" w:line="240" w:lineRule="auto"/>
              <w:ind w:left="739" w:hanging="708"/>
              <w:jc w:val="both"/>
              <w:rPr>
                <w:bCs/>
                <w:iCs/>
              </w:rPr>
            </w:pPr>
            <w:r>
              <w:rPr>
                <w:bCs/>
                <w:iCs/>
              </w:rPr>
              <w:t>57.4</w:t>
            </w:r>
            <w:r>
              <w:rPr>
                <w:bCs/>
                <w:iCs/>
              </w:rPr>
              <w:tab/>
            </w:r>
            <w:r>
              <w:rPr>
                <w:bCs/>
                <w:iCs/>
              </w:rPr>
              <w:t xml:space="preserve">O </w:t>
            </w:r>
            <w:r>
              <w:rPr>
                <w:b/>
                <w:bCs/>
                <w:iCs/>
              </w:rPr>
              <w:t>Contratado</w:t>
            </w:r>
            <w:r>
              <w:rPr>
                <w:bCs/>
                <w:iCs/>
              </w:rPr>
              <w:t xml:space="preserve"> terá direito à rescisão do contrato nas seguintes hipóteses: </w:t>
            </w:r>
          </w:p>
          <w:p w14:paraId="1A0F3426">
            <w:pPr>
              <w:spacing w:before="120" w:after="120" w:line="240" w:lineRule="auto"/>
              <w:ind w:left="1306" w:hanging="425"/>
              <w:jc w:val="both"/>
              <w:rPr>
                <w:bCs/>
                <w:iCs/>
              </w:rPr>
            </w:pPr>
            <w:r>
              <w:rPr>
                <w:bCs/>
                <w:iCs/>
              </w:rPr>
              <w:t>(a)</w:t>
            </w:r>
            <w:r>
              <w:rPr>
                <w:bCs/>
                <w:iCs/>
              </w:rPr>
              <w:tab/>
            </w:r>
            <w:r>
              <w:rPr>
                <w:bCs/>
                <w:iCs/>
              </w:rPr>
              <w:t xml:space="preserve">supressão, por parte do </w:t>
            </w:r>
            <w:r>
              <w:rPr>
                <w:b/>
                <w:bCs/>
                <w:iCs/>
              </w:rPr>
              <w:t>Contratante</w:t>
            </w:r>
            <w:r>
              <w:rPr>
                <w:bCs/>
                <w:iCs/>
              </w:rPr>
              <w:t>, de obras, serviços ou compras que acarrete modificação do valor inicial do contrato além de 25% do valor inicial atualizado do contrato;</w:t>
            </w:r>
          </w:p>
          <w:p w14:paraId="50E89B65">
            <w:pPr>
              <w:spacing w:before="120" w:after="120" w:line="240" w:lineRule="auto"/>
              <w:ind w:left="1306" w:hanging="425"/>
              <w:jc w:val="both"/>
              <w:rPr>
                <w:bCs/>
                <w:iCs/>
              </w:rPr>
            </w:pPr>
            <w:r>
              <w:rPr>
                <w:bCs/>
                <w:iCs/>
              </w:rPr>
              <w:t>(b)</w:t>
            </w:r>
            <w:r>
              <w:rPr>
                <w:bCs/>
                <w:iCs/>
              </w:rPr>
              <w:tab/>
            </w:r>
            <w:r>
              <w:rPr>
                <w:bCs/>
                <w:iCs/>
              </w:rPr>
              <w:t xml:space="preserve">suspensão de execução do contrato, por ordem escrita do </w:t>
            </w:r>
            <w:r>
              <w:rPr>
                <w:b/>
                <w:bCs/>
                <w:iCs/>
              </w:rPr>
              <w:t>Contratante</w:t>
            </w:r>
            <w:r>
              <w:rPr>
                <w:bCs/>
                <w:iCs/>
              </w:rPr>
              <w:t xml:space="preserve">, </w:t>
            </w:r>
            <w:r>
              <w:rPr>
                <w:bCs/>
                <w:iCs/>
                <w:u w:val="single"/>
              </w:rPr>
              <w:t>por</w:t>
            </w:r>
            <w:r>
              <w:rPr>
                <w:bCs/>
                <w:iCs/>
              </w:rPr>
              <w:t xml:space="preserve"> prazo superior a três meses;</w:t>
            </w:r>
          </w:p>
          <w:p w14:paraId="7425F0A7">
            <w:pPr>
              <w:spacing w:before="120" w:after="120" w:line="240" w:lineRule="auto"/>
              <w:ind w:left="1306" w:hanging="425"/>
              <w:jc w:val="both"/>
              <w:rPr>
                <w:bCs/>
                <w:iCs/>
              </w:rPr>
            </w:pPr>
            <w:r>
              <w:rPr>
                <w:bCs/>
                <w:iCs/>
              </w:rPr>
              <w:t>(c)</w:t>
            </w:r>
            <w:r>
              <w:rPr>
                <w:bCs/>
                <w:iCs/>
              </w:rPr>
              <w:tab/>
            </w:r>
            <w:r>
              <w:rPr>
                <w:bCs/>
                <w:iCs/>
              </w:rPr>
              <w:t>repetidas suspensões que totalizem 90 dias úteis, independentemente do pagamento obrigatório de indenização pelas sucessivas e contratualmente imprevistas desmobilizações e mobilizações e outras previstas;</w:t>
            </w:r>
          </w:p>
          <w:p w14:paraId="7FD3AD12">
            <w:pPr>
              <w:spacing w:before="120" w:after="120" w:line="240" w:lineRule="auto"/>
              <w:ind w:left="1306" w:hanging="425"/>
              <w:jc w:val="both"/>
              <w:rPr>
                <w:bCs/>
                <w:iCs/>
              </w:rPr>
            </w:pPr>
            <w:r>
              <w:rPr>
                <w:bCs/>
                <w:iCs/>
              </w:rPr>
              <w:t>(d)</w:t>
            </w:r>
            <w:r>
              <w:rPr>
                <w:bCs/>
                <w:iCs/>
              </w:rPr>
              <w:tab/>
            </w:r>
            <w:r>
              <w:rPr>
                <w:bCs/>
                <w:iCs/>
              </w:rPr>
              <w:t xml:space="preserve">atraso superior a </w:t>
            </w:r>
            <w:r>
              <w:rPr>
                <w:rFonts w:hint="default"/>
                <w:iCs/>
                <w:lang w:val="pt-BR"/>
              </w:rPr>
              <w:t>2</w:t>
            </w:r>
            <w:r>
              <w:rPr>
                <w:iCs/>
                <w:lang w:val="pt-PT"/>
              </w:rPr>
              <w:t xml:space="preserve"> (</w:t>
            </w:r>
            <w:r>
              <w:rPr>
                <w:rFonts w:hint="default"/>
                <w:iCs/>
                <w:lang w:val="pt-BR"/>
              </w:rPr>
              <w:t>dois</w:t>
            </w:r>
            <w:r>
              <w:rPr>
                <w:iCs/>
                <w:lang w:val="pt-PT"/>
              </w:rPr>
              <w:t>)</w:t>
            </w:r>
            <w:r>
              <w:rPr>
                <w:iCs/>
              </w:rPr>
              <w:t xml:space="preserve"> </w:t>
            </w:r>
            <w:r>
              <w:rPr>
                <w:rFonts w:hint="default"/>
                <w:iCs/>
                <w:lang w:val="pt-BR"/>
              </w:rPr>
              <w:t>meses</w:t>
            </w:r>
            <w:r>
              <w:rPr>
                <w:bCs/>
                <w:iCs/>
              </w:rPr>
              <w:t xml:space="preserve">, contado da emissão da nota fiscal, dos pagamentos ou de parcelas de pagamentos devidos pelo </w:t>
            </w:r>
            <w:r>
              <w:rPr>
                <w:b/>
                <w:bCs/>
                <w:iCs/>
              </w:rPr>
              <w:t>Contratante</w:t>
            </w:r>
            <w:r>
              <w:rPr>
                <w:bCs/>
                <w:iCs/>
              </w:rPr>
              <w:t xml:space="preserve"> por despesas de obras, serviços ou fornecimentos; e</w:t>
            </w:r>
          </w:p>
          <w:p w14:paraId="6120A624">
            <w:pPr>
              <w:spacing w:before="120" w:after="120" w:line="240" w:lineRule="auto"/>
              <w:ind w:left="1306" w:hanging="425"/>
              <w:jc w:val="both"/>
              <w:rPr>
                <w:bCs/>
                <w:iCs/>
              </w:rPr>
            </w:pPr>
            <w:r>
              <w:rPr>
                <w:bCs/>
                <w:iCs/>
              </w:rPr>
              <w:t>(e)</w:t>
            </w:r>
            <w:r>
              <w:rPr>
                <w:bCs/>
                <w:iCs/>
              </w:rPr>
              <w:tab/>
            </w:r>
            <w:r>
              <w:rPr>
                <w:bCs/>
                <w:iCs/>
              </w:rPr>
              <w:t xml:space="preserve">não liberação pelo </w:t>
            </w:r>
            <w:r>
              <w:rPr>
                <w:b/>
                <w:bCs/>
                <w:iCs/>
              </w:rPr>
              <w:t>Contratante</w:t>
            </w:r>
            <w:r>
              <w:rPr>
                <w:bCs/>
                <w:iCs/>
              </w:rPr>
              <w:t xml:space="preserve">, nos prazos contratuais, de área, local ou objeto, para execução de obra, serviço ou fornecimento, e de fontes de materiais naturais especificadas no projeto, inclusive devido a atraso ou descumprimento das obrigações atribuídas pelo contrato ao </w:t>
            </w:r>
            <w:r>
              <w:rPr>
                <w:b/>
                <w:bCs/>
                <w:iCs/>
              </w:rPr>
              <w:t>Contratante</w:t>
            </w:r>
            <w:r>
              <w:rPr>
                <w:bCs/>
                <w:iCs/>
              </w:rPr>
              <w:t xml:space="preserve"> relacionadas a desapropriação, a desocupação de áreas públicas ou a licenciamento ambiental.</w:t>
            </w:r>
          </w:p>
          <w:p w14:paraId="50014E00">
            <w:pPr>
              <w:spacing w:before="120" w:after="120" w:line="240" w:lineRule="auto"/>
              <w:ind w:left="739" w:hanging="708"/>
              <w:jc w:val="both"/>
              <w:rPr>
                <w:bCs/>
                <w:iCs/>
              </w:rPr>
            </w:pPr>
            <w:r>
              <w:rPr>
                <w:bCs/>
                <w:iCs/>
              </w:rPr>
              <w:t>57.5</w:t>
            </w:r>
            <w:r>
              <w:rPr>
                <w:bCs/>
                <w:iCs/>
              </w:rPr>
              <w:tab/>
            </w:r>
            <w:r>
              <w:rPr>
                <w:bCs/>
                <w:iCs/>
              </w:rPr>
              <w:t>Quando qualquer uma das partes notificar ao Gerente do Contrato, inadimplência diversa das relacionadas nas subcláusulas 57.2 a 57.4 das CGC, caberá ao Gerente do Contrato decidir se o ato ou fato notificado se constitui motivo de rescisão.</w:t>
            </w:r>
          </w:p>
          <w:p w14:paraId="60D817A5">
            <w:pPr>
              <w:spacing w:before="120" w:after="120" w:line="240" w:lineRule="auto"/>
              <w:ind w:left="601" w:hanging="567"/>
              <w:jc w:val="both"/>
            </w:pPr>
            <w:r>
              <w:rPr>
                <w:bCs/>
                <w:iCs/>
              </w:rPr>
              <w:t>57.6</w:t>
            </w:r>
            <w:r>
              <w:rPr>
                <w:bCs/>
                <w:iCs/>
              </w:rPr>
              <w:tab/>
            </w:r>
            <w:r>
              <w:rPr>
                <w:bCs/>
                <w:iCs/>
              </w:rPr>
              <w:t xml:space="preserve">Não obstante o disposto nas subcláusulas 57.1 a 57.5 das CGC, o </w:t>
            </w:r>
            <w:r>
              <w:rPr>
                <w:b/>
                <w:bCs/>
                <w:iCs/>
              </w:rPr>
              <w:t>Contratant</w:t>
            </w:r>
            <w:r>
              <w:rPr>
                <w:bCs/>
                <w:iCs/>
              </w:rPr>
              <w:t xml:space="preserve">e pode rescindir o Contrato por razões de interesse público, justificadas pela autoridade máxima do </w:t>
            </w:r>
            <w:r>
              <w:rPr>
                <w:b/>
                <w:bCs/>
                <w:iCs/>
              </w:rPr>
              <w:t>Contratante</w:t>
            </w:r>
            <w:r>
              <w:rPr>
                <w:bCs/>
                <w:iCs/>
              </w:rPr>
              <w:t xml:space="preserve"> </w:t>
            </w:r>
            <w:r>
              <w:rPr>
                <w:rStyle w:val="92"/>
              </w:rPr>
              <w:t>e conforme o estabelecido nos DDC.</w:t>
            </w:r>
          </w:p>
          <w:p w14:paraId="51209253">
            <w:pPr>
              <w:spacing w:before="120" w:after="120" w:line="240" w:lineRule="auto"/>
              <w:ind w:left="601" w:hanging="567"/>
              <w:jc w:val="both"/>
            </w:pPr>
            <w:r>
              <w:rPr>
                <w:iCs/>
                <w:lang w:val="pt-PT"/>
              </w:rPr>
              <w:t>57.7</w:t>
            </w:r>
            <w:r>
              <w:rPr>
                <w:bCs/>
                <w:iCs/>
              </w:rPr>
              <w:tab/>
            </w:r>
            <w:r>
              <w:rPr>
                <w:bCs/>
                <w:iCs/>
              </w:rPr>
              <w:t xml:space="preserve">Na hipótese do Contrato ser rescindido, o </w:t>
            </w:r>
            <w:r>
              <w:rPr>
                <w:b/>
                <w:bCs/>
                <w:iCs/>
              </w:rPr>
              <w:t>Contratado</w:t>
            </w:r>
            <w:r>
              <w:rPr>
                <w:bCs/>
                <w:iCs/>
              </w:rPr>
              <w:t xml:space="preserve"> deverá paralisar as Obras imediatamente, tornando o Local das Obras seguro e liberando-o tão logo seja possível.</w:t>
            </w:r>
          </w:p>
        </w:tc>
      </w:tr>
      <w:tr w14:paraId="023A1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8EAC32F">
            <w:pPr>
              <w:pStyle w:val="83"/>
            </w:pPr>
            <w:bookmarkStart w:id="630" w:name="_Toc99026014"/>
            <w:bookmarkStart w:id="631" w:name="_Toc56168349"/>
            <w:bookmarkStart w:id="632" w:name="_Toc138437128"/>
            <w:bookmarkStart w:id="633" w:name="_Toc174522889"/>
            <w:bookmarkStart w:id="634" w:name="_Toc153209071"/>
            <w:bookmarkStart w:id="635" w:name="_Toc20735974"/>
            <w:r>
              <w:t>58.</w:t>
            </w:r>
            <w:r>
              <w:tab/>
            </w:r>
            <w:r>
              <w:t>Pagamento quando da Rescisão Contratual</w:t>
            </w:r>
            <w:bookmarkEnd w:id="630"/>
            <w:bookmarkEnd w:id="631"/>
            <w:bookmarkEnd w:id="632"/>
            <w:bookmarkEnd w:id="633"/>
            <w:bookmarkEnd w:id="634"/>
            <w:bookmarkEnd w:id="635"/>
          </w:p>
        </w:tc>
        <w:tc>
          <w:tcPr>
            <w:tcW w:w="6753" w:type="dxa"/>
          </w:tcPr>
          <w:p w14:paraId="43B306A3">
            <w:pPr>
              <w:spacing w:before="120" w:after="120" w:line="240" w:lineRule="auto"/>
              <w:ind w:left="739" w:hanging="708"/>
              <w:jc w:val="both"/>
              <w:rPr>
                <w:bCs/>
                <w:iCs/>
              </w:rPr>
            </w:pPr>
            <w:r>
              <w:rPr>
                <w:bCs/>
                <w:iCs/>
              </w:rPr>
              <w:t>58.1</w:t>
            </w:r>
            <w:r>
              <w:rPr>
                <w:bCs/>
                <w:iCs/>
              </w:rPr>
              <w:tab/>
            </w:r>
            <w:r>
              <w:rPr>
                <w:bCs/>
                <w:iCs/>
              </w:rPr>
              <w:t xml:space="preserve">Caso o Contrato seja rescindido em virtude do não cumprimento fundamental do </w:t>
            </w:r>
            <w:r>
              <w:rPr>
                <w:b/>
                <w:bCs/>
                <w:iCs/>
              </w:rPr>
              <w:t>Contratado</w:t>
            </w:r>
            <w:r>
              <w:rPr>
                <w:bCs/>
                <w:iCs/>
              </w:rPr>
              <w:t xml:space="preserve">, o Gerente do Contrato deverá fazer um balanço considerando o montante de serviços executados e de materiais encomendados, deduzidos os adiantamentos recebidos até a data de efetivação do balanço.  Não haverá incidência de multas complementares.  Caso o total devido ao </w:t>
            </w:r>
            <w:r>
              <w:rPr>
                <w:b/>
                <w:bCs/>
                <w:iCs/>
              </w:rPr>
              <w:t>Contratante</w:t>
            </w:r>
            <w:r>
              <w:rPr>
                <w:bCs/>
                <w:iCs/>
              </w:rPr>
              <w:t xml:space="preserve"> exceda eventuais créditos ainda devidos ao </w:t>
            </w:r>
            <w:r>
              <w:rPr>
                <w:b/>
                <w:bCs/>
                <w:iCs/>
              </w:rPr>
              <w:t>Contratado</w:t>
            </w:r>
            <w:r>
              <w:rPr>
                <w:bCs/>
                <w:iCs/>
              </w:rPr>
              <w:t>, deverá ser lavrado, de imediato, o competente instrumento de confissão de dívida, devidamente assinado por duas testemunhas.</w:t>
            </w:r>
          </w:p>
          <w:p w14:paraId="19636F6B">
            <w:pPr>
              <w:spacing w:before="120" w:after="120" w:line="240" w:lineRule="auto"/>
              <w:ind w:left="1020" w:hanging="708"/>
              <w:jc w:val="both"/>
              <w:rPr>
                <w:iCs/>
                <w:lang w:val="pt-PT"/>
              </w:rPr>
            </w:pPr>
            <w:r>
              <w:rPr>
                <w:iCs/>
                <w:lang w:val="pt-PT"/>
              </w:rPr>
              <w:t>58.1.1</w:t>
            </w:r>
            <w:r>
              <w:rPr>
                <w:bCs/>
                <w:iCs/>
              </w:rPr>
              <w:tab/>
            </w:r>
            <w:r>
              <w:rPr>
                <w:iCs/>
                <w:lang w:val="pt-PT"/>
              </w:rPr>
              <w:t>Na hipótese de rescisão, as Partes devem observar os procedimentos e as consequências previstos em lei e no Contrato, inclusive quanto à responsabilidade pelos pagamentos conforme o balanço acima referido e ao ressarcimento de despesas diretas e indiretamente incorridas pelo Contratado até a data da rescisão.</w:t>
            </w:r>
          </w:p>
          <w:p w14:paraId="556051DA">
            <w:pPr>
              <w:spacing w:before="120" w:after="120" w:line="240" w:lineRule="auto"/>
              <w:ind w:left="739" w:hanging="708"/>
              <w:jc w:val="both"/>
              <w:rPr>
                <w:bCs/>
                <w:iCs/>
              </w:rPr>
            </w:pPr>
            <w:r>
              <w:rPr>
                <w:bCs/>
                <w:iCs/>
              </w:rPr>
              <w:t>58.2</w:t>
            </w:r>
            <w:r>
              <w:rPr>
                <w:bCs/>
                <w:iCs/>
              </w:rPr>
              <w:tab/>
            </w:r>
            <w:r>
              <w:rPr>
                <w:bCs/>
                <w:iCs/>
              </w:rPr>
              <w:t xml:space="preserve">No caso de inexecução contratual o </w:t>
            </w:r>
            <w:r>
              <w:rPr>
                <w:b/>
                <w:bCs/>
                <w:iCs/>
              </w:rPr>
              <w:t>Contratante</w:t>
            </w:r>
            <w:r>
              <w:rPr>
                <w:bCs/>
                <w:iCs/>
              </w:rPr>
              <w:t xml:space="preserve"> fará a instauração do devido processo legal remetendo à autoridade competente para deflagração deste e com a devida notificação ao </w:t>
            </w:r>
            <w:r>
              <w:rPr>
                <w:b/>
                <w:bCs/>
                <w:iCs/>
              </w:rPr>
              <w:t>Contratado</w:t>
            </w:r>
            <w:r>
              <w:rPr>
                <w:bCs/>
                <w:iCs/>
              </w:rPr>
              <w:t xml:space="preserve"> para defesa (contraditório e ampla defesa) e a decisão final.</w:t>
            </w:r>
          </w:p>
          <w:p w14:paraId="65279D89">
            <w:pPr>
              <w:spacing w:before="120" w:after="120" w:line="240" w:lineRule="auto"/>
              <w:ind w:left="739" w:hanging="708"/>
              <w:jc w:val="both"/>
              <w:rPr>
                <w:bCs/>
                <w:iCs/>
              </w:rPr>
            </w:pPr>
            <w:r>
              <w:rPr>
                <w:bCs/>
                <w:iCs/>
              </w:rPr>
              <w:t>58.3</w:t>
            </w:r>
            <w:r>
              <w:rPr>
                <w:bCs/>
                <w:iCs/>
              </w:rPr>
              <w:tab/>
            </w:r>
            <w:r>
              <w:rPr>
                <w:bCs/>
                <w:iCs/>
              </w:rPr>
              <w:t xml:space="preserve">Caso o Contrato seja rescindido por conveniência do </w:t>
            </w:r>
            <w:r>
              <w:rPr>
                <w:b/>
                <w:bCs/>
                <w:iCs/>
              </w:rPr>
              <w:t>Contratante</w:t>
            </w:r>
            <w:r>
              <w:rPr>
                <w:bCs/>
                <w:iCs/>
              </w:rPr>
              <w:t xml:space="preserve"> ou pelo não cumprimento fundamental atribuído ao </w:t>
            </w:r>
            <w:r>
              <w:rPr>
                <w:b/>
                <w:bCs/>
                <w:iCs/>
              </w:rPr>
              <w:t>Contratante</w:t>
            </w:r>
            <w:r>
              <w:rPr>
                <w:bCs/>
                <w:iCs/>
              </w:rPr>
              <w:t xml:space="preserve">, o Gerente do Contrato deverá efetuar um balanço referente ao valor do serviço executado, materiais encomendados, desmobilização do pessoal e equipamentos do </w:t>
            </w:r>
            <w:r>
              <w:rPr>
                <w:b/>
                <w:bCs/>
                <w:iCs/>
              </w:rPr>
              <w:t>Contratado</w:t>
            </w:r>
            <w:r>
              <w:rPr>
                <w:bCs/>
                <w:iCs/>
              </w:rPr>
              <w:t xml:space="preserve"> empregados exclusivamente nas Obras.</w:t>
            </w:r>
          </w:p>
        </w:tc>
      </w:tr>
      <w:tr w14:paraId="30B21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02467D2F">
            <w:pPr>
              <w:pStyle w:val="83"/>
            </w:pPr>
            <w:bookmarkStart w:id="636" w:name="_Toc20735975"/>
            <w:bookmarkStart w:id="637" w:name="_Toc153209072"/>
            <w:bookmarkStart w:id="638" w:name="_Toc174522890"/>
            <w:bookmarkStart w:id="639" w:name="_Toc138437129"/>
            <w:bookmarkStart w:id="640" w:name="_Toc99026015"/>
            <w:bookmarkStart w:id="641" w:name="_Toc56168350"/>
            <w:r>
              <w:t>59.</w:t>
            </w:r>
            <w:r>
              <w:tab/>
            </w:r>
            <w:r>
              <w:t>Propriedade</w:t>
            </w:r>
            <w:bookmarkEnd w:id="636"/>
            <w:bookmarkEnd w:id="637"/>
            <w:bookmarkEnd w:id="638"/>
            <w:bookmarkEnd w:id="639"/>
            <w:bookmarkEnd w:id="640"/>
            <w:bookmarkEnd w:id="641"/>
          </w:p>
        </w:tc>
        <w:tc>
          <w:tcPr>
            <w:tcW w:w="6753" w:type="dxa"/>
          </w:tcPr>
          <w:p w14:paraId="03FA3B21">
            <w:pPr>
              <w:spacing w:before="120" w:after="120" w:line="240" w:lineRule="auto"/>
              <w:ind w:left="739" w:hanging="708"/>
              <w:jc w:val="both"/>
              <w:rPr>
                <w:bCs/>
                <w:iCs/>
              </w:rPr>
            </w:pPr>
            <w:r>
              <w:rPr>
                <w:bCs/>
                <w:iCs/>
              </w:rPr>
              <w:t>59.1</w:t>
            </w:r>
            <w:r>
              <w:rPr>
                <w:bCs/>
                <w:iCs/>
              </w:rPr>
              <w:tab/>
            </w:r>
            <w:r>
              <w:rPr>
                <w:bCs/>
                <w:iCs/>
              </w:rPr>
              <w:t xml:space="preserve">Na hipótese do Contrato ser rescindido por negligência do </w:t>
            </w:r>
            <w:r>
              <w:rPr>
                <w:b/>
                <w:bCs/>
                <w:iCs/>
              </w:rPr>
              <w:t>Contratado</w:t>
            </w:r>
            <w:r>
              <w:rPr>
                <w:bCs/>
                <w:iCs/>
              </w:rPr>
              <w:t xml:space="preserve">, todos os Materiais do Local das Obras, Canteiro de Obras, Equipamento, Obras Provisórias e Finalizadas serão consideradas de propriedade do </w:t>
            </w:r>
            <w:r>
              <w:rPr>
                <w:b/>
                <w:bCs/>
                <w:iCs/>
              </w:rPr>
              <w:t>Contratante</w:t>
            </w:r>
            <w:r>
              <w:rPr>
                <w:bCs/>
                <w:iCs/>
              </w:rPr>
              <w:t>.</w:t>
            </w:r>
          </w:p>
        </w:tc>
      </w:tr>
      <w:tr w14:paraId="2888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1E597C8F">
            <w:pPr>
              <w:pStyle w:val="83"/>
            </w:pPr>
            <w:bookmarkStart w:id="642" w:name="_Toc153209073"/>
            <w:bookmarkStart w:id="643" w:name="_Toc56168351"/>
            <w:bookmarkStart w:id="644" w:name="_Toc20735976"/>
            <w:bookmarkStart w:id="645" w:name="_Toc99026016"/>
            <w:bookmarkStart w:id="646" w:name="_Toc174522891"/>
            <w:bookmarkStart w:id="647" w:name="_Toc138437130"/>
            <w:r>
              <w:t>60.</w:t>
            </w:r>
            <w:r>
              <w:tab/>
            </w:r>
            <w:r>
              <w:t>Interrupção da Execução</w:t>
            </w:r>
            <w:bookmarkEnd w:id="642"/>
            <w:bookmarkEnd w:id="643"/>
            <w:bookmarkEnd w:id="644"/>
            <w:bookmarkEnd w:id="645"/>
            <w:bookmarkEnd w:id="646"/>
            <w:bookmarkEnd w:id="647"/>
          </w:p>
        </w:tc>
        <w:tc>
          <w:tcPr>
            <w:tcW w:w="6753" w:type="dxa"/>
          </w:tcPr>
          <w:p w14:paraId="0AEA1BF7">
            <w:pPr>
              <w:spacing w:before="120" w:after="120" w:line="240" w:lineRule="auto"/>
              <w:ind w:left="739" w:hanging="708"/>
              <w:jc w:val="both"/>
              <w:rPr>
                <w:bCs/>
                <w:iCs/>
              </w:rPr>
            </w:pPr>
            <w:r>
              <w:rPr>
                <w:bCs/>
                <w:iCs/>
              </w:rPr>
              <w:t>60.1</w:t>
            </w:r>
            <w:r>
              <w:rPr>
                <w:bCs/>
                <w:iCs/>
              </w:rPr>
              <w:tab/>
            </w:r>
            <w:r>
              <w:rPr>
                <w:bCs/>
                <w:iCs/>
              </w:rPr>
              <w:t xml:space="preserve">Na hipótese da execução do Contrato precisar ser interrompida por motivo de guerra e/ou outros eventos que independem da vontade do </w:t>
            </w:r>
            <w:r>
              <w:rPr>
                <w:b/>
                <w:bCs/>
                <w:iCs/>
              </w:rPr>
              <w:t>Contratante</w:t>
            </w:r>
            <w:r>
              <w:rPr>
                <w:bCs/>
                <w:iCs/>
              </w:rPr>
              <w:t xml:space="preserve"> ou do </w:t>
            </w:r>
            <w:r>
              <w:rPr>
                <w:b/>
                <w:bCs/>
                <w:iCs/>
              </w:rPr>
              <w:t>Contratado</w:t>
            </w:r>
            <w:r>
              <w:rPr>
                <w:bCs/>
                <w:iCs/>
              </w:rPr>
              <w:t xml:space="preserve">, o Gerente do Contrato deve emitir uma Notificação autorizando essa interrupção.  O </w:t>
            </w:r>
            <w:r>
              <w:rPr>
                <w:b/>
                <w:bCs/>
                <w:iCs/>
              </w:rPr>
              <w:t>Contratado</w:t>
            </w:r>
            <w:r>
              <w:rPr>
                <w:bCs/>
                <w:iCs/>
              </w:rPr>
              <w:t xml:space="preserve"> deve cercar o Local das Obras e suspender a execução da Obra assim que receber a notificação.  O </w:t>
            </w:r>
            <w:r>
              <w:rPr>
                <w:b/>
                <w:bCs/>
                <w:iCs/>
              </w:rPr>
              <w:t>Contratado</w:t>
            </w:r>
            <w:r>
              <w:rPr>
                <w:bCs/>
                <w:iCs/>
              </w:rPr>
              <w:t xml:space="preserve"> deve receber, a título de ressarcimento por quaisquer serviços que tenha executado antes do recebimento da notificação e, também, pelos serviços executados posteriormente, desde que estes tenham sido comprometidos anteriormente à data da notificação.</w:t>
            </w:r>
          </w:p>
        </w:tc>
      </w:tr>
      <w:tr w14:paraId="017F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60E88A06">
            <w:pPr>
              <w:pStyle w:val="83"/>
            </w:pPr>
            <w:bookmarkStart w:id="648" w:name="_Toc20735977"/>
            <w:bookmarkStart w:id="649" w:name="_Toc174522892"/>
            <w:bookmarkStart w:id="650" w:name="_Toc99026017"/>
            <w:bookmarkStart w:id="651" w:name="_Toc138437131"/>
            <w:bookmarkStart w:id="652" w:name="_Toc153209074"/>
            <w:bookmarkStart w:id="653" w:name="_Toc56168352"/>
            <w:r>
              <w:t>61.</w:t>
            </w:r>
            <w:r>
              <w:tab/>
            </w:r>
            <w:r>
              <w:t xml:space="preserve">Suspensão do Empréstimo do </w:t>
            </w:r>
            <w:bookmarkEnd w:id="648"/>
            <w:r>
              <w:t>FONPLATA</w:t>
            </w:r>
            <w:bookmarkEnd w:id="649"/>
            <w:bookmarkEnd w:id="650"/>
            <w:bookmarkEnd w:id="651"/>
            <w:bookmarkEnd w:id="652"/>
            <w:bookmarkEnd w:id="653"/>
          </w:p>
        </w:tc>
        <w:tc>
          <w:tcPr>
            <w:tcW w:w="6753" w:type="dxa"/>
          </w:tcPr>
          <w:p w14:paraId="39D8544F">
            <w:pPr>
              <w:spacing w:before="120" w:after="120" w:line="240" w:lineRule="auto"/>
              <w:ind w:left="739" w:hanging="708"/>
              <w:jc w:val="both"/>
              <w:rPr>
                <w:bCs/>
                <w:iCs/>
              </w:rPr>
            </w:pPr>
            <w:r>
              <w:rPr>
                <w:bCs/>
                <w:iCs/>
              </w:rPr>
              <w:t>61.1</w:t>
            </w:r>
            <w:r>
              <w:rPr>
                <w:bCs/>
                <w:iCs/>
              </w:rPr>
              <w:tab/>
            </w:r>
            <w:r>
              <w:rPr>
                <w:bCs/>
                <w:iCs/>
              </w:rPr>
              <w:t>No caso do FONPLATA suspender o Empréstimo cujos recursos se destinariam ao financiamento, total ou parcial, dos pagamentos decorrentes do Contrato:</w:t>
            </w:r>
          </w:p>
          <w:p w14:paraId="1CC16F93">
            <w:pPr>
              <w:spacing w:before="120" w:after="120" w:line="240" w:lineRule="auto"/>
              <w:ind w:left="1306" w:hanging="425"/>
              <w:jc w:val="both"/>
              <w:rPr>
                <w:bCs/>
                <w:iCs/>
              </w:rPr>
            </w:pPr>
            <w:r>
              <w:rPr>
                <w:bCs/>
                <w:iCs/>
              </w:rPr>
              <w:t>(a)</w:t>
            </w:r>
            <w:r>
              <w:rPr>
                <w:bCs/>
                <w:iCs/>
              </w:rPr>
              <w:tab/>
            </w:r>
            <w:r>
              <w:rPr>
                <w:bCs/>
                <w:iCs/>
              </w:rPr>
              <w:t xml:space="preserve"> o </w:t>
            </w:r>
            <w:r>
              <w:rPr>
                <w:b/>
                <w:bCs/>
                <w:iCs/>
              </w:rPr>
              <w:t>Contratante</w:t>
            </w:r>
            <w:r>
              <w:rPr>
                <w:bCs/>
                <w:iCs/>
              </w:rPr>
              <w:t xml:space="preserve"> informará o </w:t>
            </w:r>
            <w:r>
              <w:rPr>
                <w:b/>
                <w:bCs/>
                <w:iCs/>
              </w:rPr>
              <w:t>Contratado</w:t>
            </w:r>
            <w:r>
              <w:rPr>
                <w:bCs/>
                <w:iCs/>
              </w:rPr>
              <w:t xml:space="preserve"> da referida suspensão no prazo de 10 dias a partir do recebimento da competente comunicação do FONPLATA;</w:t>
            </w:r>
          </w:p>
          <w:p w14:paraId="10828C94">
            <w:pPr>
              <w:spacing w:before="120" w:after="120" w:line="240" w:lineRule="auto"/>
              <w:ind w:left="1306" w:hanging="425"/>
              <w:jc w:val="both"/>
              <w:rPr>
                <w:bCs/>
                <w:iCs/>
              </w:rPr>
            </w:pPr>
            <w:r>
              <w:rPr>
                <w:bCs/>
                <w:iCs/>
              </w:rPr>
              <w:t>(b)</w:t>
            </w:r>
            <w:r>
              <w:rPr>
                <w:bCs/>
                <w:iCs/>
              </w:rPr>
              <w:tab/>
            </w:r>
            <w:r>
              <w:rPr>
                <w:bCs/>
                <w:iCs/>
              </w:rPr>
              <w:t xml:space="preserve">caso o </w:t>
            </w:r>
            <w:r>
              <w:rPr>
                <w:b/>
                <w:bCs/>
                <w:iCs/>
              </w:rPr>
              <w:t>Contratado</w:t>
            </w:r>
            <w:r>
              <w:rPr>
                <w:bCs/>
                <w:iCs/>
              </w:rPr>
              <w:t xml:space="preserve"> não tenha recebido as quantias que lhe são devidas no prazo de 30 dias previsto na subcláusula 41.1 das CGC, ser-lhe-á facultado rescindir o Contrato, emitindo, para tanto, uma notificação com antecedência de 14 dias.</w:t>
            </w:r>
          </w:p>
        </w:tc>
      </w:tr>
      <w:tr w14:paraId="7EC0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7397E4C9">
            <w:pPr>
              <w:pStyle w:val="83"/>
            </w:pPr>
            <w:r>
              <w:t>62. Foro competente</w:t>
            </w:r>
          </w:p>
        </w:tc>
        <w:tc>
          <w:tcPr>
            <w:tcW w:w="6753" w:type="dxa"/>
          </w:tcPr>
          <w:p w14:paraId="30AA723E">
            <w:pPr>
              <w:spacing w:before="120" w:after="120" w:line="240" w:lineRule="auto"/>
              <w:ind w:left="714"/>
              <w:jc w:val="both"/>
              <w:rPr>
                <w:bCs/>
                <w:iCs/>
              </w:rPr>
            </w:pPr>
            <w:r>
              <w:t>62.1 Fica eleito o Foro de Dourados-MS para dirimir quaisquer dúvidas oriundas do presente Contrato, renunciando as partes desde já a qualquer outro, por mais especial ou privilegiado que seja.</w:t>
            </w:r>
          </w:p>
        </w:tc>
      </w:tr>
      <w:tr w14:paraId="6E2BA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8D8D8" w:themeFill="background1" w:themeFillShade="D9"/>
          </w:tcPr>
          <w:p w14:paraId="7723979E">
            <w:pPr>
              <w:pStyle w:val="81"/>
              <w:rPr>
                <w:b w:val="0"/>
                <w:iCs w:val="0"/>
              </w:rPr>
            </w:pPr>
            <w:bookmarkStart w:id="654" w:name="_Toc153209075"/>
            <w:bookmarkStart w:id="655" w:name="_Toc99026018"/>
            <w:bookmarkStart w:id="656" w:name="_Toc174522893"/>
            <w:bookmarkStart w:id="657" w:name="_Toc138437132"/>
            <w:bookmarkStart w:id="658" w:name="_Toc56168353"/>
            <w:r>
              <w:t>F–PRÁTICAS PROIBIDAS</w:t>
            </w:r>
            <w:bookmarkEnd w:id="654"/>
            <w:bookmarkEnd w:id="655"/>
            <w:bookmarkEnd w:id="656"/>
            <w:bookmarkEnd w:id="657"/>
            <w:bookmarkEnd w:id="658"/>
          </w:p>
        </w:tc>
      </w:tr>
      <w:tr w14:paraId="5E80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14:paraId="216BC7D8">
            <w:pPr>
              <w:pStyle w:val="83"/>
            </w:pPr>
            <w:bookmarkStart w:id="659" w:name="_Toc99026019"/>
            <w:bookmarkStart w:id="660" w:name="_Toc153209076"/>
            <w:bookmarkStart w:id="661" w:name="_Toc138437133"/>
            <w:bookmarkStart w:id="662" w:name="_Toc56168354"/>
            <w:bookmarkStart w:id="663" w:name="_Toc20735979"/>
            <w:bookmarkStart w:id="664" w:name="_Toc174522894"/>
            <w:r>
              <w:t>63.</w:t>
            </w:r>
            <w:r>
              <w:tab/>
            </w:r>
            <w:r>
              <w:t>Práticas Proibidas</w:t>
            </w:r>
            <w:bookmarkEnd w:id="659"/>
            <w:bookmarkEnd w:id="660"/>
            <w:bookmarkEnd w:id="661"/>
            <w:bookmarkEnd w:id="662"/>
            <w:bookmarkEnd w:id="663"/>
            <w:bookmarkEnd w:id="664"/>
          </w:p>
        </w:tc>
        <w:tc>
          <w:tcPr>
            <w:tcW w:w="6753" w:type="dxa"/>
          </w:tcPr>
          <w:p w14:paraId="57A125FC">
            <w:pPr>
              <w:spacing w:before="120" w:after="120" w:line="240" w:lineRule="auto"/>
              <w:ind w:left="739" w:hanging="708"/>
              <w:jc w:val="both"/>
              <w:rPr>
                <w:bCs/>
                <w:iCs/>
              </w:rPr>
            </w:pPr>
            <w:r>
              <w:rPr>
                <w:bCs/>
                <w:iCs/>
              </w:rPr>
              <w:t>63.1</w:t>
            </w:r>
            <w:r>
              <w:rPr>
                <w:bCs/>
                <w:iCs/>
              </w:rPr>
              <w:tab/>
            </w:r>
            <w:r>
              <w:rPr>
                <w:bCs/>
                <w:iCs/>
              </w:rPr>
              <w:t>O FONPLATA exigirá dos Mutuários/Beneficiários e de toda pessoa que participar da preparação, execução e avaliação de projetos financiados com seus recursos, os mais altos níveis éticos e a denúncia de qualquer ato suspeito de constituir uma prática proibida da qual tenham conhecimento.</w:t>
            </w:r>
          </w:p>
          <w:p w14:paraId="00CC30FF">
            <w:pPr>
              <w:spacing w:before="120" w:after="120" w:line="240" w:lineRule="auto"/>
              <w:jc w:val="both"/>
              <w:rPr>
                <w:b/>
                <w:bCs/>
                <w:iCs/>
                <w:u w:val="single"/>
              </w:rPr>
            </w:pPr>
            <w:r>
              <w:rPr>
                <w:bCs/>
                <w:iCs/>
              </w:rPr>
              <w:tab/>
            </w:r>
            <w:r>
              <w:rPr>
                <w:b/>
                <w:bCs/>
                <w:iCs/>
                <w:u w:val="single"/>
              </w:rPr>
              <w:t>Lista não taxativa das práticas proibidas:</w:t>
            </w:r>
          </w:p>
          <w:p w14:paraId="234C5DBF">
            <w:pPr>
              <w:spacing w:before="120" w:after="120" w:line="240" w:lineRule="auto"/>
              <w:ind w:left="1306" w:hanging="425"/>
              <w:jc w:val="both"/>
              <w:rPr>
                <w:bCs/>
                <w:iCs/>
              </w:rPr>
            </w:pPr>
            <w:r>
              <w:rPr>
                <w:bCs/>
                <w:iCs/>
              </w:rPr>
              <w:t>(a)</w:t>
            </w:r>
            <w:r>
              <w:rPr>
                <w:bCs/>
                <w:iCs/>
              </w:rPr>
              <w:tab/>
            </w:r>
            <w:r>
              <w:rPr>
                <w:bCs/>
                <w:iCs/>
              </w:rPr>
              <w:t>Ações corruptas: oferecer, dar, receber ou solicitar, direta ou indiretamente, qualquer coisa de valor para influenciar as ações de outra Parte;</w:t>
            </w:r>
          </w:p>
          <w:p w14:paraId="2E6026B4">
            <w:pPr>
              <w:spacing w:before="120" w:after="120" w:line="240" w:lineRule="auto"/>
              <w:ind w:left="1306" w:hanging="425"/>
              <w:jc w:val="both"/>
              <w:rPr>
                <w:bCs/>
                <w:iCs/>
              </w:rPr>
            </w:pPr>
            <w:r>
              <w:rPr>
                <w:bCs/>
                <w:iCs/>
              </w:rPr>
              <w:t>(b)</w:t>
            </w:r>
            <w:r>
              <w:rPr>
                <w:bCs/>
                <w:iCs/>
              </w:rPr>
              <w:tab/>
            </w:r>
            <w:r>
              <w:rPr>
                <w:bCs/>
                <w:iCs/>
              </w:rPr>
              <w:t>Práticas fraudulentas: qualquer ato ou omissão, incluindo a desvirtuação de fatos e circunstâncias que enganem ou tentem enganar alguma parte para obter qualquer benefício financeiro ou de outra natureza, ou para evadir uma obrigação;</w:t>
            </w:r>
          </w:p>
          <w:p w14:paraId="55EA86DD">
            <w:pPr>
              <w:spacing w:before="120" w:after="120" w:line="240" w:lineRule="auto"/>
              <w:ind w:left="1306" w:hanging="425"/>
              <w:jc w:val="both"/>
              <w:rPr>
                <w:bCs/>
                <w:iCs/>
              </w:rPr>
            </w:pPr>
            <w:r>
              <w:rPr>
                <w:bCs/>
                <w:iCs/>
              </w:rPr>
              <w:t xml:space="preserve">(c) </w:t>
            </w:r>
            <w:r>
              <w:rPr>
                <w:bCs/>
                <w:iCs/>
              </w:rPr>
              <w:tab/>
            </w:r>
            <w:r>
              <w:rPr>
                <w:bCs/>
                <w:iCs/>
              </w:rPr>
              <w:t>Práticas coercitivas: prejudicar ou causar danos, ou ameaçar prejudicar ou causar danos, direta ou indiretamente, a qualquer parte ou a seus bens para influenciar as ações de uma Parte;</w:t>
            </w:r>
          </w:p>
          <w:p w14:paraId="68FF0514">
            <w:pPr>
              <w:spacing w:before="120" w:after="120" w:line="240" w:lineRule="auto"/>
              <w:ind w:left="1306" w:hanging="425"/>
              <w:jc w:val="both"/>
              <w:rPr>
                <w:bCs/>
                <w:iCs/>
              </w:rPr>
            </w:pPr>
            <w:r>
              <w:rPr>
                <w:bCs/>
                <w:iCs/>
              </w:rPr>
              <w:t xml:space="preserve">(d) </w:t>
            </w:r>
            <w:r>
              <w:rPr>
                <w:bCs/>
                <w:iCs/>
              </w:rPr>
              <w:tab/>
            </w:r>
            <w:r>
              <w:rPr>
                <w:bCs/>
                <w:iCs/>
              </w:rPr>
              <w:t>Práticas colusivas: estabelecer acordos entre duas ou mais Partes com vistas a atingir um objetivo inapropriado, incluindo influenciar de forma inapropriada as ações de outra parte;</w:t>
            </w:r>
          </w:p>
          <w:p w14:paraId="6E049201">
            <w:pPr>
              <w:spacing w:before="120" w:after="120" w:line="240" w:lineRule="auto"/>
              <w:ind w:left="1306" w:hanging="425"/>
              <w:jc w:val="both"/>
              <w:rPr>
                <w:bCs/>
                <w:iCs/>
              </w:rPr>
            </w:pPr>
            <w:r>
              <w:rPr>
                <w:bCs/>
                <w:iCs/>
              </w:rPr>
              <w:t xml:space="preserve">(e) </w:t>
            </w:r>
            <w:r>
              <w:rPr>
                <w:bCs/>
                <w:iCs/>
              </w:rPr>
              <w:tab/>
            </w:r>
            <w:r>
              <w:rPr>
                <w:bCs/>
                <w:iCs/>
              </w:rPr>
              <w:t>Práticas obstrutivas:</w:t>
            </w:r>
          </w:p>
          <w:p w14:paraId="0AAB0484">
            <w:pPr>
              <w:spacing w:before="120" w:after="120" w:line="240" w:lineRule="auto"/>
              <w:ind w:left="1591" w:hanging="284"/>
              <w:jc w:val="both"/>
              <w:rPr>
                <w:bCs/>
                <w:iCs/>
              </w:rPr>
            </w:pPr>
            <w:r>
              <w:rPr>
                <w:bCs/>
                <w:iCs/>
              </w:rPr>
              <w:t>(i)</w:t>
            </w:r>
            <w:r>
              <w:rPr>
                <w:bCs/>
                <w:iCs/>
              </w:rPr>
              <w:tab/>
            </w:r>
            <w:r>
              <w:rPr>
                <w:bCs/>
                <w:iCs/>
              </w:rPr>
              <w:t xml:space="preserve">destruir, falsificar, alterar ou ocultar deliberadamente evidência significativa para a investigação, ou fazer declarações falsas perante os investigadores para impedir materialmente uma investigação sobre denúncias de uma prática corrupta, fraudulenta, coercitiva ou colusiva; e/ou ameaçar, assediar ou intimidar qualquer parte para impedir que divulgue seu conhecimento de assuntos que são importantes para a investigação ou para sua prossecução; ou </w:t>
            </w:r>
          </w:p>
          <w:p w14:paraId="73F1FA06">
            <w:pPr>
              <w:spacing w:before="120" w:after="120" w:line="240" w:lineRule="auto"/>
              <w:ind w:left="1591" w:hanging="284"/>
              <w:jc w:val="both"/>
              <w:rPr>
                <w:bCs/>
                <w:iCs/>
              </w:rPr>
            </w:pPr>
            <w:r>
              <w:rPr>
                <w:bCs/>
                <w:iCs/>
              </w:rPr>
              <w:t>(ii)</w:t>
            </w:r>
            <w:r>
              <w:rPr>
                <w:bCs/>
                <w:iCs/>
              </w:rPr>
              <w:tab/>
            </w:r>
            <w:r>
              <w:rPr>
                <w:bCs/>
                <w:iCs/>
              </w:rPr>
              <w:t>todo ato voltado para impedir materialmente o exercício de inspeção do FONPLATA e os direitos de auditoria; e</w:t>
            </w:r>
          </w:p>
          <w:p w14:paraId="50C210E6">
            <w:pPr>
              <w:spacing w:before="120" w:after="120" w:line="240" w:lineRule="auto"/>
              <w:ind w:left="1306" w:hanging="425"/>
              <w:jc w:val="both"/>
              <w:rPr>
                <w:bCs/>
                <w:iCs/>
              </w:rPr>
            </w:pPr>
            <w:bookmarkStart w:id="665" w:name="_Hlk99011277"/>
            <w:r>
              <w:rPr>
                <w:bCs/>
                <w:iCs/>
              </w:rPr>
              <w:t>(f)</w:t>
            </w:r>
            <w:r>
              <w:rPr>
                <w:bCs/>
                <w:iCs/>
              </w:rPr>
              <w:tab/>
            </w:r>
            <w:r>
              <w:rPr>
                <w:bCs/>
                <w:iCs/>
              </w:rPr>
              <w:t>Crimes graves: incluindo a lavagem de ativos e o financiamento do terrorismo.</w:t>
            </w:r>
            <w:bookmarkEnd w:id="665"/>
          </w:p>
        </w:tc>
      </w:tr>
    </w:tbl>
    <w:p w14:paraId="3DF95B79">
      <w:pPr>
        <w:sectPr>
          <w:headerReference r:id="rId20"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5A964B76">
      <w:pPr>
        <w:pStyle w:val="87"/>
        <w:rPr>
          <w:b w:val="0"/>
          <w:bCs w:val="0"/>
          <w:iCs/>
        </w:rPr>
      </w:pPr>
      <w:r>
        <w:t>SEÇÃO 8 – DADOS DO CONTRATO</w:t>
      </w:r>
      <w:bookmarkEnd w:id="376"/>
      <w:r>
        <w:t xml:space="preserve"> (DDC)</w:t>
      </w:r>
      <w:bookmarkEnd w:id="377"/>
      <w:bookmarkEnd w:id="378"/>
      <w:bookmarkEnd w:id="379"/>
      <w:bookmarkEnd w:id="380"/>
      <w:bookmarkEnd w:id="381"/>
      <w:bookmarkEnd w:id="382"/>
      <w:bookmarkEnd w:id="383"/>
      <w:bookmarkEnd w:id="384"/>
    </w:p>
    <w:p w14:paraId="29976ED5">
      <w:pPr>
        <w:jc w:val="both"/>
        <w:rPr>
          <w:bCs/>
          <w:iCs/>
        </w:rPr>
      </w:pPr>
      <w:r>
        <w:rPr>
          <w:bCs/>
          <w:iCs/>
        </w:rPr>
        <w:t>As disposições a seguir complementam ou modificam as Cláusulas correspondentes da Seção 8 – Condições Gerais de Contrato (CGC):</w:t>
      </w:r>
    </w:p>
    <w:tbl>
      <w:tblPr>
        <w:tblStyle w:val="12"/>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422"/>
        <w:gridCol w:w="7655"/>
      </w:tblGrid>
      <w:tr w14:paraId="7059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5" w:hRule="atLeast"/>
          <w:jc w:val="center"/>
        </w:trPr>
        <w:tc>
          <w:tcPr>
            <w:tcW w:w="1422" w:type="dxa"/>
            <w:shd w:val="clear" w:color="auto" w:fill="D8D8D8" w:themeFill="background1" w:themeFillShade="D9"/>
            <w:vAlign w:val="center"/>
          </w:tcPr>
          <w:p w14:paraId="5DB7AD67">
            <w:pPr>
              <w:spacing w:before="120" w:after="120"/>
              <w:jc w:val="center"/>
              <w:rPr>
                <w:b/>
                <w:bCs/>
                <w:iCs/>
              </w:rPr>
            </w:pPr>
            <w:bookmarkStart w:id="666" w:name="_Toc266861726"/>
            <w:bookmarkStart w:id="667" w:name="_Toc266861330"/>
            <w:bookmarkStart w:id="668" w:name="_Hlk83731941"/>
            <w:r>
              <w:rPr>
                <w:b/>
                <w:bCs/>
                <w:iCs/>
              </w:rPr>
              <w:t>Cláusula das CGC</w:t>
            </w:r>
            <w:bookmarkEnd w:id="666"/>
            <w:bookmarkEnd w:id="667"/>
          </w:p>
        </w:tc>
        <w:tc>
          <w:tcPr>
            <w:tcW w:w="7655" w:type="dxa"/>
            <w:shd w:val="clear" w:color="auto" w:fill="D8D8D8" w:themeFill="background1" w:themeFillShade="D9"/>
            <w:vAlign w:val="center"/>
          </w:tcPr>
          <w:p w14:paraId="7B51133A">
            <w:pPr>
              <w:spacing w:before="120" w:after="120"/>
              <w:jc w:val="center"/>
              <w:rPr>
                <w:b/>
                <w:bCs/>
                <w:iCs/>
              </w:rPr>
            </w:pPr>
            <w:bookmarkStart w:id="669" w:name="_Toc266861331"/>
            <w:bookmarkStart w:id="670" w:name="_Toc266861727"/>
            <w:r>
              <w:rPr>
                <w:b/>
                <w:bCs/>
                <w:iCs/>
              </w:rPr>
              <w:t>Complemento ou Modificação</w:t>
            </w:r>
            <w:bookmarkEnd w:id="669"/>
            <w:bookmarkEnd w:id="670"/>
          </w:p>
        </w:tc>
      </w:tr>
      <w:bookmarkEnd w:id="668"/>
      <w:tr w14:paraId="7D39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9077" w:type="dxa"/>
            <w:gridSpan w:val="2"/>
            <w:shd w:val="clear" w:color="auto" w:fill="F1F1F1" w:themeFill="background1" w:themeFillShade="F2"/>
          </w:tcPr>
          <w:p w14:paraId="141F936C">
            <w:pPr>
              <w:spacing w:before="120" w:after="120"/>
              <w:jc w:val="center"/>
              <w:rPr>
                <w:b/>
                <w:bCs/>
                <w:iCs/>
              </w:rPr>
            </w:pPr>
            <w:r>
              <w:rPr>
                <w:b/>
                <w:bCs/>
                <w:iCs/>
              </w:rPr>
              <w:t>A – GERAL</w:t>
            </w:r>
          </w:p>
        </w:tc>
      </w:tr>
      <w:tr w14:paraId="7220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3926BD27">
            <w:pPr>
              <w:spacing w:before="120" w:after="120"/>
              <w:jc w:val="both"/>
              <w:rPr>
                <w:b/>
                <w:iCs/>
              </w:rPr>
            </w:pPr>
            <w:r>
              <w:rPr>
                <w:b/>
                <w:iCs/>
              </w:rPr>
              <w:t>1.</w:t>
            </w:r>
          </w:p>
        </w:tc>
        <w:tc>
          <w:tcPr>
            <w:tcW w:w="7655" w:type="dxa"/>
          </w:tcPr>
          <w:p w14:paraId="24C4A967">
            <w:pPr>
              <w:spacing w:before="120" w:after="120"/>
              <w:jc w:val="both"/>
              <w:rPr>
                <w:b/>
                <w:bCs/>
                <w:iCs/>
              </w:rPr>
            </w:pPr>
            <w:r>
              <w:rPr>
                <w:b/>
                <w:bCs/>
                <w:iCs/>
              </w:rPr>
              <w:t>Definições</w:t>
            </w:r>
          </w:p>
        </w:tc>
      </w:tr>
      <w:tr w14:paraId="205B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AE080C6">
            <w:pPr>
              <w:spacing w:before="120" w:after="120"/>
              <w:jc w:val="both"/>
              <w:rPr>
                <w:b/>
                <w:iCs/>
              </w:rPr>
            </w:pPr>
            <w:r>
              <w:rPr>
                <w:b/>
                <w:iCs/>
              </w:rPr>
              <w:t>1.1 (c)</w:t>
            </w:r>
          </w:p>
        </w:tc>
        <w:tc>
          <w:tcPr>
            <w:tcW w:w="7655" w:type="dxa"/>
          </w:tcPr>
          <w:p w14:paraId="55FBD9D8">
            <w:pPr>
              <w:spacing w:before="120" w:after="120"/>
              <w:jc w:val="both"/>
              <w:rPr>
                <w:bCs/>
                <w:i/>
                <w:iCs/>
              </w:rPr>
            </w:pPr>
            <w:r>
              <w:rPr>
                <w:bCs/>
                <w:iCs/>
              </w:rPr>
              <w:t xml:space="preserve">O Contratado é: </w:t>
            </w:r>
            <w:r>
              <w:rPr>
                <w:bCs/>
                <w:i/>
                <w:iCs/>
                <w:highlight w:val="yellow"/>
              </w:rPr>
              <w:t>[indicar]</w:t>
            </w:r>
          </w:p>
          <w:p w14:paraId="0DE12AA9">
            <w:pPr>
              <w:spacing w:before="120" w:after="120"/>
              <w:jc w:val="both"/>
              <w:rPr>
                <w:bCs/>
                <w:iCs/>
              </w:rPr>
            </w:pPr>
            <w:r>
              <w:rPr>
                <w:bCs/>
                <w:iCs/>
              </w:rPr>
              <w:t xml:space="preserve">Nome: </w:t>
            </w:r>
            <w:r>
              <w:rPr>
                <w:bCs/>
                <w:i/>
                <w:iCs/>
                <w:highlight w:val="yellow"/>
              </w:rPr>
              <w:t>[indicar]</w:t>
            </w:r>
          </w:p>
          <w:p w14:paraId="7E2B7CCE">
            <w:pPr>
              <w:spacing w:before="120" w:after="120"/>
              <w:jc w:val="both"/>
              <w:rPr>
                <w:bCs/>
                <w:iCs/>
              </w:rPr>
            </w:pPr>
            <w:r>
              <w:rPr>
                <w:bCs/>
                <w:iCs/>
              </w:rPr>
              <w:t xml:space="preserve">Endereço: </w:t>
            </w:r>
            <w:r>
              <w:rPr>
                <w:bCs/>
                <w:i/>
                <w:iCs/>
                <w:highlight w:val="yellow"/>
              </w:rPr>
              <w:t>[indicar]</w:t>
            </w:r>
          </w:p>
          <w:p w14:paraId="34CC02FD">
            <w:pPr>
              <w:spacing w:before="120" w:after="120"/>
              <w:jc w:val="both"/>
              <w:rPr>
                <w:bCs/>
                <w:i/>
                <w:iCs/>
              </w:rPr>
            </w:pPr>
            <w:r>
              <w:rPr>
                <w:bCs/>
                <w:iCs/>
              </w:rPr>
              <w:t xml:space="preserve">Nome do Representante Autorizado: </w:t>
            </w:r>
            <w:r>
              <w:rPr>
                <w:bCs/>
                <w:i/>
                <w:iCs/>
                <w:highlight w:val="yellow"/>
              </w:rPr>
              <w:t>[indicar]</w:t>
            </w:r>
          </w:p>
          <w:p w14:paraId="13641750">
            <w:pPr>
              <w:spacing w:before="120" w:after="120"/>
              <w:jc w:val="both"/>
              <w:rPr>
                <w:bCs/>
                <w:iCs/>
              </w:rPr>
            </w:pPr>
            <w:r>
              <w:rPr>
                <w:bCs/>
                <w:i/>
                <w:iCs/>
              </w:rPr>
              <w:t>[a ser preenchido após a adjudicação]</w:t>
            </w:r>
          </w:p>
        </w:tc>
      </w:tr>
      <w:tr w14:paraId="187D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6A85B026">
            <w:pPr>
              <w:spacing w:before="120" w:after="120"/>
              <w:jc w:val="both"/>
              <w:rPr>
                <w:b/>
                <w:iCs/>
              </w:rPr>
            </w:pPr>
            <w:r>
              <w:rPr>
                <w:b/>
                <w:iCs/>
              </w:rPr>
              <w:t>1.1(d)</w:t>
            </w:r>
          </w:p>
        </w:tc>
        <w:tc>
          <w:tcPr>
            <w:tcW w:w="7655" w:type="dxa"/>
          </w:tcPr>
          <w:p w14:paraId="12FF7B73">
            <w:pPr>
              <w:spacing w:before="120" w:after="120"/>
              <w:rPr>
                <w:rFonts w:cs="Times New Roman"/>
                <w:bCs/>
                <w:iCs/>
              </w:rPr>
            </w:pPr>
            <w:r>
              <w:rPr>
                <w:rFonts w:cs="Times New Roman"/>
                <w:bCs/>
                <w:iCs/>
              </w:rPr>
              <w:t xml:space="preserve">O Contratante é </w:t>
            </w:r>
          </w:p>
          <w:p w14:paraId="3D7F213F">
            <w:pPr>
              <w:spacing w:before="120" w:after="120"/>
              <w:rPr>
                <w:rFonts w:cs="Times New Roman"/>
                <w:bCs/>
                <w:iCs/>
              </w:rPr>
            </w:pPr>
            <w:r>
              <w:rPr>
                <w:rFonts w:cs="Times New Roman"/>
                <w:bCs/>
                <w:iCs/>
              </w:rPr>
              <w:t xml:space="preserve">Nome: </w:t>
            </w:r>
            <w:r>
              <w:rPr>
                <w:szCs w:val="24"/>
              </w:rPr>
              <w:t>Município de Dourados</w:t>
            </w:r>
            <w:r>
              <w:rPr>
                <w:rStyle w:val="96"/>
                <w:rFonts w:cs="Times New Roman"/>
              </w:rPr>
              <w:t>, MS.</w:t>
            </w:r>
          </w:p>
          <w:p w14:paraId="6ECC99EB">
            <w:pPr>
              <w:spacing w:before="120" w:after="120"/>
              <w:rPr>
                <w:rFonts w:cs="Times New Roman"/>
                <w:bCs/>
                <w:iCs/>
              </w:rPr>
            </w:pPr>
            <w:r>
              <w:rPr>
                <w:rFonts w:cs="Times New Roman"/>
                <w:bCs/>
                <w:iCs/>
              </w:rPr>
              <w:t xml:space="preserve">Endereço: </w:t>
            </w:r>
            <w:r>
              <w:rPr>
                <w:szCs w:val="24"/>
              </w:rPr>
              <w:t>Rua Coronel Ponciano, 1700 - Parque dos Jequitibás</w:t>
            </w:r>
          </w:p>
          <w:p w14:paraId="3705FC22">
            <w:pPr>
              <w:spacing w:before="120" w:after="120"/>
              <w:jc w:val="both"/>
              <w:rPr>
                <w:rFonts w:hint="default"/>
                <w:bCs/>
                <w:iCs/>
                <w:lang w:val="pt-BR"/>
              </w:rPr>
            </w:pPr>
            <w:r>
              <w:rPr>
                <w:rFonts w:cs="Times New Roman"/>
                <w:bCs/>
                <w:iCs/>
              </w:rPr>
              <w:t xml:space="preserve">Nome do Representante Autorizado: </w:t>
            </w:r>
            <w:r>
              <w:rPr>
                <w:rFonts w:hint="default"/>
                <w:bCs/>
                <w:iCs/>
                <w:lang w:val="pt-BR"/>
              </w:rPr>
              <w:t>[indicar]</w:t>
            </w:r>
          </w:p>
        </w:tc>
      </w:tr>
      <w:tr w14:paraId="1EF2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7D1D94A">
            <w:pPr>
              <w:spacing w:before="120" w:after="120"/>
              <w:jc w:val="both"/>
              <w:rPr>
                <w:b/>
                <w:iCs/>
              </w:rPr>
            </w:pPr>
            <w:r>
              <w:rPr>
                <w:b/>
                <w:iCs/>
              </w:rPr>
              <w:t>1.1 (h)</w:t>
            </w:r>
          </w:p>
        </w:tc>
        <w:tc>
          <w:tcPr>
            <w:tcW w:w="7655" w:type="dxa"/>
          </w:tcPr>
          <w:p w14:paraId="0B63068B">
            <w:pPr>
              <w:spacing w:before="120" w:after="120"/>
              <w:jc w:val="both"/>
              <w:rPr>
                <w:rFonts w:cs="Times New Roman"/>
                <w:bCs/>
                <w:iCs/>
              </w:rPr>
            </w:pPr>
            <w:r>
              <w:rPr>
                <w:bCs/>
                <w:iCs/>
              </w:rPr>
              <w:t xml:space="preserve">A Data de Início das Obras </w:t>
            </w:r>
            <w:r>
              <w:rPr>
                <w:rFonts w:cs="Times New Roman"/>
                <w:bCs/>
                <w:iCs/>
              </w:rPr>
              <w:t xml:space="preserve">é </w:t>
            </w:r>
            <w:r>
              <w:rPr>
                <w:rFonts w:cs="Times New Roman"/>
                <w:bCs/>
                <w:i/>
                <w:iCs/>
              </w:rPr>
              <w:t xml:space="preserve"> a </w:t>
            </w:r>
            <w:r>
              <w:rPr>
                <w:rFonts w:cs="Times New Roman"/>
                <w:bCs/>
                <w:iCs/>
              </w:rPr>
              <w:t>partir da emissão da Ordem de Serviço (OS) pelo Contratante.</w:t>
            </w:r>
          </w:p>
        </w:tc>
      </w:tr>
      <w:tr w14:paraId="6094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5B287F5B">
            <w:pPr>
              <w:spacing w:before="120" w:after="120"/>
              <w:jc w:val="both"/>
              <w:rPr>
                <w:b/>
                <w:iCs/>
              </w:rPr>
            </w:pPr>
            <w:r>
              <w:rPr>
                <w:b/>
                <w:iCs/>
              </w:rPr>
              <w:t>1.1 (i)</w:t>
            </w:r>
          </w:p>
        </w:tc>
        <w:tc>
          <w:tcPr>
            <w:tcW w:w="7655" w:type="dxa"/>
          </w:tcPr>
          <w:p w14:paraId="45A914A1">
            <w:pPr>
              <w:autoSpaceDE w:val="0"/>
              <w:autoSpaceDN w:val="0"/>
              <w:adjustRightInd w:val="0"/>
              <w:spacing w:after="0" w:line="240" w:lineRule="auto"/>
              <w:rPr>
                <w:rFonts w:eastAsia="CIDFont+F1" w:cs="Times New Roman"/>
                <w:color w:val="auto"/>
                <w:kern w:val="0"/>
              </w:rPr>
            </w:pPr>
            <w:r>
              <w:rPr>
                <w:rFonts w:eastAsia="CIDFont+F1" w:cs="Times New Roman"/>
                <w:color w:val="auto"/>
                <w:kern w:val="0"/>
              </w:rPr>
              <w:t>A Data Prevista para a Conclusão das Obras é:</w:t>
            </w:r>
          </w:p>
          <w:p w14:paraId="67FEEAA9">
            <w:pPr>
              <w:autoSpaceDE w:val="0"/>
              <w:autoSpaceDN w:val="0"/>
              <w:adjustRightInd w:val="0"/>
              <w:spacing w:after="0" w:line="240" w:lineRule="auto"/>
              <w:jc w:val="both"/>
              <w:rPr>
                <w:rFonts w:eastAsia="CIDFont+F1" w:cs="Times New Roman"/>
                <w:color w:val="auto"/>
                <w:kern w:val="0"/>
              </w:rPr>
            </w:pPr>
          </w:p>
          <w:p w14:paraId="42F0F4B7">
            <w:pPr>
              <w:autoSpaceDE w:val="0"/>
              <w:autoSpaceDN w:val="0"/>
              <w:adjustRightInd w:val="0"/>
              <w:spacing w:after="0" w:line="240" w:lineRule="auto"/>
              <w:jc w:val="both"/>
              <w:rPr>
                <w:rFonts w:eastAsia="CIDFont+F1" w:cs="Times New Roman"/>
                <w:color w:val="auto"/>
                <w:kern w:val="0"/>
              </w:rPr>
            </w:pPr>
            <w:r>
              <w:rPr>
                <w:rFonts w:hint="default" w:eastAsia="CIDFont+F1"/>
                <w:color w:val="auto"/>
                <w:kern w:val="0"/>
                <w:lang w:val="pt-BR"/>
              </w:rPr>
              <w:t>E</w:t>
            </w:r>
            <w:r>
              <w:rPr>
                <w:rFonts w:hint="default" w:eastAsia="CIDFont+F1"/>
                <w:color w:val="auto"/>
                <w:kern w:val="0"/>
              </w:rPr>
              <w:t>xecução das obras de reforma e ampliação do Centro Social Rural do Distrito Indápolis, no município de Dourados/MS</w:t>
            </w:r>
            <w:r>
              <w:rPr>
                <w:rFonts w:eastAsia="CIDFont+F1" w:cs="Times New Roman"/>
                <w:color w:val="auto"/>
                <w:kern w:val="0"/>
              </w:rPr>
              <w:t>, contado a partir da emissão da Ordem de Serviço (OS) pelo Contratante.</w:t>
            </w:r>
          </w:p>
          <w:p w14:paraId="79C52DC2">
            <w:pPr>
              <w:autoSpaceDE w:val="0"/>
              <w:autoSpaceDN w:val="0"/>
              <w:adjustRightInd w:val="0"/>
              <w:spacing w:after="0" w:line="240" w:lineRule="auto"/>
              <w:jc w:val="both"/>
              <w:rPr>
                <w:rFonts w:hint="default" w:eastAsia="CIDFont+F1"/>
                <w:color w:val="auto"/>
                <w:kern w:val="0"/>
                <w:lang w:val="pt-BR"/>
              </w:rPr>
            </w:pPr>
            <w:r>
              <w:rPr>
                <w:rFonts w:hint="default" w:eastAsia="CIDFont+F1"/>
                <w:color w:val="auto"/>
                <w:kern w:val="0"/>
              </w:rPr>
              <w:t>O Cronograma Físico Financeiro estabelecem os prazos de execução das obras e/ou serviços</w:t>
            </w:r>
            <w:r>
              <w:rPr>
                <w:rFonts w:hint="default" w:eastAsia="CIDFont+F1"/>
                <w:color w:val="auto"/>
                <w:kern w:val="0"/>
                <w:lang w:val="pt-BR"/>
              </w:rPr>
              <w:t>.</w:t>
            </w:r>
          </w:p>
          <w:p w14:paraId="5DAA0E0C">
            <w:pPr>
              <w:autoSpaceDE w:val="0"/>
              <w:autoSpaceDN w:val="0"/>
              <w:adjustRightInd w:val="0"/>
              <w:spacing w:after="0" w:line="240" w:lineRule="auto"/>
              <w:jc w:val="both"/>
              <w:rPr>
                <w:rFonts w:hint="default" w:eastAsia="CIDFont+F1"/>
                <w:color w:val="FF0000"/>
                <w:kern w:val="0"/>
                <w:lang w:val="pt-BR"/>
              </w:rPr>
            </w:pPr>
          </w:p>
        </w:tc>
      </w:tr>
      <w:tr w14:paraId="610E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B825993">
            <w:pPr>
              <w:spacing w:before="120" w:after="120"/>
              <w:jc w:val="both"/>
              <w:rPr>
                <w:b/>
                <w:iCs/>
              </w:rPr>
            </w:pPr>
            <w:r>
              <w:rPr>
                <w:b/>
                <w:iCs/>
              </w:rPr>
              <w:t>1.1 (u)</w:t>
            </w:r>
          </w:p>
        </w:tc>
        <w:tc>
          <w:tcPr>
            <w:tcW w:w="7655" w:type="dxa"/>
          </w:tcPr>
          <w:p w14:paraId="529E720D">
            <w:pPr>
              <w:autoSpaceDE w:val="0"/>
              <w:autoSpaceDN w:val="0"/>
              <w:adjustRightInd w:val="0"/>
              <w:spacing w:after="0" w:line="240" w:lineRule="auto"/>
              <w:rPr>
                <w:rFonts w:eastAsia="CIDFont+F1" w:cs="Times New Roman"/>
                <w:kern w:val="0"/>
              </w:rPr>
            </w:pPr>
            <w:r>
              <w:rPr>
                <w:rFonts w:eastAsia="CIDFont+F1" w:cs="Times New Roman"/>
                <w:kern w:val="0"/>
              </w:rPr>
              <w:t>O Gerente do Contrato é:</w:t>
            </w:r>
          </w:p>
          <w:p w14:paraId="4FC309ED">
            <w:pPr>
              <w:autoSpaceDE w:val="0"/>
              <w:autoSpaceDN w:val="0"/>
              <w:adjustRightInd w:val="0"/>
              <w:spacing w:after="0" w:line="240" w:lineRule="auto"/>
              <w:rPr>
                <w:rFonts w:eastAsia="CIDFont+F1" w:cs="Times New Roman"/>
                <w:kern w:val="0"/>
              </w:rPr>
            </w:pPr>
          </w:p>
          <w:p w14:paraId="1B96B44D">
            <w:pPr>
              <w:autoSpaceDE w:val="0"/>
              <w:autoSpaceDN w:val="0"/>
              <w:adjustRightInd w:val="0"/>
              <w:spacing w:after="0" w:line="240" w:lineRule="auto"/>
              <w:rPr>
                <w:rFonts w:hint="default" w:eastAsia="CIDFont+F1" w:cs="Times New Roman"/>
                <w:kern w:val="0"/>
                <w:lang w:val="pt-BR"/>
              </w:rPr>
            </w:pPr>
            <w:r>
              <w:rPr>
                <w:rFonts w:eastAsia="CIDFont+F1" w:cs="Times New Roman"/>
                <w:kern w:val="0"/>
              </w:rPr>
              <w:t xml:space="preserve">Nome: </w:t>
            </w:r>
            <w:r>
              <w:rPr>
                <w:rFonts w:hint="default" w:eastAsia="CIDFont+F1"/>
                <w:kern w:val="0"/>
                <w:lang w:val="pt-BR"/>
              </w:rPr>
              <w:t xml:space="preserve"> [indicar]</w:t>
            </w:r>
          </w:p>
          <w:p w14:paraId="09D7AB6B">
            <w:pPr>
              <w:autoSpaceDE w:val="0"/>
              <w:autoSpaceDN w:val="0"/>
              <w:adjustRightInd w:val="0"/>
              <w:spacing w:after="0" w:line="240" w:lineRule="auto"/>
              <w:rPr>
                <w:rFonts w:eastAsia="CIDFont+F1" w:cs="Times New Roman"/>
                <w:kern w:val="0"/>
              </w:rPr>
            </w:pPr>
            <w:r>
              <w:rPr>
                <w:rFonts w:eastAsia="CIDFont+F1" w:cs="Times New Roman"/>
                <w:kern w:val="0"/>
              </w:rPr>
              <w:t>Endereço: Rua Coronel Ponciano, 1700 - Parque dos Jequitibás</w:t>
            </w:r>
          </w:p>
          <w:p w14:paraId="7642BFF3">
            <w:pPr>
              <w:spacing w:before="120" w:after="120"/>
              <w:jc w:val="both"/>
              <w:rPr>
                <w:rFonts w:cs="Times New Roman"/>
                <w:iCs/>
              </w:rPr>
            </w:pPr>
            <w:r>
              <w:rPr>
                <w:rFonts w:eastAsia="CIDFont+F1" w:cs="Times New Roman"/>
                <w:kern w:val="0"/>
              </w:rPr>
              <w:t xml:space="preserve">Nome do Representante Autorizado: </w:t>
            </w:r>
            <w:r>
              <w:rPr>
                <w:rFonts w:hint="default" w:eastAsia="CIDFont+F1"/>
                <w:kern w:val="0"/>
                <w:lang w:val="pt-BR"/>
              </w:rPr>
              <w:t xml:space="preserve"> [indicar]</w:t>
            </w:r>
            <w:r>
              <w:rPr>
                <w:rFonts w:cs="Times New Roman"/>
                <w:iCs/>
              </w:rPr>
              <w:t xml:space="preserve"> </w:t>
            </w:r>
          </w:p>
          <w:p w14:paraId="343E9EF9">
            <w:pPr>
              <w:spacing w:before="120" w:after="120"/>
              <w:jc w:val="both"/>
              <w:rPr>
                <w:rFonts w:cs="Times New Roman"/>
                <w:iCs/>
              </w:rPr>
            </w:pPr>
            <w:r>
              <w:rPr>
                <w:rFonts w:cs="Times New Roman"/>
                <w:iCs/>
              </w:rPr>
              <w:t>A equipe de Fiscalização do Contrato será nomeada em resolução própria.</w:t>
            </w:r>
          </w:p>
          <w:p w14:paraId="7E02EAAB">
            <w:pPr>
              <w:pStyle w:val="49"/>
              <w:numPr>
                <w:ilvl w:val="0"/>
                <w:numId w:val="42"/>
              </w:numPr>
              <w:spacing w:before="120" w:after="120" w:line="240" w:lineRule="auto"/>
              <w:jc w:val="both"/>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713554E">
            <w:pPr>
              <w:pStyle w:val="49"/>
              <w:numPr>
                <w:ilvl w:val="0"/>
                <w:numId w:val="42"/>
              </w:numPr>
              <w:spacing w:afterLines="50" w:line="240" w:lineRule="auto"/>
              <w:jc w:val="both"/>
            </w:pP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03BB1C6">
            <w:pPr>
              <w:pStyle w:val="49"/>
              <w:numPr>
                <w:ilvl w:val="0"/>
                <w:numId w:val="42"/>
              </w:numPr>
              <w:spacing w:afterLines="50" w:line="240" w:lineRule="auto"/>
              <w:jc w:val="both"/>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159FE29">
            <w:pPr>
              <w:pStyle w:val="49"/>
              <w:numPr>
                <w:ilvl w:val="0"/>
                <w:numId w:val="42"/>
              </w:numPr>
              <w:spacing w:afterLines="30" w:line="240" w:lineRule="auto"/>
              <w:jc w:val="both"/>
            </w:pPr>
            <w:r>
              <w:t>O gestor do contrato emitirá documento comprobatório da avaliação realizada pelos fiscais técnicos,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63C721D">
            <w:pPr>
              <w:pStyle w:val="49"/>
              <w:numPr>
                <w:ilvl w:val="0"/>
                <w:numId w:val="42"/>
              </w:numPr>
              <w:spacing w:afterLines="30" w:line="240" w:lineRule="auto"/>
              <w:jc w:val="both"/>
            </w:pPr>
            <w: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5EA8E59">
            <w:pPr>
              <w:pStyle w:val="49"/>
              <w:numPr>
                <w:ilvl w:val="0"/>
                <w:numId w:val="42"/>
              </w:numPr>
              <w:spacing w:afterLines="30" w:line="240" w:lineRule="auto"/>
              <w:jc w:val="both"/>
            </w:pPr>
            <w:r>
              <w:t>O gestor do contrato deverá elaborar relatório final com informações sobre a consecução dos objetivos que tenham justificado a contratação e eventuais condutas a serem adotadas para o aprimoramento das atividades da Administração.</w:t>
            </w:r>
          </w:p>
          <w:p w14:paraId="12F211E6">
            <w:pPr>
              <w:pStyle w:val="49"/>
              <w:numPr>
                <w:ilvl w:val="0"/>
                <w:numId w:val="42"/>
              </w:numPr>
              <w:spacing w:afterLines="30" w:line="240" w:lineRule="auto"/>
              <w:jc w:val="both"/>
              <w:rPr>
                <w:b/>
                <w:bCs/>
                <w:iCs/>
              </w:rPr>
            </w:pPr>
            <w:r>
              <w:t>O gestor do contrato deverá enviar a documentação pertinente ao setor competente para a formalização dos procedimentos de liquidação e pagamento, no valor dimensionado pela fiscalização e gestão nos termos do contrato.</w:t>
            </w:r>
          </w:p>
        </w:tc>
      </w:tr>
      <w:tr w14:paraId="529C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6C73E182">
            <w:pPr>
              <w:spacing w:before="120" w:after="120"/>
              <w:jc w:val="both"/>
              <w:rPr>
                <w:b/>
                <w:iCs/>
              </w:rPr>
            </w:pPr>
            <w:r>
              <w:rPr>
                <w:b/>
                <w:iCs/>
              </w:rPr>
              <w:t>1.1 (r)</w:t>
            </w:r>
          </w:p>
        </w:tc>
        <w:tc>
          <w:tcPr>
            <w:tcW w:w="7655" w:type="dxa"/>
          </w:tcPr>
          <w:p w14:paraId="79C8DBC2">
            <w:pPr>
              <w:spacing w:afterLines="50"/>
              <w:rPr>
                <w:rFonts w:cs="Times New Roman"/>
              </w:rPr>
            </w:pPr>
            <w:r>
              <w:rPr>
                <w:rFonts w:cs="Times New Roman"/>
                <w:b/>
                <w:bCs/>
              </w:rPr>
              <w:t>Fiscalização.</w:t>
            </w:r>
          </w:p>
          <w:p w14:paraId="09049B67">
            <w:pPr>
              <w:spacing w:afterLines="75"/>
              <w:rPr>
                <w:rFonts w:cs="Times New Roman"/>
              </w:rPr>
            </w:pPr>
            <w:r>
              <w:rPr>
                <w:rFonts w:cs="Times New Roman"/>
              </w:rPr>
              <w:t>A execução do contrato deverá ser acompanhada e fiscalizada pelo(s) fiscal(is) do contrato, ou pelos respectivos substitutos (Lei nº 14.133, de 2021, art. 117, caput).</w:t>
            </w:r>
          </w:p>
          <w:p w14:paraId="693E27BC">
            <w:pPr>
              <w:spacing w:afterLines="50"/>
              <w:rPr>
                <w:rFonts w:cs="Times New Roman"/>
                <w:b/>
                <w:bCs/>
              </w:rPr>
            </w:pPr>
            <w:r>
              <w:rPr>
                <w:rFonts w:cs="Times New Roman"/>
                <w:b/>
                <w:bCs/>
              </w:rPr>
              <w:t>Fiscalização Técnica</w:t>
            </w:r>
            <w:r>
              <w:rPr>
                <w:rFonts w:cs="Times New Roman"/>
                <w:b/>
                <w:bCs/>
                <w:spacing w:val="-2"/>
              </w:rPr>
              <w:t>.</w:t>
            </w:r>
          </w:p>
          <w:p w14:paraId="6C6AF0DD">
            <w:pPr>
              <w:pStyle w:val="49"/>
              <w:numPr>
                <w:ilvl w:val="0"/>
                <w:numId w:val="43"/>
              </w:numPr>
              <w:spacing w:afterLines="50" w:line="240" w:lineRule="auto"/>
              <w:jc w:val="both"/>
            </w:pPr>
            <w:r>
              <w:t>O fiscal técnico do contrato acompanhará a execução do contrato, para que sejam cumpridas todas as condições estabelecidas no contrato, de modo a assegurar os melhores resultados para a Administração.</w:t>
            </w:r>
          </w:p>
          <w:p w14:paraId="3A735821">
            <w:pPr>
              <w:pStyle w:val="49"/>
              <w:numPr>
                <w:ilvl w:val="0"/>
                <w:numId w:val="43"/>
              </w:numPr>
              <w:spacing w:afterLines="50" w:line="240" w:lineRule="auto"/>
              <w:jc w:val="both"/>
            </w:pPr>
            <w:r>
              <w:t>O fiscal técnico do contrato anotará no histórico de gerenciamento do contrato todas as ocorrências relacionadas à execução do contrato, com a descrição do que for necessário para a regularização das faltas ou dos defeitos observados.</w:t>
            </w:r>
          </w:p>
          <w:p w14:paraId="437DFDBC">
            <w:pPr>
              <w:pStyle w:val="49"/>
              <w:numPr>
                <w:ilvl w:val="0"/>
                <w:numId w:val="43"/>
              </w:numPr>
              <w:spacing w:afterLines="50" w:line="240" w:lineRule="auto"/>
              <w:jc w:val="both"/>
            </w:pPr>
            <w:r>
              <w:t>Identificada qualquer inexatidão ou irregularidade, o fiscal técnico do contrato emitirá notificações para a correção da execução do contrato, determinando prazo para a correção.</w:t>
            </w:r>
          </w:p>
          <w:p w14:paraId="1BBDAF5D">
            <w:pPr>
              <w:pStyle w:val="49"/>
              <w:numPr>
                <w:ilvl w:val="0"/>
                <w:numId w:val="43"/>
              </w:numPr>
              <w:spacing w:afterLines="50" w:line="240" w:lineRule="auto"/>
              <w:jc w:val="both"/>
            </w:pPr>
            <w:r>
              <w:t>O fiscal técnico do contrato informará ao gestor do contato, em tempo hábil, a situação que demandar decisão ou adoção de medidas que ultrapassem sua competência, para que adote as medidas necessárias e saneadoras, se for o caso.</w:t>
            </w:r>
          </w:p>
          <w:p w14:paraId="391C25A9">
            <w:pPr>
              <w:pStyle w:val="49"/>
              <w:numPr>
                <w:ilvl w:val="0"/>
                <w:numId w:val="43"/>
              </w:numPr>
              <w:spacing w:afterLines="50" w:line="240" w:lineRule="auto"/>
              <w:jc w:val="both"/>
            </w:pPr>
            <w:r>
              <w:t>No caso de ocorrências que possam inviabilizar a execução do contrato nas datas aprazadas, o fiscal técnico do contrato comunicará o fato imediatamente ao gestor</w:t>
            </w:r>
            <w:r>
              <w:rPr>
                <w:rFonts w:hint="default"/>
                <w:lang w:val="pt-BR"/>
              </w:rPr>
              <w:t xml:space="preserve"> </w:t>
            </w:r>
            <w:r>
              <w:t>do contrato.</w:t>
            </w:r>
          </w:p>
          <w:p w14:paraId="2689DAC6">
            <w:pPr>
              <w:pStyle w:val="49"/>
              <w:numPr>
                <w:ilvl w:val="0"/>
                <w:numId w:val="43"/>
              </w:numPr>
              <w:spacing w:afterLines="75" w:line="240" w:lineRule="auto"/>
              <w:jc w:val="both"/>
            </w:pPr>
            <w:r>
              <w:t>O fiscal técnico do contrato comunicará ao gestor do contrato, em tempo hábil, o término do contrato sob sua responsabilidade, com vistas à tempestiva renovação ou à prorrogação contratual.</w:t>
            </w:r>
          </w:p>
          <w:p w14:paraId="5FD16FDE">
            <w:pPr>
              <w:spacing w:afterLines="50"/>
              <w:rPr>
                <w:rFonts w:cs="Times New Roman"/>
                <w:b/>
                <w:bCs/>
              </w:rPr>
            </w:pPr>
            <w:r>
              <w:rPr>
                <w:rFonts w:cs="Times New Roman"/>
                <w:b/>
                <w:bCs/>
              </w:rPr>
              <w:t>Fiscalização Administrativa</w:t>
            </w:r>
            <w:r>
              <w:rPr>
                <w:rFonts w:cs="Times New Roman"/>
                <w:b/>
                <w:bCs/>
                <w:spacing w:val="-2"/>
              </w:rPr>
              <w:t>.</w:t>
            </w:r>
          </w:p>
          <w:p w14:paraId="3705D320">
            <w:pPr>
              <w:pStyle w:val="49"/>
              <w:numPr>
                <w:ilvl w:val="0"/>
                <w:numId w:val="44"/>
              </w:numPr>
              <w:tabs>
                <w:tab w:val="left" w:pos="-1276"/>
              </w:tabs>
              <w:spacing w:afterLines="50" w:line="240" w:lineRule="auto"/>
              <w:jc w:val="both"/>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E82EC3">
            <w:pPr>
              <w:pStyle w:val="49"/>
              <w:numPr>
                <w:ilvl w:val="0"/>
                <w:numId w:val="44"/>
              </w:numPr>
              <w:tabs>
                <w:tab w:val="left" w:pos="-1276"/>
              </w:tabs>
              <w:spacing w:afterLines="50" w:line="240" w:lineRule="auto"/>
              <w:jc w:val="both"/>
            </w:pPr>
            <w:r>
              <w:t>Caso ocorra descumprimento das obrigações contratuais, o fiscal administrativo do contrato atuará tempestivamente na solução do problema, reportando ao gestor do contrato para que tome as providências cabíveis, quando ultrapassar a sua competêncial.</w:t>
            </w:r>
          </w:p>
          <w:p w14:paraId="3124D7DB">
            <w:pPr>
              <w:autoSpaceDE w:val="0"/>
              <w:autoSpaceDN w:val="0"/>
              <w:adjustRightInd w:val="0"/>
              <w:spacing w:after="0" w:line="240" w:lineRule="auto"/>
              <w:rPr>
                <w:rFonts w:eastAsia="CIDFont+F1" w:cs="Times New Roman"/>
                <w:kern w:val="0"/>
              </w:rPr>
            </w:pPr>
          </w:p>
        </w:tc>
      </w:tr>
      <w:tr w14:paraId="2FBB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1659FF5">
            <w:pPr>
              <w:spacing w:before="120" w:after="120"/>
              <w:jc w:val="both"/>
              <w:rPr>
                <w:b/>
                <w:iCs/>
              </w:rPr>
            </w:pPr>
            <w:r>
              <w:rPr>
                <w:b/>
                <w:iCs/>
              </w:rPr>
              <w:t>1.1(v)</w:t>
            </w:r>
          </w:p>
        </w:tc>
        <w:tc>
          <w:tcPr>
            <w:tcW w:w="7655" w:type="dxa"/>
          </w:tcPr>
          <w:p w14:paraId="39D7151D">
            <w:pPr>
              <w:autoSpaceDE w:val="0"/>
              <w:autoSpaceDN w:val="0"/>
              <w:adjustRightInd w:val="0"/>
              <w:spacing w:after="0" w:line="240" w:lineRule="auto"/>
              <w:jc w:val="both"/>
              <w:rPr>
                <w:rFonts w:eastAsia="CIDFont+F1" w:cs="Times New Roman"/>
                <w:color w:val="auto"/>
                <w:kern w:val="0"/>
              </w:rPr>
            </w:pPr>
            <w:r>
              <w:rPr>
                <w:rFonts w:eastAsia="CIDFont+F1" w:cs="Times New Roman"/>
                <w:color w:val="auto"/>
                <w:kern w:val="0"/>
              </w:rPr>
              <w:t>O endereço das Obras está localizado:</w:t>
            </w:r>
          </w:p>
          <w:p w14:paraId="7A51BB70">
            <w:pPr>
              <w:autoSpaceDE w:val="0"/>
              <w:autoSpaceDN w:val="0"/>
              <w:adjustRightInd w:val="0"/>
              <w:spacing w:after="0" w:line="240" w:lineRule="auto"/>
              <w:jc w:val="both"/>
              <w:rPr>
                <w:rFonts w:eastAsia="CIDFont+F1" w:cs="Times New Roman"/>
                <w:color w:val="auto"/>
                <w:kern w:val="0"/>
              </w:rPr>
            </w:pPr>
            <w:r>
              <w:rPr>
                <w:rFonts w:hint="default" w:eastAsia="CIDFont+F1"/>
                <w:color w:val="auto"/>
                <w:kern w:val="0"/>
              </w:rPr>
              <w:t>Ampliação e reforma no CSR Distrito de Indápolis – Rua Quinze de Novembro esquina com Rua das Flores S/N, quadra 30 parte do lote 06, CEP 79868-000</w:t>
            </w:r>
            <w:r>
              <w:rPr>
                <w:rFonts w:eastAsia="CIDFont+F1" w:cs="Times New Roman"/>
                <w:color w:val="auto"/>
                <w:kern w:val="0"/>
              </w:rPr>
              <w:t>.</w:t>
            </w:r>
          </w:p>
          <w:p w14:paraId="665E3BB1">
            <w:pPr>
              <w:autoSpaceDE w:val="0"/>
              <w:autoSpaceDN w:val="0"/>
              <w:adjustRightInd w:val="0"/>
              <w:spacing w:after="0" w:line="240" w:lineRule="auto"/>
              <w:jc w:val="both"/>
              <w:rPr>
                <w:rFonts w:eastAsia="CIDFont+F1" w:cs="Times New Roman"/>
                <w:color w:val="auto"/>
                <w:kern w:val="0"/>
              </w:rPr>
            </w:pPr>
          </w:p>
        </w:tc>
      </w:tr>
      <w:tr w14:paraId="5B1C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DC72AF5">
            <w:pPr>
              <w:spacing w:before="120" w:after="120"/>
              <w:jc w:val="both"/>
              <w:rPr>
                <w:b/>
                <w:iCs/>
              </w:rPr>
            </w:pPr>
            <w:r>
              <w:rPr>
                <w:b/>
                <w:iCs/>
              </w:rPr>
              <w:t>1.1 (z)</w:t>
            </w:r>
          </w:p>
        </w:tc>
        <w:tc>
          <w:tcPr>
            <w:tcW w:w="7655" w:type="dxa"/>
          </w:tcPr>
          <w:p w14:paraId="6EF35431">
            <w:pPr>
              <w:autoSpaceDE w:val="0"/>
              <w:autoSpaceDN w:val="0"/>
              <w:adjustRightInd w:val="0"/>
              <w:spacing w:after="0" w:line="240" w:lineRule="auto"/>
              <w:jc w:val="both"/>
              <w:rPr>
                <w:rFonts w:eastAsia="CIDFont+F1" w:cs="Times New Roman"/>
                <w:color w:val="auto"/>
                <w:kern w:val="0"/>
              </w:rPr>
            </w:pPr>
            <w:r>
              <w:rPr>
                <w:rFonts w:eastAsia="CIDFont+F1" w:cs="Times New Roman"/>
                <w:color w:val="auto"/>
                <w:kern w:val="0"/>
              </w:rPr>
              <w:t xml:space="preserve">As Obras consistem em: </w:t>
            </w:r>
            <w:r>
              <w:rPr>
                <w:rFonts w:hint="default" w:eastAsia="CIDFont+F1"/>
                <w:color w:val="auto"/>
                <w:kern w:val="0"/>
              </w:rPr>
              <w:t>execução das obras de reforma e ampliação do Centro Social Rural do Distrito Indápolis, no município de Dourados/MS</w:t>
            </w:r>
            <w:r>
              <w:rPr>
                <w:rFonts w:hint="default" w:eastAsia="CIDFont+F1"/>
                <w:color w:val="auto"/>
                <w:kern w:val="0"/>
                <w:lang w:val="pt-BR"/>
              </w:rPr>
              <w:t>.</w:t>
            </w:r>
            <w:r>
              <w:rPr>
                <w:rFonts w:eastAsia="CIDFont+F1" w:cs="Times New Roman"/>
                <w:color w:val="auto"/>
                <w:kern w:val="0"/>
              </w:rPr>
              <w:t xml:space="preserve"> </w:t>
            </w:r>
          </w:p>
        </w:tc>
      </w:tr>
      <w:tr w14:paraId="66E9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C00F515">
            <w:pPr>
              <w:spacing w:before="120" w:after="120"/>
              <w:jc w:val="both"/>
              <w:rPr>
                <w:b/>
                <w:iCs/>
              </w:rPr>
            </w:pPr>
            <w:r>
              <w:rPr>
                <w:b/>
                <w:iCs/>
              </w:rPr>
              <w:t>1.1 (dd)</w:t>
            </w:r>
          </w:p>
        </w:tc>
        <w:tc>
          <w:tcPr>
            <w:tcW w:w="7655" w:type="dxa"/>
          </w:tcPr>
          <w:p w14:paraId="4D1BD009">
            <w:pPr>
              <w:autoSpaceDE w:val="0"/>
              <w:autoSpaceDN w:val="0"/>
              <w:adjustRightInd w:val="0"/>
              <w:spacing w:after="0" w:line="240" w:lineRule="auto"/>
              <w:jc w:val="both"/>
              <w:rPr>
                <w:rFonts w:eastAsia="CIDFont+F1" w:cs="Times New Roman"/>
                <w:color w:val="auto"/>
                <w:kern w:val="0"/>
              </w:rPr>
            </w:pPr>
            <w:r>
              <w:rPr>
                <w:rFonts w:cs="Times New Roman"/>
                <w:bCs/>
                <w:iCs/>
                <w:color w:val="auto"/>
              </w:rPr>
              <w:t>O Período de Correção dos Defeitos é</w:t>
            </w:r>
            <w:r>
              <w:rPr>
                <w:rFonts w:eastAsia="CIDFont+F1" w:cs="Times New Roman"/>
                <w:color w:val="auto"/>
                <w:kern w:val="0"/>
              </w:rPr>
              <w:t xml:space="preserve"> 05 (cinco) anos após o Termo de Recebimento Definitivo(TRD) da Obra.</w:t>
            </w:r>
          </w:p>
        </w:tc>
      </w:tr>
      <w:tr w14:paraId="435D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4BFF0F95">
            <w:pPr>
              <w:spacing w:before="120" w:after="120"/>
              <w:jc w:val="both"/>
              <w:rPr>
                <w:b/>
                <w:iCs/>
              </w:rPr>
            </w:pPr>
            <w:r>
              <w:rPr>
                <w:b/>
                <w:iCs/>
              </w:rPr>
              <w:t>1.1 (ff)</w:t>
            </w:r>
          </w:p>
        </w:tc>
        <w:tc>
          <w:tcPr>
            <w:tcW w:w="7655" w:type="dxa"/>
          </w:tcPr>
          <w:p w14:paraId="419D77F1">
            <w:pPr>
              <w:autoSpaceDE w:val="0"/>
              <w:autoSpaceDN w:val="0"/>
              <w:adjustRightInd w:val="0"/>
              <w:spacing w:after="0" w:line="240" w:lineRule="auto"/>
              <w:jc w:val="both"/>
              <w:rPr>
                <w:rFonts w:cs="Times New Roman"/>
                <w:b/>
                <w:bCs/>
                <w:iCs/>
              </w:rPr>
            </w:pPr>
            <w:r>
              <w:rPr>
                <w:rFonts w:cs="Times New Roman"/>
                <w:b/>
                <w:bCs/>
                <w:iCs/>
              </w:rPr>
              <w:t xml:space="preserve">Valor do Contrato: </w:t>
            </w:r>
          </w:p>
          <w:p w14:paraId="32CF078B">
            <w:pPr>
              <w:spacing w:afterLines="50" w:line="240" w:lineRule="auto"/>
              <w:jc w:val="both"/>
              <w:rPr>
                <w:rFonts w:cs="Times New Roman"/>
              </w:rPr>
            </w:pPr>
            <w:r>
              <w:rPr>
                <w:rFonts w:cs="Times New Roman" w:eastAsiaTheme="minorEastAsia"/>
                <w:snapToGrid w:val="0"/>
              </w:rPr>
              <w:t>Nos preços contratados estão computadas todas as despesas diretas e indiretas relacionadas à execução dos serviços, tais como: instalação do canteiro de obras, serviços topográficos, de laboratório e sinalização, despesas com materiais, equipamentos, combustíveis, lubrificantes, prêmios de seguro, taxas, inclusive de administração, emolumentos, manutenção dos equipamentos, mão de obra, auxílio-alimentação ou refeição, transportes, hospedagem e locomoção (ida e volta, da sede e/ou canteiro da Contratada ao Município), energia elétrica, telefone, abastecimento de água, manutenção de escritório, encargos trabalhistas, previdenciários, fiscais e comerciais, os tributos incidentes ou que venham a incidir sobre os serviços e outros não especificados, mas relacionados com a execução dos serviços e necessários à perfeita execução do objeto.</w:t>
            </w:r>
          </w:p>
          <w:p w14:paraId="151FD77A">
            <w:pPr>
              <w:autoSpaceDE w:val="0"/>
              <w:autoSpaceDN w:val="0"/>
              <w:adjustRightInd w:val="0"/>
              <w:spacing w:after="0" w:line="240" w:lineRule="auto"/>
              <w:jc w:val="both"/>
              <w:rPr>
                <w:rFonts w:cs="Times New Roman"/>
                <w:b/>
                <w:bCs/>
                <w:iCs/>
              </w:rPr>
            </w:pPr>
          </w:p>
        </w:tc>
      </w:tr>
      <w:tr w14:paraId="6B70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6A7B4DAC">
            <w:pPr>
              <w:pStyle w:val="49"/>
              <w:numPr>
                <w:ilvl w:val="1"/>
                <w:numId w:val="45"/>
              </w:numPr>
              <w:spacing w:before="120" w:after="120"/>
              <w:jc w:val="both"/>
              <w:rPr>
                <w:b/>
                <w:iCs/>
              </w:rPr>
            </w:pPr>
            <w:r>
              <w:rPr>
                <w:b/>
                <w:iCs/>
              </w:rPr>
              <w:t>(mm)</w:t>
            </w:r>
          </w:p>
        </w:tc>
        <w:tc>
          <w:tcPr>
            <w:tcW w:w="7655" w:type="dxa"/>
          </w:tcPr>
          <w:p w14:paraId="4D5C5071">
            <w:pPr>
              <w:spacing w:afterLines="45" w:line="240" w:lineRule="auto"/>
              <w:jc w:val="both"/>
              <w:rPr>
                <w:rFonts w:eastAsia="SimSun"/>
                <w:b/>
              </w:rPr>
            </w:pPr>
            <w:r>
              <w:rPr>
                <w:rFonts w:eastAsia="SimSun"/>
                <w:b/>
              </w:rPr>
              <w:t>Regime de Execução</w:t>
            </w:r>
          </w:p>
          <w:p w14:paraId="57492363">
            <w:pPr>
              <w:spacing w:afterLines="45" w:line="240" w:lineRule="auto"/>
              <w:jc w:val="both"/>
              <w:rPr>
                <w:rFonts w:eastAsia="SimSun" w:cs="Times New Roman"/>
              </w:rPr>
            </w:pPr>
            <w:r>
              <w:rPr>
                <w:rFonts w:eastAsia="SimSun" w:cs="Times New Roman"/>
                <w:sz w:val="24"/>
                <w:szCs w:val="24"/>
              </w:rPr>
              <w:t>O presente objeto será prestado sob a forma de execução indireta, no regime de empreitada por preço unitário, conforme dispõe o inciso I do art.46 da Lei Federal nº 14.133/2021.</w:t>
            </w:r>
          </w:p>
          <w:p w14:paraId="5A0B9EF8">
            <w:pPr>
              <w:autoSpaceDE w:val="0"/>
              <w:autoSpaceDN w:val="0"/>
              <w:adjustRightInd w:val="0"/>
              <w:spacing w:after="0" w:line="240" w:lineRule="auto"/>
              <w:jc w:val="both"/>
              <w:rPr>
                <w:rFonts w:cs="Times New Roman"/>
                <w:bCs/>
                <w:iCs/>
                <w:color w:val="FF0000"/>
              </w:rPr>
            </w:pPr>
          </w:p>
        </w:tc>
      </w:tr>
      <w:tr w14:paraId="55FF4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21FB7D6B">
            <w:pPr>
              <w:spacing w:before="120" w:after="120"/>
              <w:jc w:val="both"/>
              <w:rPr>
                <w:b/>
                <w:iCs/>
              </w:rPr>
            </w:pPr>
            <w:r>
              <w:rPr>
                <w:b/>
                <w:iCs/>
              </w:rPr>
              <w:t>2.3</w:t>
            </w:r>
          </w:p>
        </w:tc>
        <w:tc>
          <w:tcPr>
            <w:tcW w:w="7655" w:type="dxa"/>
          </w:tcPr>
          <w:p w14:paraId="560F04EC">
            <w:pPr>
              <w:spacing w:before="120" w:after="120"/>
              <w:jc w:val="both"/>
              <w:rPr>
                <w:b/>
                <w:bCs/>
                <w:iCs/>
              </w:rPr>
            </w:pPr>
            <w:r>
              <w:rPr>
                <w:b/>
                <w:bCs/>
                <w:iCs/>
              </w:rPr>
              <w:t>Interpretação</w:t>
            </w:r>
          </w:p>
          <w:p w14:paraId="35D2B344">
            <w:pPr>
              <w:autoSpaceDE w:val="0"/>
              <w:autoSpaceDN w:val="0"/>
              <w:adjustRightInd w:val="0"/>
              <w:spacing w:after="0" w:line="240" w:lineRule="auto"/>
              <w:jc w:val="both"/>
              <w:rPr>
                <w:rFonts w:eastAsia="CIDFont+F1" w:cs="Times New Roman"/>
                <w:kern w:val="0"/>
              </w:rPr>
            </w:pPr>
            <w:r>
              <w:rPr>
                <w:rFonts w:eastAsia="CIDFont+F1" w:cs="Times New Roman"/>
                <w:kern w:val="0"/>
              </w:rPr>
              <w:t>O Gerente do Contrato fornecerá instruções para o esclarecimento de questões que surgirem a respeito das Condições Gerais do Contrato (CGC).</w:t>
            </w:r>
          </w:p>
          <w:p w14:paraId="7EBEB2DC">
            <w:pPr>
              <w:autoSpaceDE w:val="0"/>
              <w:autoSpaceDN w:val="0"/>
              <w:adjustRightInd w:val="0"/>
              <w:spacing w:after="0" w:line="240" w:lineRule="auto"/>
              <w:jc w:val="both"/>
              <w:rPr>
                <w:rFonts w:eastAsia="CIDFont+F1" w:cs="Times New Roman"/>
                <w:kern w:val="0"/>
              </w:rPr>
            </w:pPr>
          </w:p>
          <w:p w14:paraId="078D7CEE">
            <w:pPr>
              <w:autoSpaceDE w:val="0"/>
              <w:autoSpaceDN w:val="0"/>
              <w:adjustRightInd w:val="0"/>
              <w:spacing w:after="0" w:line="240" w:lineRule="auto"/>
              <w:jc w:val="both"/>
              <w:rPr>
                <w:rFonts w:eastAsia="CIDFont+F1" w:cs="Times New Roman"/>
                <w:kern w:val="0"/>
              </w:rPr>
            </w:pPr>
            <w:r>
              <w:rPr>
                <w:rFonts w:eastAsia="CIDFont+F1" w:cs="Times New Roman"/>
                <w:kern w:val="0"/>
              </w:rPr>
              <w:t>Os seguintes documentos também integram o Contrato, independente de transcrição:</w:t>
            </w:r>
          </w:p>
          <w:p w14:paraId="2C4E2CBA">
            <w:pPr>
              <w:autoSpaceDE w:val="0"/>
              <w:autoSpaceDN w:val="0"/>
              <w:adjustRightInd w:val="0"/>
              <w:spacing w:after="0" w:line="240" w:lineRule="auto"/>
              <w:jc w:val="both"/>
              <w:rPr>
                <w:rFonts w:eastAsia="CIDFont+F1" w:cs="Times New Roman"/>
                <w:kern w:val="0"/>
              </w:rPr>
            </w:pPr>
          </w:p>
          <w:p w14:paraId="6450D618">
            <w:pPr>
              <w:autoSpaceDE w:val="0"/>
              <w:autoSpaceDN w:val="0"/>
              <w:adjustRightInd w:val="0"/>
              <w:spacing w:after="0" w:line="240" w:lineRule="auto"/>
              <w:rPr>
                <w:rFonts w:eastAsia="CIDFont+F1" w:cs="Times New Roman"/>
                <w:kern w:val="0"/>
              </w:rPr>
            </w:pPr>
            <w:r>
              <w:rPr>
                <w:rFonts w:eastAsia="CIDFont+F1" w:cs="Times New Roman"/>
                <w:kern w:val="0"/>
              </w:rPr>
              <w:t>(1) Termo de Contrato;</w:t>
            </w:r>
          </w:p>
          <w:p w14:paraId="1000E110">
            <w:pPr>
              <w:autoSpaceDE w:val="0"/>
              <w:autoSpaceDN w:val="0"/>
              <w:adjustRightInd w:val="0"/>
              <w:spacing w:after="0" w:line="240" w:lineRule="auto"/>
              <w:rPr>
                <w:rFonts w:eastAsia="CIDFont+F1" w:cs="Times New Roman"/>
                <w:kern w:val="0"/>
              </w:rPr>
            </w:pPr>
            <w:r>
              <w:rPr>
                <w:rFonts w:eastAsia="CIDFont+F1" w:cs="Times New Roman"/>
                <w:kern w:val="0"/>
              </w:rPr>
              <w:t>(2) Carta de Aceitação;</w:t>
            </w:r>
          </w:p>
          <w:p w14:paraId="6FFD36E2">
            <w:pPr>
              <w:autoSpaceDE w:val="0"/>
              <w:autoSpaceDN w:val="0"/>
              <w:adjustRightInd w:val="0"/>
              <w:spacing w:after="0" w:line="240" w:lineRule="auto"/>
              <w:rPr>
                <w:rFonts w:eastAsia="CIDFont+F1" w:cs="Times New Roman"/>
                <w:kern w:val="0"/>
              </w:rPr>
            </w:pPr>
            <w:r>
              <w:rPr>
                <w:rFonts w:eastAsia="CIDFont+F1" w:cs="Times New Roman"/>
                <w:kern w:val="0"/>
              </w:rPr>
              <w:t>(3) Dados do Contrato (DDC);</w:t>
            </w:r>
          </w:p>
          <w:p w14:paraId="15D6A4A9">
            <w:pPr>
              <w:spacing w:before="120" w:after="120"/>
              <w:jc w:val="both"/>
              <w:rPr>
                <w:b/>
                <w:bCs/>
                <w:i/>
                <w:lang w:val="pt-PT"/>
              </w:rPr>
            </w:pPr>
            <w:r>
              <w:rPr>
                <w:rFonts w:eastAsia="CIDFont+F1" w:cs="Times New Roman"/>
                <w:kern w:val="0"/>
              </w:rPr>
              <w:t>(4) Condições Gerais do Contrato (CGC).</w:t>
            </w:r>
          </w:p>
        </w:tc>
      </w:tr>
      <w:tr w14:paraId="17C2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1A657C7F">
            <w:pPr>
              <w:spacing w:before="120" w:after="120"/>
              <w:jc w:val="both"/>
              <w:rPr>
                <w:b/>
                <w:iCs/>
              </w:rPr>
            </w:pPr>
            <w:r>
              <w:rPr>
                <w:b/>
                <w:iCs/>
              </w:rPr>
              <w:t>4.</w:t>
            </w:r>
            <w:r>
              <w:rPr>
                <w:b/>
                <w:iCs/>
                <w:lang w:val="pt-PT"/>
              </w:rPr>
              <w:t>2</w:t>
            </w:r>
          </w:p>
        </w:tc>
        <w:tc>
          <w:tcPr>
            <w:tcW w:w="7655" w:type="dxa"/>
          </w:tcPr>
          <w:p w14:paraId="52F697D5">
            <w:pPr>
              <w:autoSpaceDE w:val="0"/>
              <w:autoSpaceDN w:val="0"/>
              <w:adjustRightInd w:val="0"/>
              <w:spacing w:after="0" w:line="240" w:lineRule="auto"/>
              <w:jc w:val="both"/>
              <w:rPr>
                <w:rFonts w:cs="Times New Roman"/>
                <w:b/>
                <w:bCs/>
                <w:kern w:val="0"/>
              </w:rPr>
            </w:pPr>
            <w:r>
              <w:rPr>
                <w:rFonts w:cs="Times New Roman"/>
                <w:b/>
                <w:bCs/>
                <w:kern w:val="0"/>
              </w:rPr>
              <w:t>Decisões do Gerente do Contrato</w:t>
            </w:r>
          </w:p>
          <w:p w14:paraId="2431B3E8">
            <w:pPr>
              <w:autoSpaceDE w:val="0"/>
              <w:autoSpaceDN w:val="0"/>
              <w:adjustRightInd w:val="0"/>
              <w:spacing w:after="0" w:line="240" w:lineRule="auto"/>
              <w:jc w:val="both"/>
              <w:rPr>
                <w:rFonts w:eastAsia="CIDFont+F1" w:cs="Times New Roman"/>
                <w:kern w:val="0"/>
              </w:rPr>
            </w:pPr>
          </w:p>
          <w:p w14:paraId="76DA4C60">
            <w:pPr>
              <w:autoSpaceDE w:val="0"/>
              <w:autoSpaceDN w:val="0"/>
              <w:adjustRightInd w:val="0"/>
              <w:spacing w:after="0" w:line="240" w:lineRule="auto"/>
              <w:jc w:val="both"/>
              <w:rPr>
                <w:rFonts w:eastAsia="CIDFont+F1" w:cs="Times New Roman"/>
                <w:kern w:val="0"/>
              </w:rPr>
            </w:pPr>
            <w:r>
              <w:rPr>
                <w:rFonts w:eastAsia="CIDFont+F1" w:cs="Times New Roman"/>
                <w:kern w:val="0"/>
              </w:rPr>
              <w:t xml:space="preserve">Gerente do Contrato é: </w:t>
            </w:r>
            <w:r>
              <w:rPr>
                <w:rFonts w:hint="default" w:eastAsia="CIDFont+F1"/>
                <w:kern w:val="0"/>
              </w:rPr>
              <w:t xml:space="preserve"> [indicar]</w:t>
            </w:r>
          </w:p>
          <w:p w14:paraId="2430DBF3">
            <w:pPr>
              <w:spacing w:before="120" w:after="120"/>
              <w:jc w:val="both"/>
              <w:rPr>
                <w:rFonts w:eastAsia="CIDFont+F1" w:cs="Times New Roman"/>
                <w:kern w:val="0"/>
              </w:rPr>
            </w:pPr>
            <w:r>
              <w:rPr>
                <w:rFonts w:eastAsia="CIDFont+F1" w:cs="Times New Roman"/>
                <w:kern w:val="0"/>
              </w:rPr>
              <w:t>A equipe de Fiscalização do Contrato será publicada em resolução própria.</w:t>
            </w:r>
          </w:p>
        </w:tc>
      </w:tr>
      <w:tr w14:paraId="381D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1B6D1BAC">
            <w:pPr>
              <w:spacing w:before="120" w:after="120"/>
              <w:jc w:val="both"/>
              <w:rPr>
                <w:b/>
                <w:iCs/>
              </w:rPr>
            </w:pPr>
            <w:r>
              <w:rPr>
                <w:b/>
                <w:iCs/>
              </w:rPr>
              <w:t xml:space="preserve">6.4 </w:t>
            </w:r>
          </w:p>
        </w:tc>
        <w:tc>
          <w:tcPr>
            <w:tcW w:w="7655" w:type="dxa"/>
          </w:tcPr>
          <w:p w14:paraId="770DB28B">
            <w:pPr>
              <w:pStyle w:val="91"/>
            </w:pPr>
            <w:r>
              <w:t>Endereço para Comunicação</w:t>
            </w:r>
          </w:p>
          <w:p w14:paraId="73CA6F27">
            <w:pPr>
              <w:pStyle w:val="49"/>
              <w:widowControl w:val="0"/>
              <w:autoSpaceDE w:val="0"/>
              <w:autoSpaceDN w:val="0"/>
              <w:ind w:left="0" w:right="-1"/>
              <w:contextualSpacing w:val="0"/>
              <w:rPr>
                <w:lang w:eastAsia="it-IT"/>
              </w:rPr>
            </w:pPr>
            <w:bookmarkStart w:id="671" w:name="_Hlk139293120"/>
            <w:r>
              <w:t>Os itens componentes do objeto, como documentos e medições, deverão ser entregues</w:t>
            </w:r>
            <w:bookmarkEnd w:id="671"/>
            <w:r>
              <w:t xml:space="preserve"> no seguinte endereço: </w:t>
            </w:r>
            <w:r>
              <w:rPr>
                <w:szCs w:val="24"/>
              </w:rPr>
              <w:t xml:space="preserve">Rua Coronel Ponciano, 1700 - Parque dos Jequitibás e e-mail: </w:t>
            </w:r>
            <w:r>
              <w:rPr>
                <w:rFonts w:hint="default"/>
                <w:szCs w:val="24"/>
                <w:lang w:val="pt-BR"/>
              </w:rPr>
              <w:fldChar w:fldCharType="begin"/>
            </w:r>
            <w:r>
              <w:rPr>
                <w:rFonts w:hint="default"/>
                <w:szCs w:val="24"/>
                <w:lang w:val="pt-BR"/>
              </w:rPr>
              <w:instrText xml:space="preserve"> HYPERLINK "mailto:contratos.licitacoes@dourados.ms.gov.br" </w:instrText>
            </w:r>
            <w:r>
              <w:rPr>
                <w:rFonts w:hint="default"/>
                <w:szCs w:val="24"/>
                <w:lang w:val="pt-BR"/>
              </w:rPr>
              <w:fldChar w:fldCharType="separate"/>
            </w:r>
            <w:r>
              <w:rPr>
                <w:rStyle w:val="16"/>
                <w:rFonts w:hint="default"/>
                <w:szCs w:val="24"/>
                <w:lang w:val="pt-BR"/>
              </w:rPr>
              <w:t>contratos.licitacoes@dourados.ms.gov.br</w:t>
            </w:r>
            <w:r>
              <w:rPr>
                <w:rFonts w:hint="default"/>
                <w:szCs w:val="24"/>
                <w:lang w:val="pt-BR"/>
              </w:rPr>
              <w:fldChar w:fldCharType="end"/>
            </w:r>
            <w:r>
              <w:rPr>
                <w:rFonts w:hint="default"/>
                <w:szCs w:val="24"/>
                <w:lang w:val="pt-BR"/>
              </w:rPr>
              <w:t xml:space="preserve">  com copia para </w:t>
            </w:r>
            <w:r>
              <w:fldChar w:fldCharType="begin"/>
            </w:r>
            <w:r>
              <w:instrText xml:space="preserve"> HYPERLINK "mailto:ugp.fonplata@dourados.ms.gov.br" \o "mailto:ugp.fonplata@dourados.ms.gov.br" </w:instrText>
            </w:r>
            <w:r>
              <w:fldChar w:fldCharType="separate"/>
            </w:r>
            <w:r>
              <w:rPr>
                <w:rStyle w:val="16"/>
                <w:rFonts w:eastAsia="Arial"/>
                <w:color w:val="1155CC"/>
                <w:shd w:val="clear" w:color="auto" w:fill="FFFFFF"/>
              </w:rPr>
              <w:t>ugp.fonplata@dourados.ms.gov.br</w:t>
            </w:r>
            <w:r>
              <w:rPr>
                <w:rStyle w:val="16"/>
                <w:rFonts w:eastAsia="Arial"/>
                <w:color w:val="1155CC"/>
                <w:shd w:val="clear" w:color="auto" w:fill="FFFFFF"/>
              </w:rPr>
              <w:fldChar w:fldCharType="end"/>
            </w:r>
          </w:p>
        </w:tc>
      </w:tr>
      <w:tr w14:paraId="4CBE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11CBE34E">
            <w:pPr>
              <w:spacing w:before="120" w:after="120"/>
              <w:jc w:val="both"/>
              <w:rPr>
                <w:b/>
                <w:iCs/>
              </w:rPr>
            </w:pPr>
            <w:r>
              <w:rPr>
                <w:b/>
                <w:iCs/>
              </w:rPr>
              <w:t>7.1</w:t>
            </w:r>
          </w:p>
        </w:tc>
        <w:tc>
          <w:tcPr>
            <w:tcW w:w="7655" w:type="dxa"/>
          </w:tcPr>
          <w:p w14:paraId="293E794A">
            <w:pPr>
              <w:pStyle w:val="91"/>
            </w:pPr>
            <w:r>
              <w:t>Subcontratação</w:t>
            </w:r>
          </w:p>
          <w:p w14:paraId="2DC58041">
            <w:pPr>
              <w:spacing w:before="120" w:after="120"/>
              <w:rPr>
                <w:rFonts w:cs="Times New Roman"/>
              </w:rPr>
            </w:pPr>
            <w:r>
              <w:rPr>
                <w:rFonts w:cs="Times New Roman"/>
                <w:kern w:val="0"/>
              </w:rPr>
              <w:t>Não será admitida a subcontratação.</w:t>
            </w:r>
          </w:p>
        </w:tc>
      </w:tr>
      <w:tr w14:paraId="7F35A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123FFA8">
            <w:pPr>
              <w:spacing w:before="120" w:after="120"/>
              <w:jc w:val="both"/>
              <w:rPr>
                <w:b/>
                <w:iCs/>
              </w:rPr>
            </w:pPr>
            <w:r>
              <w:rPr>
                <w:b/>
                <w:iCs/>
              </w:rPr>
              <w:t>8.1</w:t>
            </w:r>
          </w:p>
        </w:tc>
        <w:tc>
          <w:tcPr>
            <w:tcW w:w="7655" w:type="dxa"/>
          </w:tcPr>
          <w:p w14:paraId="1526F195">
            <w:pPr>
              <w:spacing w:before="120" w:after="120"/>
              <w:jc w:val="both"/>
              <w:rPr>
                <w:b/>
                <w:bCs/>
                <w:iCs/>
              </w:rPr>
            </w:pPr>
            <w:r>
              <w:rPr>
                <w:b/>
                <w:bCs/>
                <w:iCs/>
              </w:rPr>
              <w:t xml:space="preserve">Outros Contratados </w:t>
            </w:r>
          </w:p>
          <w:p w14:paraId="6DEF3467">
            <w:pPr>
              <w:spacing w:before="120" w:after="120"/>
              <w:jc w:val="both"/>
              <w:rPr>
                <w:bCs/>
                <w:iCs/>
              </w:rPr>
            </w:pPr>
            <w:r>
              <w:rPr>
                <w:bCs/>
                <w:iCs/>
              </w:rPr>
              <w:t>Não aplicável</w:t>
            </w:r>
          </w:p>
        </w:tc>
      </w:tr>
      <w:tr w14:paraId="7E62F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264B7A2">
            <w:pPr>
              <w:spacing w:before="120" w:after="120"/>
              <w:jc w:val="both"/>
              <w:rPr>
                <w:b/>
                <w:iCs/>
              </w:rPr>
            </w:pPr>
            <w:r>
              <w:rPr>
                <w:b/>
                <w:iCs/>
              </w:rPr>
              <w:t>9.1</w:t>
            </w:r>
          </w:p>
        </w:tc>
        <w:tc>
          <w:tcPr>
            <w:tcW w:w="7655" w:type="dxa"/>
          </w:tcPr>
          <w:p w14:paraId="79E3B338">
            <w:pPr>
              <w:spacing w:before="120" w:after="120"/>
              <w:jc w:val="both"/>
              <w:rPr>
                <w:b/>
                <w:bCs/>
                <w:iCs/>
              </w:rPr>
            </w:pPr>
            <w:r>
              <w:rPr>
                <w:b/>
                <w:bCs/>
                <w:iCs/>
              </w:rPr>
              <w:t>Pessoal</w:t>
            </w:r>
          </w:p>
          <w:p w14:paraId="0D9DBA74">
            <w:pPr>
              <w:spacing w:before="120" w:after="120"/>
              <w:jc w:val="both"/>
              <w:rPr>
                <w:bCs/>
                <w:i/>
                <w:iCs/>
              </w:rPr>
            </w:pPr>
            <w:r>
              <w:rPr>
                <w:bCs/>
                <w:iCs/>
              </w:rPr>
              <w:t xml:space="preserve">O Quadro do Pessoal indicado para a execução das Obras </w:t>
            </w:r>
            <w:r>
              <w:rPr>
                <w:bCs/>
                <w:i/>
                <w:iCs/>
                <w:highlight w:val="yellow"/>
              </w:rPr>
              <w:t>[indicar o pessoal do Contratado após a adjudicação]</w:t>
            </w:r>
          </w:p>
          <w:p w14:paraId="6EEA91BE">
            <w:pPr>
              <w:spacing w:before="120" w:after="120"/>
              <w:jc w:val="both"/>
              <w:rPr>
                <w:bCs/>
                <w:i/>
                <w:iCs/>
              </w:rPr>
            </w:pPr>
            <w:r>
              <w:rPr>
                <w:bCs/>
                <w:i/>
                <w:iCs/>
                <w:highlight w:val="yellow"/>
              </w:rPr>
              <w:t>[indicar o Especialista para o acompanhamento dos requisitos Ambientais e Sociais do PGAS]</w:t>
            </w:r>
          </w:p>
        </w:tc>
      </w:tr>
      <w:tr w14:paraId="11C0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32B95584">
            <w:pPr>
              <w:spacing w:before="120" w:after="120"/>
              <w:jc w:val="both"/>
              <w:rPr>
                <w:b/>
                <w:iCs/>
              </w:rPr>
            </w:pPr>
            <w:r>
              <w:rPr>
                <w:b/>
                <w:iCs/>
              </w:rPr>
              <w:t>13.1.1</w:t>
            </w:r>
          </w:p>
        </w:tc>
        <w:tc>
          <w:tcPr>
            <w:tcW w:w="7655" w:type="dxa"/>
          </w:tcPr>
          <w:p w14:paraId="0D1CD024">
            <w:pPr>
              <w:spacing w:before="120" w:after="120"/>
              <w:jc w:val="both"/>
              <w:rPr>
                <w:b/>
                <w:bCs/>
                <w:iCs/>
              </w:rPr>
            </w:pPr>
            <w:r>
              <w:rPr>
                <w:b/>
                <w:bCs/>
                <w:iCs/>
              </w:rPr>
              <w:t>Seguro</w:t>
            </w:r>
          </w:p>
          <w:p w14:paraId="205459B7">
            <w:pPr>
              <w:pStyle w:val="21"/>
              <w:rPr>
                <w:szCs w:val="22"/>
              </w:rPr>
            </w:pPr>
            <w:r>
              <w:rPr>
                <w:szCs w:val="22"/>
              </w:rPr>
              <w:t>No contrato de seguro de riscos de engenharia deverá constar, obrigatoriamente, além da cobertura básica correspondente a solidez das obras conforme previsão no art. 618 do Código Civil Brasileiro, as seguintes coberturas adicionais de:</w:t>
            </w:r>
          </w:p>
          <w:p w14:paraId="130E2B6A">
            <w:pPr>
              <w:spacing w:before="120" w:after="120"/>
              <w:ind w:left="567"/>
              <w:rPr>
                <w:rFonts w:cs="Times New Roman"/>
              </w:rPr>
            </w:pPr>
            <w:r>
              <w:rPr>
                <w:rFonts w:cs="Times New Roman"/>
              </w:rPr>
              <w:t>(a) despesas extraordinárias: 10% do valor do contrato.</w:t>
            </w:r>
          </w:p>
          <w:p w14:paraId="04C36FFA">
            <w:pPr>
              <w:spacing w:before="120" w:after="120"/>
              <w:ind w:left="567"/>
              <w:rPr>
                <w:rFonts w:cs="Times New Roman"/>
              </w:rPr>
            </w:pPr>
            <w:r>
              <w:rPr>
                <w:rFonts w:cs="Times New Roman"/>
              </w:rPr>
              <w:t>(b) despesas de desentulho: 10% do valor do contrato.</w:t>
            </w:r>
          </w:p>
          <w:p w14:paraId="21CEFDED">
            <w:pPr>
              <w:spacing w:before="120" w:after="120"/>
              <w:ind w:left="567"/>
              <w:rPr>
                <w:rFonts w:cs="Times New Roman"/>
              </w:rPr>
            </w:pPr>
            <w:r>
              <w:rPr>
                <w:rFonts w:cs="Times New Roman"/>
              </w:rPr>
              <w:t>(c) equipamentos utilizados na obra: 10% do valor do contato.</w:t>
            </w:r>
          </w:p>
          <w:p w14:paraId="6E1CEC3D">
            <w:pPr>
              <w:spacing w:before="120" w:after="120"/>
              <w:ind w:left="567"/>
              <w:rPr>
                <w:rFonts w:cs="Times New Roman"/>
              </w:rPr>
            </w:pPr>
            <w:r>
              <w:rPr>
                <w:rFonts w:cs="Times New Roman"/>
              </w:rPr>
              <w:t>(d) danos em consequência de erro na execução dos projetos: 10% do valor do contrato.</w:t>
            </w:r>
          </w:p>
          <w:p w14:paraId="5530D12A">
            <w:pPr>
              <w:spacing w:before="120" w:after="120"/>
              <w:ind w:left="567"/>
              <w:rPr>
                <w:rFonts w:cs="Times New Roman"/>
              </w:rPr>
            </w:pPr>
            <w:r>
              <w:rPr>
                <w:rFonts w:cs="Times New Roman"/>
              </w:rPr>
              <w:t>(e) responsabilidade civil geral/cruzada: 10% do valor do contrato.</w:t>
            </w:r>
          </w:p>
        </w:tc>
      </w:tr>
      <w:tr w14:paraId="667F4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3F211ED2">
            <w:pPr>
              <w:spacing w:before="120" w:after="120"/>
              <w:jc w:val="both"/>
              <w:rPr>
                <w:b/>
                <w:iCs/>
              </w:rPr>
            </w:pPr>
            <w:r>
              <w:rPr>
                <w:b/>
                <w:iCs/>
              </w:rPr>
              <w:t>14.1</w:t>
            </w:r>
          </w:p>
        </w:tc>
        <w:tc>
          <w:tcPr>
            <w:tcW w:w="7655" w:type="dxa"/>
          </w:tcPr>
          <w:p w14:paraId="32F3AF11">
            <w:pPr>
              <w:pStyle w:val="91"/>
            </w:pPr>
            <w:r>
              <w:t>Relatório de Inspeção ao Local das Obras</w:t>
            </w:r>
          </w:p>
          <w:p w14:paraId="4A1E079F">
            <w:pPr>
              <w:rPr>
                <w:szCs w:val="24"/>
              </w:rPr>
            </w:pPr>
            <w:r>
              <w:rPr>
                <w:szCs w:val="24"/>
              </w:rPr>
              <w:t>O Relatório de Inspeção ao Local das Obras deverá ser feito pela empresa contratada e entregue à Unidade de Gerenciamento do Programa (UGP), com cópia para a Secretaria Municipal de Obras Públicas – SEMOP.</w:t>
            </w:r>
          </w:p>
          <w:p w14:paraId="6CACD712">
            <w:pPr>
              <w:rPr>
                <w:szCs w:val="24"/>
              </w:rPr>
            </w:pPr>
            <w:r>
              <w:rPr>
                <w:rFonts w:hint="default"/>
                <w:szCs w:val="24"/>
                <w:lang w:val="pt-BR"/>
              </w:rPr>
              <w:t>O</w:t>
            </w:r>
            <w:r>
              <w:rPr>
                <w:szCs w:val="24"/>
              </w:rPr>
              <w:t xml:space="preserve"> documento deverá conter uma avaliação completa do desenvolvimento das obras, condições dos locais de intervenção, situação dos equipamentos de infraestrutura existentes, possíveis remoções, soluções, fotografias e demais informações pertinentes.</w:t>
            </w:r>
          </w:p>
          <w:p w14:paraId="2FF5ABEF">
            <w:pPr>
              <w:rPr>
                <w:szCs w:val="24"/>
              </w:rPr>
            </w:pPr>
            <w:r>
              <w:rPr>
                <w:szCs w:val="24"/>
              </w:rPr>
              <w:t>O Relatório de Inspeção ao local das obras deverá ser fornecido antes do início e após o término das obras, obrigatoriamente, podendo ainda, ser exigido pelo Contratante no decorrer do contrato.</w:t>
            </w:r>
          </w:p>
        </w:tc>
      </w:tr>
      <w:tr w14:paraId="0E06E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31ED57E">
            <w:pPr>
              <w:spacing w:before="120" w:after="120"/>
              <w:jc w:val="both"/>
              <w:rPr>
                <w:b/>
                <w:iCs/>
              </w:rPr>
            </w:pPr>
            <w:r>
              <w:rPr>
                <w:b/>
                <w:iCs/>
              </w:rPr>
              <w:t>15.1</w:t>
            </w:r>
          </w:p>
        </w:tc>
        <w:tc>
          <w:tcPr>
            <w:tcW w:w="7655" w:type="dxa"/>
          </w:tcPr>
          <w:p w14:paraId="340A855C">
            <w:pPr>
              <w:spacing w:before="120" w:after="120"/>
              <w:jc w:val="both"/>
              <w:rPr>
                <w:b/>
                <w:bCs/>
                <w:iCs/>
              </w:rPr>
            </w:pPr>
            <w:r>
              <w:rPr>
                <w:b/>
                <w:bCs/>
                <w:iCs/>
              </w:rPr>
              <w:t>Obrigações do Contratante</w:t>
            </w:r>
          </w:p>
          <w:p w14:paraId="2D279AF7">
            <w:pPr>
              <w:spacing w:before="120" w:after="120"/>
              <w:jc w:val="both"/>
              <w:rPr>
                <w:bCs/>
                <w:iCs/>
              </w:rPr>
            </w:pPr>
            <w:r>
              <w:rPr>
                <w:bCs/>
                <w:iCs/>
              </w:rPr>
              <w:t>Além das indicadas nos CGC:</w:t>
            </w:r>
          </w:p>
          <w:p w14:paraId="0C4D4848">
            <w:pPr>
              <w:numPr>
                <w:ilvl w:val="0"/>
                <w:numId w:val="46"/>
              </w:numPr>
              <w:tabs>
                <w:tab w:val="left" w:pos="425"/>
              </w:tabs>
              <w:snapToGrid w:val="0"/>
              <w:spacing w:afterLines="40" w:line="240" w:lineRule="auto"/>
              <w:jc w:val="both"/>
              <w:rPr>
                <w:rFonts w:hint="default"/>
              </w:rPr>
            </w:pPr>
            <w:r>
              <w:rPr>
                <w:rFonts w:hint="default"/>
              </w:rPr>
              <w:t>Acompanhar e fiscalizar a execução deste Contrato, através do servidor designado, como representante do Contratante;</w:t>
            </w:r>
          </w:p>
          <w:p w14:paraId="7583BA3A">
            <w:pPr>
              <w:numPr>
                <w:ilvl w:val="0"/>
                <w:numId w:val="46"/>
              </w:numPr>
              <w:tabs>
                <w:tab w:val="left" w:pos="425"/>
              </w:tabs>
              <w:snapToGrid w:val="0"/>
              <w:spacing w:afterLines="40" w:line="240" w:lineRule="auto"/>
              <w:jc w:val="both"/>
              <w:rPr>
                <w:rFonts w:hint="default"/>
              </w:rPr>
            </w:pPr>
            <w:r>
              <w:rPr>
                <w:rFonts w:hint="default"/>
              </w:rPr>
              <w:t>Fornecer e colocar à disposição da Contratada todos os elementos e informações que se fizerem necessárias para a boa execução dos serviços;</w:t>
            </w:r>
          </w:p>
          <w:p w14:paraId="6772B132">
            <w:pPr>
              <w:numPr>
                <w:ilvl w:val="0"/>
                <w:numId w:val="46"/>
              </w:numPr>
              <w:tabs>
                <w:tab w:val="left" w:pos="425"/>
              </w:tabs>
              <w:snapToGrid w:val="0"/>
              <w:spacing w:afterLines="40" w:line="240" w:lineRule="auto"/>
              <w:jc w:val="both"/>
              <w:rPr>
                <w:rFonts w:hint="default"/>
              </w:rPr>
            </w:pPr>
            <w:r>
              <w:rPr>
                <w:rFonts w:hint="default"/>
              </w:rPr>
              <w:t>Manter a Contratada informada sobre quaisquer atos da Administração Pública que venham a interferir, direta ou indiretamente, no objeto da contratação;</w:t>
            </w:r>
          </w:p>
          <w:p w14:paraId="6933425C">
            <w:pPr>
              <w:numPr>
                <w:ilvl w:val="0"/>
                <w:numId w:val="46"/>
              </w:numPr>
              <w:tabs>
                <w:tab w:val="left" w:pos="425"/>
              </w:tabs>
              <w:snapToGrid w:val="0"/>
              <w:spacing w:afterLines="40" w:line="240" w:lineRule="auto"/>
              <w:jc w:val="both"/>
              <w:rPr>
                <w:rFonts w:hint="default"/>
              </w:rPr>
            </w:pPr>
            <w:r>
              <w:rPr>
                <w:rFonts w:hint="default"/>
              </w:rPr>
              <w:t>Notificar a Contratada, por escrito e com antecedência, sobre multas, penalidades e quaisquer débitos de sua responsabilidade;</w:t>
            </w:r>
          </w:p>
          <w:p w14:paraId="6056C910">
            <w:pPr>
              <w:numPr>
                <w:ilvl w:val="0"/>
                <w:numId w:val="46"/>
              </w:numPr>
              <w:tabs>
                <w:tab w:val="left" w:pos="425"/>
              </w:tabs>
              <w:snapToGrid w:val="0"/>
              <w:spacing w:afterLines="40" w:line="240" w:lineRule="auto"/>
              <w:jc w:val="both"/>
              <w:rPr>
                <w:rFonts w:hint="default"/>
              </w:rPr>
            </w:pPr>
            <w:r>
              <w:rPr>
                <w:rFonts w:hint="default"/>
              </w:rPr>
              <w:t>Notificar formal e tempestivamente a Contratada sobre as irregularidades observadas no cumprimento deste Contrato;</w:t>
            </w:r>
          </w:p>
          <w:p w14:paraId="2F18476F">
            <w:pPr>
              <w:numPr>
                <w:ilvl w:val="0"/>
                <w:numId w:val="46"/>
              </w:numPr>
              <w:tabs>
                <w:tab w:val="left" w:pos="425"/>
              </w:tabs>
              <w:snapToGrid w:val="0"/>
              <w:spacing w:afterLines="40" w:line="240" w:lineRule="auto"/>
              <w:jc w:val="both"/>
              <w:rPr>
                <w:rFonts w:hint="default"/>
              </w:rPr>
            </w:pPr>
            <w:r>
              <w:rPr>
                <w:rFonts w:hint="default"/>
              </w:rPr>
              <w:t>Observar se durante a vigência do Contrato estão sendo cumpridas as obrigações assumidas pela Contratada, bem como mantidas todas as condições de habilitação e qualificação exigidas na licitação;</w:t>
            </w:r>
          </w:p>
          <w:p w14:paraId="72D29DE4">
            <w:pPr>
              <w:numPr>
                <w:ilvl w:val="0"/>
                <w:numId w:val="46"/>
              </w:numPr>
              <w:tabs>
                <w:tab w:val="left" w:pos="425"/>
              </w:tabs>
              <w:snapToGrid w:val="0"/>
              <w:spacing w:afterLines="40" w:line="240" w:lineRule="auto"/>
              <w:jc w:val="both"/>
              <w:rPr>
                <w:rFonts w:hint="default"/>
              </w:rPr>
            </w:pPr>
            <w:r>
              <w:rPr>
                <w:rFonts w:hint="default"/>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2F24A55">
            <w:pPr>
              <w:numPr>
                <w:ilvl w:val="0"/>
                <w:numId w:val="46"/>
              </w:numPr>
              <w:tabs>
                <w:tab w:val="left" w:pos="425"/>
              </w:tabs>
              <w:snapToGrid w:val="0"/>
              <w:spacing w:afterLines="40" w:line="240" w:lineRule="auto"/>
              <w:jc w:val="both"/>
              <w:rPr>
                <w:rFonts w:hint="default"/>
              </w:rPr>
            </w:pPr>
            <w:r>
              <w:rPr>
                <w:rFonts w:hint="default"/>
              </w:rPr>
              <w:t>Proporcionar boas condições para a boa execução dos serviços;</w:t>
            </w:r>
          </w:p>
          <w:p w14:paraId="04377870">
            <w:pPr>
              <w:numPr>
                <w:ilvl w:val="0"/>
                <w:numId w:val="46"/>
              </w:numPr>
              <w:tabs>
                <w:tab w:val="left" w:pos="425"/>
              </w:tabs>
              <w:snapToGrid w:val="0"/>
              <w:spacing w:afterLines="40" w:line="240" w:lineRule="auto"/>
              <w:jc w:val="both"/>
              <w:rPr>
                <w:rFonts w:hint="default"/>
              </w:rPr>
            </w:pPr>
            <w:r>
              <w:rPr>
                <w:rFonts w:hint="default"/>
              </w:rPr>
              <w:t>Efetuar o pagamento à Contratada do valor correspondente à execução do objeto, no prazo, forma e condições estabelecidos no presente Contrato;</w:t>
            </w:r>
          </w:p>
          <w:p w14:paraId="4DF3B681">
            <w:pPr>
              <w:numPr>
                <w:ilvl w:val="0"/>
                <w:numId w:val="46"/>
              </w:numPr>
              <w:tabs>
                <w:tab w:val="left" w:pos="425"/>
              </w:tabs>
              <w:snapToGrid w:val="0"/>
              <w:spacing w:afterLines="40" w:line="240" w:lineRule="auto"/>
              <w:jc w:val="both"/>
              <w:rPr>
                <w:rFonts w:hint="default"/>
              </w:rPr>
            </w:pPr>
            <w:r>
              <w:rPr>
                <w:rFonts w:hint="default"/>
              </w:rPr>
              <w:t>Não praticar atos de ingerência na administração da Contratada, tais como:</w:t>
            </w:r>
          </w:p>
          <w:p w14:paraId="7B4F8258">
            <w:pPr>
              <w:numPr>
                <w:ilvl w:val="0"/>
                <w:numId w:val="0"/>
              </w:numPr>
              <w:snapToGrid w:val="0"/>
              <w:spacing w:afterLines="40" w:line="240" w:lineRule="auto"/>
              <w:ind w:left="880" w:leftChars="300" w:hanging="220" w:hangingChars="100"/>
              <w:jc w:val="both"/>
              <w:rPr>
                <w:rFonts w:hint="default"/>
                <w:lang w:val="pt-BR"/>
              </w:rPr>
            </w:pPr>
            <w:r>
              <w:rPr>
                <w:rFonts w:hint="default"/>
                <w:lang w:val="pt-BR"/>
              </w:rPr>
              <w:t>I Indicar pessoas expressamente nominadas para executar direta ou indiretamente o objeto do Contrato.</w:t>
            </w:r>
          </w:p>
          <w:p w14:paraId="16BBECEF">
            <w:pPr>
              <w:numPr>
                <w:ilvl w:val="0"/>
                <w:numId w:val="0"/>
              </w:numPr>
              <w:snapToGrid w:val="0"/>
              <w:spacing w:afterLines="40" w:line="240" w:lineRule="auto"/>
              <w:ind w:left="880" w:leftChars="300" w:hanging="220" w:hangingChars="100"/>
              <w:jc w:val="both"/>
              <w:rPr>
                <w:rFonts w:hint="default"/>
                <w:lang w:val="pt-BR"/>
              </w:rPr>
            </w:pPr>
            <w:r>
              <w:rPr>
                <w:rFonts w:hint="default"/>
                <w:lang w:val="pt-BR"/>
              </w:rPr>
              <w:t>II Fixar salário inferior ao definido em lei ou em ato normativo a ser pago pela Contratada;</w:t>
            </w:r>
          </w:p>
          <w:p w14:paraId="223D6EE3">
            <w:pPr>
              <w:numPr>
                <w:ilvl w:val="0"/>
                <w:numId w:val="0"/>
              </w:numPr>
              <w:snapToGrid w:val="0"/>
              <w:spacing w:afterLines="40" w:line="240" w:lineRule="auto"/>
              <w:ind w:left="880" w:leftChars="300" w:hanging="220" w:hangingChars="100"/>
              <w:jc w:val="both"/>
              <w:rPr>
                <w:rFonts w:hint="default"/>
                <w:lang w:val="pt-BR"/>
              </w:rPr>
            </w:pPr>
            <w:r>
              <w:rPr>
                <w:rFonts w:hint="default"/>
                <w:lang w:val="pt-BR"/>
              </w:rPr>
              <w:t>III Estabelecer vínculo de subordinação com funcionário da Contratada;</w:t>
            </w:r>
          </w:p>
          <w:p w14:paraId="668EDFCF">
            <w:pPr>
              <w:numPr>
                <w:ilvl w:val="0"/>
                <w:numId w:val="0"/>
              </w:numPr>
              <w:snapToGrid w:val="0"/>
              <w:spacing w:afterLines="40" w:line="240" w:lineRule="auto"/>
              <w:ind w:left="880" w:leftChars="300" w:hanging="220" w:hangingChars="100"/>
              <w:jc w:val="both"/>
              <w:rPr>
                <w:rFonts w:hint="default"/>
                <w:lang w:val="pt-BR"/>
              </w:rPr>
            </w:pPr>
            <w:r>
              <w:rPr>
                <w:rFonts w:hint="default"/>
                <w:lang w:val="pt-BR"/>
              </w:rPr>
              <w:t>IV Definir forma de pagamento mediante exclusivo reembolso dos salários pagos;</w:t>
            </w:r>
          </w:p>
          <w:p w14:paraId="43CECB8B">
            <w:pPr>
              <w:numPr>
                <w:ilvl w:val="0"/>
                <w:numId w:val="0"/>
              </w:numPr>
              <w:snapToGrid w:val="0"/>
              <w:spacing w:afterLines="40" w:line="240" w:lineRule="auto"/>
              <w:ind w:left="880" w:leftChars="300" w:hanging="220" w:hangingChars="100"/>
              <w:jc w:val="both"/>
              <w:rPr>
                <w:rFonts w:hint="default"/>
                <w:lang w:val="pt-BR"/>
              </w:rPr>
            </w:pPr>
            <w:r>
              <w:rPr>
                <w:rFonts w:hint="default"/>
                <w:lang w:val="pt-BR"/>
              </w:rPr>
              <w:t>V Demandar a funcionário da Contratada a execução de tarefas fora do escopo do objeto da contratação; e</w:t>
            </w:r>
          </w:p>
          <w:p w14:paraId="5085BA25">
            <w:pPr>
              <w:numPr>
                <w:ilvl w:val="0"/>
                <w:numId w:val="0"/>
              </w:numPr>
              <w:snapToGrid w:val="0"/>
              <w:spacing w:afterLines="40" w:line="240" w:lineRule="auto"/>
              <w:ind w:left="880" w:leftChars="300" w:hanging="220" w:hangingChars="100"/>
              <w:jc w:val="both"/>
              <w:rPr>
                <w:rFonts w:hint="default"/>
                <w:lang w:val="pt-BR"/>
              </w:rPr>
            </w:pPr>
            <w:r>
              <w:rPr>
                <w:rFonts w:hint="default"/>
                <w:lang w:val="pt-BR"/>
              </w:rPr>
              <w:t>V IPrever exigências que constituam intervenção indevida da Administração na gestão interna da Contratada.</w:t>
            </w:r>
          </w:p>
          <w:p w14:paraId="08B58FCD">
            <w:pPr>
              <w:numPr>
                <w:ilvl w:val="0"/>
                <w:numId w:val="46"/>
              </w:numPr>
              <w:tabs>
                <w:tab w:val="left" w:pos="425"/>
              </w:tabs>
              <w:snapToGrid w:val="0"/>
              <w:spacing w:afterLines="40" w:line="240" w:lineRule="auto"/>
              <w:jc w:val="both"/>
              <w:rPr>
                <w:rFonts w:hint="default"/>
              </w:rPr>
            </w:pPr>
            <w:r>
              <w:rPr>
                <w:rFonts w:hint="default"/>
              </w:rPr>
              <w:t>Cientificar o órgão de representação judicial do Contratante para adoção das medidas cabíveis quando do descumprimento de obrigações pela Contratada;</w:t>
            </w:r>
          </w:p>
          <w:p w14:paraId="4C6AA99E">
            <w:pPr>
              <w:numPr>
                <w:ilvl w:val="0"/>
                <w:numId w:val="46"/>
              </w:numPr>
              <w:tabs>
                <w:tab w:val="left" w:pos="425"/>
              </w:tabs>
              <w:snapToGrid w:val="0"/>
              <w:spacing w:afterLines="40" w:line="240" w:lineRule="auto"/>
              <w:jc w:val="both"/>
              <w:rPr>
                <w:rFonts w:hint="default"/>
              </w:rPr>
            </w:pPr>
            <w:r>
              <w:rPr>
                <w:rFonts w:hint="default"/>
              </w:rPr>
              <w:t>Rejeitar, no todo ou em parte, os serviços entregues em desacordo com as obrigações assumidas pela Contratada;</w:t>
            </w:r>
          </w:p>
          <w:p w14:paraId="792F92C4">
            <w:pPr>
              <w:numPr>
                <w:ilvl w:val="0"/>
                <w:numId w:val="46"/>
              </w:numPr>
              <w:tabs>
                <w:tab w:val="left" w:pos="425"/>
              </w:tabs>
              <w:snapToGrid w:val="0"/>
              <w:spacing w:afterLines="40" w:line="240" w:lineRule="auto"/>
              <w:jc w:val="both"/>
              <w:rPr>
                <w:rFonts w:hint="default"/>
              </w:rPr>
            </w:pPr>
            <w:r>
              <w:rPr>
                <w:rFonts w:hint="default"/>
              </w:rPr>
              <w:t>Realizar avaliações periódicas da qualidade dos serviços, após seu recebimento;</w:t>
            </w:r>
          </w:p>
          <w:p w14:paraId="5CBF86EF">
            <w:pPr>
              <w:numPr>
                <w:ilvl w:val="0"/>
                <w:numId w:val="46"/>
              </w:numPr>
              <w:tabs>
                <w:tab w:val="left" w:pos="425"/>
              </w:tabs>
              <w:snapToGrid w:val="0"/>
              <w:spacing w:afterLines="40" w:line="240" w:lineRule="auto"/>
              <w:jc w:val="both"/>
              <w:rPr>
                <w:rFonts w:hint="default"/>
              </w:rPr>
            </w:pPr>
            <w:r>
              <w:rPr>
                <w:rFonts w:hint="default"/>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48B8580F">
            <w:pPr>
              <w:numPr>
                <w:ilvl w:val="0"/>
                <w:numId w:val="46"/>
              </w:numPr>
              <w:tabs>
                <w:tab w:val="left" w:pos="425"/>
              </w:tabs>
              <w:snapToGrid w:val="0"/>
              <w:spacing w:afterLines="40" w:line="240" w:lineRule="auto"/>
              <w:jc w:val="both"/>
              <w:rPr>
                <w:rFonts w:hint="default"/>
              </w:rPr>
            </w:pPr>
            <w:r>
              <w:rPr>
                <w:rFonts w:hint="default"/>
              </w:rPr>
              <w:t>Previamente à expedição da ordem de serviço, verificar pendências, liberar áreas e/ou adotar providências cabíveis para a regularidade do início da sua execução.</w:t>
            </w:r>
          </w:p>
          <w:p w14:paraId="1B0862CB">
            <w:pPr>
              <w:numPr>
                <w:ilvl w:val="0"/>
                <w:numId w:val="46"/>
              </w:numPr>
              <w:tabs>
                <w:tab w:val="left" w:pos="425"/>
              </w:tabs>
              <w:snapToGrid w:val="0"/>
              <w:spacing w:afterLines="40" w:line="240" w:lineRule="auto"/>
              <w:jc w:val="both"/>
              <w:rPr>
                <w:rFonts w:cs="Times New Roman"/>
              </w:rPr>
            </w:pPr>
            <w:r>
              <w:rPr>
                <w:rFonts w:hint="default"/>
              </w:rPr>
              <w:t>Aplicar à Contratada as sanções regulamentares e contratuais</w:t>
            </w:r>
            <w:r>
              <w:rPr>
                <w:rFonts w:hint="default"/>
                <w:lang w:val="pt-BR"/>
              </w:rPr>
              <w:t>.</w:t>
            </w:r>
          </w:p>
          <w:p w14:paraId="5155C5B1">
            <w:pPr>
              <w:numPr>
                <w:ilvl w:val="0"/>
                <w:numId w:val="0"/>
              </w:numPr>
              <w:snapToGrid w:val="0"/>
              <w:spacing w:afterLines="50" w:line="240" w:lineRule="auto"/>
              <w:jc w:val="both"/>
              <w:rPr>
                <w:rFonts w:cs="Times New Roman"/>
              </w:rPr>
            </w:pPr>
          </w:p>
        </w:tc>
      </w:tr>
      <w:tr w14:paraId="49B1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46DAECD8">
            <w:pPr>
              <w:spacing w:before="120" w:after="120"/>
              <w:jc w:val="both"/>
              <w:rPr>
                <w:b/>
                <w:iCs/>
              </w:rPr>
            </w:pPr>
            <w:r>
              <w:rPr>
                <w:b/>
                <w:iCs/>
              </w:rPr>
              <w:t>16.1</w:t>
            </w:r>
          </w:p>
        </w:tc>
        <w:tc>
          <w:tcPr>
            <w:tcW w:w="7655" w:type="dxa"/>
          </w:tcPr>
          <w:p w14:paraId="57476054">
            <w:pPr>
              <w:spacing w:before="120" w:after="120"/>
              <w:jc w:val="both"/>
              <w:rPr>
                <w:b/>
                <w:bCs/>
                <w:iCs/>
              </w:rPr>
            </w:pPr>
            <w:r>
              <w:rPr>
                <w:b/>
                <w:bCs/>
                <w:iCs/>
              </w:rPr>
              <w:t>Obrigações do Contratado</w:t>
            </w:r>
          </w:p>
          <w:p w14:paraId="1A17EE43">
            <w:pPr>
              <w:spacing w:before="120" w:after="120"/>
              <w:jc w:val="both"/>
              <w:rPr>
                <w:bCs/>
                <w:iCs/>
              </w:rPr>
            </w:pPr>
            <w:r>
              <w:rPr>
                <w:bCs/>
                <w:iCs/>
              </w:rPr>
              <w:t xml:space="preserve">São também obrigações do </w:t>
            </w:r>
            <w:r>
              <w:rPr>
                <w:b/>
                <w:bCs/>
                <w:iCs/>
              </w:rPr>
              <w:t>Contratado</w:t>
            </w:r>
            <w:r>
              <w:rPr>
                <w:bCs/>
                <w:iCs/>
              </w:rPr>
              <w:t>:</w:t>
            </w:r>
          </w:p>
          <w:p w14:paraId="2CA6A897">
            <w:pPr>
              <w:numPr>
                <w:ilvl w:val="0"/>
                <w:numId w:val="47"/>
              </w:numPr>
              <w:spacing w:afterLines="50" w:line="240" w:lineRule="auto"/>
              <w:jc w:val="both"/>
              <w:rPr>
                <w:rFonts w:hint="default"/>
              </w:rPr>
            </w:pPr>
            <w:r>
              <w:rPr>
                <w:rFonts w:hint="default"/>
              </w:rPr>
              <w:t>Realizar as obras e/ou os serviços de acordo com todas as exigências contidas neste instrumento, no Projeto Executivo, Memorial Descritivo e demais elementos de ordem técnica que fazem parte integrante deste instrumento, bem como na Proposta apresentada e aceita pela Municipalidade;</w:t>
            </w:r>
          </w:p>
          <w:p w14:paraId="03825D29">
            <w:pPr>
              <w:numPr>
                <w:ilvl w:val="0"/>
                <w:numId w:val="47"/>
              </w:numPr>
              <w:spacing w:afterLines="50" w:line="240" w:lineRule="auto"/>
              <w:jc w:val="both"/>
              <w:rPr>
                <w:rFonts w:hint="default"/>
              </w:rPr>
            </w:pPr>
            <w:r>
              <w:rPr>
                <w:rFonts w:hint="default"/>
              </w:rPr>
              <w:t>Tomar as medidas preventivas necessárias para evitar danos a terceiros, em consequência da execução dos trabalhos;</w:t>
            </w:r>
          </w:p>
          <w:p w14:paraId="7F3D910E">
            <w:pPr>
              <w:numPr>
                <w:ilvl w:val="0"/>
                <w:numId w:val="47"/>
              </w:numPr>
              <w:spacing w:afterLines="50" w:line="240" w:lineRule="auto"/>
              <w:jc w:val="both"/>
              <w:rPr>
                <w:rFonts w:hint="default"/>
              </w:rPr>
            </w:pPr>
            <w:r>
              <w:rPr>
                <w:rFonts w:hint="default"/>
              </w:rPr>
              <w:t>Responsabilizar-se integralmente pelo ressarcimento de quaisquer danos e/ou prejuízos, de qualquer natureza, que causar ao Contratante ou a terceiros, decorrentes da execução do objeto do contrato, respondendo por si, seus empregados, prepostos e sucessores, independentemente das medidas preventivas adotadas;</w:t>
            </w:r>
          </w:p>
          <w:p w14:paraId="240BFF2D">
            <w:pPr>
              <w:numPr>
                <w:ilvl w:val="0"/>
                <w:numId w:val="47"/>
              </w:numPr>
              <w:spacing w:afterLines="50" w:line="240" w:lineRule="auto"/>
              <w:jc w:val="both"/>
              <w:rPr>
                <w:rFonts w:hint="default"/>
              </w:rPr>
            </w:pPr>
            <w:r>
              <w:rPr>
                <w:rFonts w:hint="default"/>
              </w:rPr>
              <w:t>Apresentar o documento de responsabilidade técnica relativo às obras e/ou aos serviços nas datas devidas, responsabilizando-se integralmente pelas penalidades decorrentes da falta de apresentação;</w:t>
            </w:r>
          </w:p>
          <w:p w14:paraId="033C4DB3">
            <w:pPr>
              <w:numPr>
                <w:ilvl w:val="0"/>
                <w:numId w:val="47"/>
              </w:numPr>
              <w:spacing w:afterLines="50" w:line="240" w:lineRule="auto"/>
              <w:jc w:val="both"/>
              <w:rPr>
                <w:rFonts w:hint="default"/>
              </w:rPr>
            </w:pPr>
            <w:r>
              <w:rPr>
                <w:rFonts w:hint="default"/>
              </w:rPr>
              <w:t>Atender integralmente às determinações e exigências formuladas pelo Contratante;</w:t>
            </w:r>
          </w:p>
          <w:p w14:paraId="5BF9E6E7">
            <w:pPr>
              <w:numPr>
                <w:ilvl w:val="0"/>
                <w:numId w:val="47"/>
              </w:numPr>
              <w:spacing w:afterLines="50" w:line="240" w:lineRule="auto"/>
              <w:jc w:val="both"/>
              <w:rPr>
                <w:rFonts w:hint="default"/>
              </w:rPr>
            </w:pPr>
            <w:r>
              <w:rPr>
                <w:rFonts w:hint="default"/>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5B67084">
            <w:pPr>
              <w:numPr>
                <w:ilvl w:val="0"/>
                <w:numId w:val="47"/>
              </w:numPr>
              <w:spacing w:afterLines="50" w:line="240" w:lineRule="auto"/>
              <w:jc w:val="both"/>
              <w:rPr>
                <w:rFonts w:cs="Times New Roman"/>
              </w:rPr>
            </w:pPr>
            <w:r>
              <w:rPr>
                <w:rFonts w:hint="default"/>
              </w:rPr>
              <w:t>Responsabilizar-se, na forma estipulada no Contrato, por todos os ônus, encargos e obrigações comerciais, sociais, tributárias, trabalhistas e previdenciárias, ou quaisquer outras previstas na legislação em vigor, bem como por todos os gastos e encargos com material e mão de obra necessária à completa execução do objeto, até o seu término:</w:t>
            </w:r>
            <w:r>
              <w:rPr>
                <w:rFonts w:cs="Times New Roman"/>
              </w:rPr>
              <w:t>:</w:t>
            </w:r>
          </w:p>
          <w:p w14:paraId="4EE677BB">
            <w:pPr>
              <w:keepNext w:val="0"/>
              <w:keepLines w:val="0"/>
              <w:pageBreakBefore w:val="0"/>
              <w:widowControl/>
              <w:numPr>
                <w:ilvl w:val="0"/>
                <w:numId w:val="0"/>
              </w:numPr>
              <w:kinsoku/>
              <w:wordWrap/>
              <w:overflowPunct/>
              <w:topLinePunct w:val="0"/>
              <w:autoSpaceDE/>
              <w:autoSpaceDN/>
              <w:bidi w:val="0"/>
              <w:adjustRightInd/>
              <w:snapToGrid/>
              <w:spacing w:after="361" w:afterLines="100" w:line="240" w:lineRule="auto"/>
              <w:ind w:left="1089" w:leftChars="300" w:right="550" w:rightChars="250" w:hanging="429" w:hangingChars="195"/>
              <w:jc w:val="both"/>
              <w:textAlignment w:val="auto"/>
              <w:rPr>
                <w:rFonts w:hint="default"/>
              </w:rPr>
            </w:pPr>
            <w:r>
              <w:rPr>
                <w:rFonts w:hint="default"/>
              </w:rPr>
              <w:t>I</w:t>
            </w:r>
            <w:r>
              <w:rPr>
                <w:rFonts w:hint="default"/>
              </w:rPr>
              <w:tab/>
            </w:r>
            <w:r>
              <w:rPr>
                <w:rFonts w:hint="default"/>
              </w:rPr>
              <w:t>Em caso de ajuizamento de ações trabalhistas em face da Contratada, decorrentes da execução do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306419EB">
            <w:pPr>
              <w:numPr>
                <w:ilvl w:val="0"/>
                <w:numId w:val="0"/>
              </w:numPr>
              <w:snapToGrid w:val="0"/>
              <w:spacing w:afterLines="40" w:line="240" w:lineRule="auto"/>
              <w:ind w:left="1100" w:leftChars="300" w:hanging="440" w:hangingChars="200"/>
              <w:jc w:val="both"/>
              <w:rPr>
                <w:rFonts w:hint="default"/>
              </w:rPr>
            </w:pPr>
            <w:r>
              <w:rPr>
                <w:rFonts w:hint="default"/>
                <w:lang w:val="pt-BR"/>
              </w:rPr>
              <w:t>II</w:t>
            </w:r>
            <w:r>
              <w:rPr>
                <w:rFonts w:hint="default"/>
                <w:lang w:val="pt-BR"/>
              </w:rPr>
              <w:tab/>
            </w:r>
            <w:r>
              <w:rPr>
                <w:rFonts w:hint="default"/>
              </w:rPr>
              <w:t>No caso da existência de débitos tributários ou previdenciários, decorrentes da execução do Contrato, que possam ensejar responsabilidade subsidiária ou solidária do Contratante, as parcelas vincendas poderão ser retidas até o montante dos valores cobrados, que serão complementados a qualquer tempo com nova retenção em caso de insuficiência;</w:t>
            </w:r>
          </w:p>
          <w:p w14:paraId="4A96E429">
            <w:pPr>
              <w:numPr>
                <w:ilvl w:val="0"/>
                <w:numId w:val="0"/>
              </w:numPr>
              <w:snapToGrid w:val="0"/>
              <w:spacing w:afterLines="40" w:line="240" w:lineRule="auto"/>
              <w:ind w:left="1100" w:leftChars="300" w:hanging="440" w:hangingChars="200"/>
              <w:jc w:val="both"/>
              <w:rPr>
                <w:rFonts w:hint="default"/>
              </w:rPr>
            </w:pPr>
            <w:r>
              <w:rPr>
                <w:rFonts w:hint="default"/>
                <w:lang w:val="pt-BR"/>
              </w:rPr>
              <w:t>III</w:t>
            </w:r>
            <w:r>
              <w:rPr>
                <w:rFonts w:hint="default"/>
              </w:rPr>
              <w:tab/>
            </w:r>
            <w:r>
              <w:rPr>
                <w:rFonts w:hint="default"/>
              </w:rPr>
              <w:t>As retenções previstas nas alíneas “a” e “b” poderão ser realizadas tão logo tenha ciência o Contratante da existência de ação trabalhista ou de débitos tributários e previdenciários e serão destinadas ao pagamento das respectivas obrigações caso o Município ou entidade da Administração Pública indireta sejam compelidos a tanto, administrativa ou judicialmente, não cabendo, em nenhuma hipótese, ressarcimento à Contratada;</w:t>
            </w:r>
          </w:p>
          <w:p w14:paraId="0065576A">
            <w:pPr>
              <w:numPr>
                <w:ilvl w:val="0"/>
                <w:numId w:val="0"/>
              </w:numPr>
              <w:snapToGrid w:val="0"/>
              <w:spacing w:afterLines="40" w:line="240" w:lineRule="auto"/>
              <w:ind w:left="1100" w:leftChars="300" w:hanging="440" w:hangingChars="200"/>
              <w:jc w:val="both"/>
              <w:rPr>
                <w:rFonts w:cs="Times New Roman"/>
              </w:rPr>
            </w:pPr>
            <w:r>
              <w:rPr>
                <w:rFonts w:hint="default"/>
              </w:rPr>
              <w:t xml:space="preserve"> </w:t>
            </w:r>
            <w:r>
              <w:rPr>
                <w:rFonts w:hint="default"/>
                <w:lang w:val="pt-BR"/>
              </w:rPr>
              <w:t xml:space="preserve">IV </w:t>
            </w:r>
            <w:r>
              <w:rPr>
                <w:rFonts w:hint="default"/>
              </w:rPr>
              <w:t>Eventuais retenções previstas nas alíneas “a” e “b” somente serão liberadas pelo Contratante se houver justa causa devidamente fundamentada.</w:t>
            </w:r>
          </w:p>
          <w:p w14:paraId="67D7DEB6">
            <w:pPr>
              <w:numPr>
                <w:ilvl w:val="0"/>
                <w:numId w:val="47"/>
              </w:numPr>
              <w:snapToGrid w:val="0"/>
              <w:spacing w:afterLines="50" w:line="240" w:lineRule="auto"/>
              <w:jc w:val="both"/>
              <w:rPr>
                <w:rFonts w:hint="default"/>
              </w:rPr>
            </w:pPr>
            <w:r>
              <w:rPr>
                <w:rFonts w:hint="default"/>
              </w:rPr>
              <w:t>Responsabilizar-se integralmente pelas instalações e despesas delas provenientes, pelos equipamentos acessórios necessários à fiel execução das obras e/ou dos serviços contratados, assim como pela limpeza final da obra;</w:t>
            </w:r>
          </w:p>
          <w:p w14:paraId="4E13A900">
            <w:pPr>
              <w:numPr>
                <w:ilvl w:val="0"/>
                <w:numId w:val="47"/>
              </w:numPr>
              <w:snapToGrid w:val="0"/>
              <w:spacing w:afterLines="50" w:line="240" w:lineRule="auto"/>
              <w:jc w:val="both"/>
              <w:rPr>
                <w:rFonts w:hint="default"/>
              </w:rPr>
            </w:pPr>
            <w:r>
              <w:rPr>
                <w:rFonts w:hint="default"/>
              </w:rPr>
              <w:t>Responsabilizar-se, na forma do Contrato, pela qualidade das obras e/ou serviços executados e dos materiais empregados, bem como pela alocação dos empregados necessários ao fiel cumprimento do que estabelece este Contrato, com habilitação e conhecimento adequados, em conformidade com as especificações do Projeto, com as normas da Associação Brasileira de Normas Técnicas – ABNT e demais normas técnicas pertinentes, a ser atestada pelo Contratante, assim como pelo refazimento das obras e/ou serviços e a substituição dos materiais recusados, sem ônus para o Contratante e sem prejuízo da aplicação das sanções cabíveis;</w:t>
            </w:r>
          </w:p>
          <w:p w14:paraId="087CEDB2">
            <w:pPr>
              <w:numPr>
                <w:ilvl w:val="0"/>
                <w:numId w:val="47"/>
              </w:numPr>
              <w:snapToGrid w:val="0"/>
              <w:spacing w:afterLines="50" w:line="240" w:lineRule="auto"/>
              <w:jc w:val="both"/>
              <w:rPr>
                <w:rFonts w:hint="default"/>
              </w:rPr>
            </w:pPr>
            <w:r>
              <w:rPr>
                <w:rFonts w:hint="default"/>
              </w:rPr>
              <w:t>Manter as condições de habilitação e qualificação exigidas no Edital durante todo prazo de execução contratual;</w:t>
            </w:r>
          </w:p>
          <w:p w14:paraId="2398061E">
            <w:pPr>
              <w:numPr>
                <w:ilvl w:val="0"/>
                <w:numId w:val="47"/>
              </w:numPr>
              <w:snapToGrid w:val="0"/>
              <w:spacing w:afterLines="50" w:line="240" w:lineRule="auto"/>
              <w:jc w:val="both"/>
            </w:pPr>
            <w:r>
              <w:rPr>
                <w:rFonts w:hint="default"/>
              </w:rPr>
              <w:t>Quando não for possível a verificação da regularidade no Sistema de Cadastro de Fornecedores – SICAF, a Contratada deverá entregar ao setor responsável pela fiscalização do contrato, até o dia trinta do mês seguinte ao da prestação dos serviços, os seguintes documentos:</w:t>
            </w:r>
          </w:p>
          <w:p w14:paraId="4C29BEE5">
            <w:pPr>
              <w:numPr>
                <w:ilvl w:val="0"/>
                <w:numId w:val="0"/>
              </w:numPr>
              <w:snapToGrid w:val="0"/>
              <w:spacing w:afterLines="40" w:line="240" w:lineRule="auto"/>
              <w:ind w:left="1100" w:leftChars="300" w:hanging="440" w:hangingChars="200"/>
              <w:jc w:val="both"/>
              <w:rPr>
                <w:rFonts w:hint="default"/>
              </w:rPr>
            </w:pPr>
            <w:r>
              <w:rPr>
                <w:rFonts w:hint="default"/>
              </w:rPr>
              <w:t>I</w:t>
            </w:r>
            <w:r>
              <w:rPr>
                <w:rFonts w:hint="default"/>
              </w:rPr>
              <w:tab/>
            </w:r>
            <w:r>
              <w:rPr>
                <w:rFonts w:hint="default"/>
              </w:rPr>
              <w:t>Prova de regularidade relativa à Seguridade Social;</w:t>
            </w:r>
          </w:p>
          <w:p w14:paraId="4740EB04">
            <w:pPr>
              <w:numPr>
                <w:ilvl w:val="0"/>
                <w:numId w:val="0"/>
              </w:numPr>
              <w:snapToGrid w:val="0"/>
              <w:spacing w:afterLines="40" w:line="240" w:lineRule="auto"/>
              <w:ind w:left="1100" w:leftChars="300" w:hanging="440" w:hangingChars="200"/>
              <w:jc w:val="both"/>
              <w:rPr>
                <w:rFonts w:hint="default"/>
              </w:rPr>
            </w:pPr>
            <w:r>
              <w:rPr>
                <w:rFonts w:hint="default"/>
                <w:lang w:val="pt-BR"/>
              </w:rPr>
              <w:t>II</w:t>
            </w:r>
            <w:r>
              <w:rPr>
                <w:rFonts w:hint="default"/>
              </w:rPr>
              <w:tab/>
            </w:r>
            <w:r>
              <w:rPr>
                <w:rFonts w:hint="default"/>
              </w:rPr>
              <w:t>Certidão conjunta relativa aos tributos federais e à Dívida Ativa da União;</w:t>
            </w:r>
          </w:p>
          <w:p w14:paraId="4E71639D">
            <w:pPr>
              <w:numPr>
                <w:ilvl w:val="0"/>
                <w:numId w:val="0"/>
              </w:numPr>
              <w:snapToGrid w:val="0"/>
              <w:spacing w:afterLines="40" w:line="240" w:lineRule="auto"/>
              <w:ind w:left="1100" w:leftChars="300" w:hanging="440" w:hangingChars="200"/>
              <w:jc w:val="both"/>
              <w:rPr>
                <w:rFonts w:hint="default"/>
              </w:rPr>
            </w:pPr>
            <w:r>
              <w:rPr>
                <w:rFonts w:hint="default"/>
                <w:lang w:val="pt-BR"/>
              </w:rPr>
              <w:t>III</w:t>
            </w:r>
            <w:r>
              <w:rPr>
                <w:rFonts w:hint="default"/>
              </w:rPr>
              <w:tab/>
            </w:r>
            <w:r>
              <w:rPr>
                <w:rFonts w:hint="default"/>
              </w:rPr>
              <w:t>Certidões que comprovem a regularidade perante a Fazenda Municipal ou Distrital do domicílio ou sede do CONTRATADO;</w:t>
            </w:r>
          </w:p>
          <w:p w14:paraId="389A95B2">
            <w:pPr>
              <w:numPr>
                <w:ilvl w:val="0"/>
                <w:numId w:val="0"/>
              </w:numPr>
              <w:snapToGrid w:val="0"/>
              <w:spacing w:afterLines="40" w:line="240" w:lineRule="auto"/>
              <w:ind w:left="1100" w:leftChars="300" w:hanging="440" w:hangingChars="200"/>
              <w:jc w:val="both"/>
              <w:rPr>
                <w:rFonts w:hint="default"/>
              </w:rPr>
            </w:pPr>
            <w:r>
              <w:rPr>
                <w:rFonts w:hint="default"/>
                <w:lang w:val="pt-BR"/>
              </w:rPr>
              <w:t>IV</w:t>
            </w:r>
            <w:r>
              <w:rPr>
                <w:rFonts w:hint="default"/>
              </w:rPr>
              <w:tab/>
            </w:r>
            <w:r>
              <w:rPr>
                <w:rFonts w:hint="default"/>
              </w:rPr>
              <w:t>Certidão de Regularidade do FGTS – CRF; e</w:t>
            </w:r>
          </w:p>
          <w:p w14:paraId="60EA11EF">
            <w:pPr>
              <w:numPr>
                <w:ilvl w:val="0"/>
                <w:numId w:val="0"/>
              </w:numPr>
              <w:snapToGrid w:val="0"/>
              <w:spacing w:afterLines="40" w:line="240" w:lineRule="auto"/>
              <w:ind w:left="1100" w:leftChars="300" w:hanging="440" w:hangingChars="200"/>
              <w:jc w:val="both"/>
              <w:rPr>
                <w:rFonts w:hint="default"/>
              </w:rPr>
            </w:pPr>
            <w:r>
              <w:rPr>
                <w:rFonts w:hint="default"/>
                <w:lang w:val="pt-BR"/>
              </w:rPr>
              <w:t>V</w:t>
            </w:r>
            <w:r>
              <w:rPr>
                <w:rFonts w:hint="default"/>
              </w:rPr>
              <w:tab/>
            </w:r>
            <w:r>
              <w:rPr>
                <w:rFonts w:hint="default"/>
              </w:rPr>
              <w:t>Certidão Negativa de Débitos Trabalhistas – CNDT;</w:t>
            </w:r>
          </w:p>
          <w:p w14:paraId="166978C1">
            <w:pPr>
              <w:numPr>
                <w:ilvl w:val="0"/>
                <w:numId w:val="47"/>
              </w:numPr>
              <w:snapToGrid w:val="0"/>
              <w:spacing w:afterLines="50" w:line="240" w:lineRule="auto"/>
              <w:jc w:val="both"/>
              <w:rPr>
                <w:rFonts w:hint="default"/>
              </w:rPr>
            </w:pPr>
            <w:r>
              <w:rPr>
                <w:rFonts w:hint="default"/>
              </w:rPr>
              <w:t>Responsabilizar-se inteira e exclusivamente pelo uso regular de marcas, patentes, registros, processos e licenças relativas à execução do Contrato, eximindo o Contratante das consequências de qualquer utilização indevida;</w:t>
            </w:r>
          </w:p>
          <w:p w14:paraId="1B9C4404">
            <w:pPr>
              <w:numPr>
                <w:ilvl w:val="0"/>
                <w:numId w:val="47"/>
              </w:numPr>
              <w:snapToGrid w:val="0"/>
              <w:spacing w:afterLines="50" w:line="240" w:lineRule="auto"/>
              <w:jc w:val="both"/>
              <w:rPr>
                <w:rFonts w:hint="default"/>
              </w:rPr>
            </w:pPr>
            <w:r>
              <w:rPr>
                <w:rFonts w:hint="default"/>
              </w:rPr>
              <w:t>Comunicar ao Fiscal do Contrato tempestivamente, observada a urgência da situação, qualquer ocorrência anormal ou acidente que se verifique no local da execução do objeto contratual, não ultrapassando o prazo de 24 (vinte e quatro) horas;</w:t>
            </w:r>
          </w:p>
          <w:p w14:paraId="261017D3">
            <w:pPr>
              <w:numPr>
                <w:ilvl w:val="0"/>
                <w:numId w:val="47"/>
              </w:numPr>
              <w:snapToGrid w:val="0"/>
              <w:spacing w:afterLines="50" w:line="240" w:lineRule="auto"/>
              <w:jc w:val="both"/>
              <w:rPr>
                <w:rFonts w:hint="default"/>
              </w:rPr>
            </w:pPr>
            <w:r>
              <w:rPr>
                <w:rFonts w:hint="default"/>
              </w:rPr>
              <w:t xml:space="preserve">Comunicar ao Contratante, assim que tiver ciência da impossibilidade de realização ou finalização do serviço no prazo estabelecido, para adoção de ações de contingência cabíveis. </w:t>
            </w:r>
          </w:p>
          <w:p w14:paraId="3FB55681">
            <w:pPr>
              <w:numPr>
                <w:ilvl w:val="0"/>
                <w:numId w:val="47"/>
              </w:numPr>
              <w:snapToGrid w:val="0"/>
              <w:spacing w:afterLines="50" w:line="240" w:lineRule="auto"/>
              <w:jc w:val="both"/>
              <w:rPr>
                <w:rFonts w:hint="default"/>
              </w:rPr>
            </w:pPr>
            <w:r>
              <w:rPr>
                <w:rFonts w:hint="default"/>
              </w:rPr>
              <w:t>Paralisar, por determinação do Contratante, qualquer atividade que não esteja sendo executada de acordo com a boa técnica ou que ponha em risco a segurança de pessoas ou bens de terceiros;</w:t>
            </w:r>
          </w:p>
          <w:p w14:paraId="04B75370">
            <w:pPr>
              <w:numPr>
                <w:ilvl w:val="0"/>
                <w:numId w:val="47"/>
              </w:numPr>
              <w:snapToGrid w:val="0"/>
              <w:spacing w:afterLines="50" w:line="240" w:lineRule="auto"/>
              <w:jc w:val="both"/>
              <w:rPr>
                <w:rFonts w:hint="default"/>
              </w:rPr>
            </w:pPr>
            <w:r>
              <w:rPr>
                <w:rFonts w:hint="default"/>
              </w:rPr>
              <w:t>Responsabilizar-se pelo licenciamento integral da obra perante entidades e órgãos públicos, inclusive o licenciamento ambiental;</w:t>
            </w:r>
          </w:p>
          <w:p w14:paraId="2EFE5358">
            <w:pPr>
              <w:numPr>
                <w:ilvl w:val="0"/>
                <w:numId w:val="47"/>
              </w:numPr>
              <w:snapToGrid w:val="0"/>
              <w:spacing w:afterLines="50" w:line="240" w:lineRule="auto"/>
              <w:jc w:val="both"/>
              <w:rPr>
                <w:rFonts w:hint="default"/>
              </w:rPr>
            </w:pPr>
            <w:r>
              <w:rPr>
                <w:rFonts w:hint="default"/>
              </w:rPr>
              <w:t>Cumprir, durante todo o período de execução do contrato, a reserva de cargos prevista em lei para pessoa com deficiência, para reabilitado da Previdência Social ou para aprendiz, bem como as reservas de cargos previstas na legislação;</w:t>
            </w:r>
          </w:p>
          <w:p w14:paraId="2583CA80">
            <w:pPr>
              <w:numPr>
                <w:ilvl w:val="0"/>
                <w:numId w:val="47"/>
              </w:numPr>
              <w:snapToGrid w:val="0"/>
              <w:spacing w:afterLines="50" w:line="240" w:lineRule="auto"/>
              <w:jc w:val="both"/>
              <w:rPr>
                <w:rFonts w:hint="default"/>
              </w:rPr>
            </w:pPr>
            <w:r>
              <w:rPr>
                <w:rFonts w:hint="default"/>
              </w:rPr>
              <w:t>Comprovar a reserva de cargos a que se refere o subitem acima, no prazo fixado pelo Fiscal do Contrato, com a indicação dos empregados que preencheram as referidas vagas;</w:t>
            </w:r>
          </w:p>
          <w:p w14:paraId="65788F64">
            <w:pPr>
              <w:numPr>
                <w:ilvl w:val="0"/>
                <w:numId w:val="47"/>
              </w:numPr>
              <w:snapToGrid w:val="0"/>
              <w:spacing w:afterLines="50" w:line="240" w:lineRule="auto"/>
              <w:jc w:val="both"/>
              <w:rPr>
                <w:rFonts w:hint="default"/>
              </w:rPr>
            </w:pPr>
            <w:r>
              <w:rPr>
                <w:rFonts w:hint="default"/>
              </w:rPr>
              <w:t>Manter hígidas as garantias contratuais até o recebimento definitivo do objeto do contrato;</w:t>
            </w:r>
          </w:p>
          <w:p w14:paraId="15052C0A">
            <w:pPr>
              <w:numPr>
                <w:ilvl w:val="0"/>
                <w:numId w:val="47"/>
              </w:numPr>
              <w:snapToGrid w:val="0"/>
              <w:spacing w:afterLines="50" w:line="240" w:lineRule="auto"/>
              <w:jc w:val="both"/>
              <w:rPr>
                <w:rFonts w:hint="default"/>
              </w:rPr>
            </w:pPr>
            <w:r>
              <w:rPr>
                <w:rFonts w:hint="default"/>
              </w:rPr>
              <w:t>Guardar sigilo sobre todas as informações obtidas em decorrência do cumprimento do contrato;</w:t>
            </w:r>
          </w:p>
          <w:p w14:paraId="1725D9D5">
            <w:pPr>
              <w:numPr>
                <w:ilvl w:val="0"/>
                <w:numId w:val="47"/>
              </w:numPr>
              <w:snapToGrid w:val="0"/>
              <w:spacing w:afterLines="50" w:line="240" w:lineRule="auto"/>
              <w:jc w:val="both"/>
              <w:rPr>
                <w:rFonts w:hint="default"/>
              </w:rPr>
            </w:pPr>
            <w:r>
              <w:rPr>
                <w:rFonts w:hint="defaul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3D2E1DF">
            <w:pPr>
              <w:numPr>
                <w:ilvl w:val="0"/>
                <w:numId w:val="47"/>
              </w:numPr>
              <w:snapToGrid w:val="0"/>
              <w:spacing w:afterLines="50" w:line="240" w:lineRule="auto"/>
              <w:jc w:val="both"/>
              <w:rPr>
                <w:rFonts w:hint="default"/>
              </w:rPr>
            </w:pPr>
            <w:r>
              <w:rPr>
                <w:rFonts w:hint="default"/>
              </w:rPr>
              <w:t>Cumprir, além dos postulados legais vigentes de âmbito federal, estadual ou municipal, as normas de segurança, saúde e de proteção ao trabalho do Contratante, assegurando aos seus trabalhadores ambiente de trabalho e instalações em condições adequadas;</w:t>
            </w:r>
          </w:p>
          <w:p w14:paraId="59DD6FE4">
            <w:pPr>
              <w:numPr>
                <w:ilvl w:val="0"/>
                <w:numId w:val="47"/>
              </w:numPr>
              <w:snapToGrid w:val="0"/>
              <w:spacing w:afterLines="50" w:line="240" w:lineRule="auto"/>
              <w:jc w:val="both"/>
              <w:rPr>
                <w:rFonts w:hint="default"/>
              </w:rPr>
            </w:pPr>
            <w:r>
              <w:rPr>
                <w:rFonts w:hint="default"/>
              </w:rPr>
              <w:t>Instruir seus empregados quanto à necessidade de acatar as normas internas da Administração;</w:t>
            </w:r>
          </w:p>
          <w:p w14:paraId="3D1BF4E0">
            <w:pPr>
              <w:numPr>
                <w:ilvl w:val="0"/>
                <w:numId w:val="47"/>
              </w:numPr>
              <w:snapToGrid w:val="0"/>
              <w:spacing w:afterLines="50" w:line="240" w:lineRule="auto"/>
              <w:jc w:val="both"/>
              <w:rPr>
                <w:rFonts w:hint="default"/>
              </w:rPr>
            </w:pPr>
            <w:r>
              <w:rPr>
                <w:rFonts w:hint="default"/>
              </w:rPr>
              <w:t>Não submeter os trabalhadores a condições degradantes de trabalho, jornadas exaustivas, servidão por dívida ou trabalhos forçados;</w:t>
            </w:r>
          </w:p>
          <w:p w14:paraId="5DF27EAF">
            <w:pPr>
              <w:numPr>
                <w:ilvl w:val="0"/>
                <w:numId w:val="47"/>
              </w:numPr>
              <w:snapToGrid w:val="0"/>
              <w:spacing w:afterLines="50" w:line="240" w:lineRule="auto"/>
              <w:jc w:val="both"/>
              <w:rPr>
                <w:rFonts w:hint="default"/>
              </w:rPr>
            </w:pPr>
            <w:r>
              <w:rPr>
                <w:rFonts w:hint="default"/>
              </w:rPr>
              <w:t>Não permitir a utilização de qualquer trabalho do menor de dezesseis anos de idade, exceto na condição de aprendiz para os maiores de quatorze anos de idade, observada a legislação pertinente;</w:t>
            </w:r>
          </w:p>
          <w:p w14:paraId="3810C2F8">
            <w:pPr>
              <w:numPr>
                <w:ilvl w:val="0"/>
                <w:numId w:val="47"/>
              </w:numPr>
              <w:snapToGrid w:val="0"/>
              <w:spacing w:afterLines="50" w:line="240" w:lineRule="auto"/>
              <w:jc w:val="both"/>
              <w:rPr>
                <w:rFonts w:hint="default"/>
              </w:rPr>
            </w:pPr>
            <w:r>
              <w:rPr>
                <w:rFonts w:hint="default"/>
              </w:rPr>
              <w:t>Não submeter o menor de dezoito anos de idade à realização de trabalho noturno e em condições perigosas e insalubres e à realização de atividades constantes na Lista de Piores Formas de Trabalho Infantil, aprovada pelo Decreto Federal nº 6.481, de 12 de junho de 2008;</w:t>
            </w:r>
          </w:p>
          <w:p w14:paraId="5372DCDE">
            <w:pPr>
              <w:numPr>
                <w:ilvl w:val="0"/>
                <w:numId w:val="47"/>
              </w:numPr>
              <w:snapToGrid w:val="0"/>
              <w:spacing w:afterLines="50" w:line="240" w:lineRule="auto"/>
              <w:jc w:val="both"/>
              <w:rPr>
                <w:rFonts w:hint="default"/>
              </w:rPr>
            </w:pPr>
            <w:r>
              <w:rPr>
                <w:rFonts w:hint="default"/>
              </w:rPr>
              <w:t>Receber e dar o tratamento adequado a denúncias de discriminação, violência e assédio no ambiente de trabalho;</w:t>
            </w:r>
          </w:p>
          <w:p w14:paraId="34CE34C3">
            <w:pPr>
              <w:numPr>
                <w:ilvl w:val="0"/>
                <w:numId w:val="47"/>
              </w:numPr>
              <w:snapToGrid w:val="0"/>
              <w:spacing w:afterLines="50" w:line="240" w:lineRule="auto"/>
              <w:jc w:val="both"/>
              <w:rPr>
                <w:rFonts w:hint="default"/>
              </w:rPr>
            </w:pPr>
            <w:r>
              <w:rPr>
                <w:rFonts w:hint="default"/>
              </w:rPr>
              <w:t>Comprometer-se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24D67261">
            <w:pPr>
              <w:numPr>
                <w:ilvl w:val="0"/>
                <w:numId w:val="47"/>
              </w:numPr>
              <w:snapToGrid w:val="0"/>
              <w:spacing w:afterLines="50" w:line="240" w:lineRule="auto"/>
              <w:jc w:val="both"/>
              <w:rPr>
                <w:rFonts w:hint="default"/>
              </w:rPr>
            </w:pPr>
            <w:r>
              <w:rPr>
                <w:rFonts w:hint="default"/>
              </w:rPr>
              <w:t>Prestar todo esclarecimento ou informação solicitada pelo Contratante ou por seus prepostos, garantindo-lhes o acesso, a qualquer tempo, ao local dos trabalhos, bem como aos documentos relativos à execução do contrato;</w:t>
            </w:r>
          </w:p>
          <w:p w14:paraId="62117D9D">
            <w:pPr>
              <w:numPr>
                <w:ilvl w:val="0"/>
                <w:numId w:val="47"/>
              </w:numPr>
              <w:snapToGrid w:val="0"/>
              <w:spacing w:afterLines="50" w:line="240" w:lineRule="auto"/>
              <w:jc w:val="both"/>
              <w:rPr>
                <w:rFonts w:hint="default"/>
              </w:rPr>
            </w:pPr>
            <w:r>
              <w:rPr>
                <w:rFonts w:hint="default"/>
              </w:rPr>
              <w:t>Informar endereço(s) eletrônico(s) para comunicação e recebimento de notificações e intimações, inclusive para fim de eventual citação judicial;</w:t>
            </w:r>
          </w:p>
          <w:p w14:paraId="4036ED96">
            <w:pPr>
              <w:numPr>
                <w:ilvl w:val="0"/>
                <w:numId w:val="47"/>
              </w:numPr>
              <w:snapToGrid w:val="0"/>
              <w:spacing w:afterLines="50" w:line="240" w:lineRule="auto"/>
              <w:jc w:val="both"/>
              <w:rPr>
                <w:rFonts w:hint="default"/>
              </w:rPr>
            </w:pPr>
            <w:r>
              <w:rPr>
                <w:rFonts w:hint="default"/>
              </w:rPr>
              <w:t>Comprovar o cadastramento de seu endereço eletrônico perante os órgãos do Poder Judiciário, mantendo seus dados atualizados para fins de eventual recebimento de citações e intimações;</w:t>
            </w:r>
          </w:p>
          <w:p w14:paraId="022184B2">
            <w:pPr>
              <w:numPr>
                <w:ilvl w:val="0"/>
                <w:numId w:val="47"/>
              </w:numPr>
              <w:snapToGrid w:val="0"/>
              <w:spacing w:afterLines="50" w:line="240" w:lineRule="auto"/>
              <w:jc w:val="both"/>
              <w:rPr>
                <w:rFonts w:hint="default"/>
              </w:rPr>
            </w:pPr>
            <w:r>
              <w:rPr>
                <w:rFonts w:hint="default"/>
              </w:rPr>
              <w:t>Manter os empregados nos horários predeterminados pelo Contratante;</w:t>
            </w:r>
          </w:p>
          <w:p w14:paraId="397E6C40">
            <w:pPr>
              <w:numPr>
                <w:ilvl w:val="0"/>
                <w:numId w:val="47"/>
              </w:numPr>
              <w:snapToGrid w:val="0"/>
              <w:spacing w:afterLines="50" w:line="240" w:lineRule="auto"/>
              <w:jc w:val="both"/>
              <w:rPr>
                <w:rFonts w:hint="default"/>
              </w:rPr>
            </w:pPr>
            <w:r>
              <w:rPr>
                <w:rFonts w:hint="default"/>
              </w:rPr>
              <w:t>Apresentar os empregados devidamente identificados por meio de crachá;</w:t>
            </w:r>
          </w:p>
          <w:p w14:paraId="64453AC9">
            <w:pPr>
              <w:numPr>
                <w:ilvl w:val="0"/>
                <w:numId w:val="47"/>
              </w:numPr>
              <w:snapToGrid w:val="0"/>
              <w:spacing w:afterLines="50" w:line="240" w:lineRule="auto"/>
              <w:jc w:val="both"/>
              <w:rPr>
                <w:rFonts w:hint="default"/>
              </w:rPr>
            </w:pPr>
            <w:r>
              <w:rPr>
                <w:rFonts w:hint="default"/>
              </w:rPr>
              <w:t>Apresentar ao Contratante, quando for o caso, a relação nominal dos empregados que adentrarão no órgão para a execução do serviço;</w:t>
            </w:r>
          </w:p>
          <w:p w14:paraId="3C5D1C66">
            <w:pPr>
              <w:numPr>
                <w:ilvl w:val="0"/>
                <w:numId w:val="47"/>
              </w:numPr>
              <w:snapToGrid w:val="0"/>
              <w:spacing w:afterLines="50" w:line="240" w:lineRule="auto"/>
              <w:jc w:val="both"/>
              <w:rPr>
                <w:rFonts w:hint="default"/>
              </w:rPr>
            </w:pPr>
            <w:r>
              <w:rPr>
                <w:rFonts w:hint="default"/>
              </w:rPr>
              <w:t>Observar os preceitos da legislação sobre a jornada de trabalho, conforme a categoria profissional;</w:t>
            </w:r>
          </w:p>
          <w:p w14:paraId="4207C01C">
            <w:pPr>
              <w:numPr>
                <w:ilvl w:val="0"/>
                <w:numId w:val="47"/>
              </w:numPr>
              <w:snapToGrid w:val="0"/>
              <w:spacing w:afterLines="50" w:line="240" w:lineRule="auto"/>
              <w:jc w:val="both"/>
              <w:rPr>
                <w:rFonts w:hint="default"/>
              </w:rPr>
            </w:pPr>
            <w:r>
              <w:rPr>
                <w:rFonts w:hint="default"/>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AD6794B">
            <w:pPr>
              <w:numPr>
                <w:ilvl w:val="0"/>
                <w:numId w:val="47"/>
              </w:numPr>
              <w:snapToGrid w:val="0"/>
              <w:spacing w:afterLines="50" w:line="240" w:lineRule="auto"/>
              <w:jc w:val="both"/>
              <w:rPr>
                <w:rFonts w:hint="default"/>
              </w:rPr>
            </w:pPr>
            <w:r>
              <w:rPr>
                <w:rFonts w:hint="default"/>
              </w:rPr>
              <w:t>Instruir os seus empregados, quanto à prevenção de incêndios nas áreas do Contratante;</w:t>
            </w:r>
          </w:p>
          <w:p w14:paraId="070AF737">
            <w:pPr>
              <w:numPr>
                <w:ilvl w:val="0"/>
                <w:numId w:val="47"/>
              </w:numPr>
              <w:snapToGrid w:val="0"/>
              <w:spacing w:afterLines="50" w:line="240" w:lineRule="auto"/>
              <w:jc w:val="both"/>
              <w:rPr>
                <w:rFonts w:hint="default"/>
              </w:rPr>
            </w:pPr>
            <w:r>
              <w:rPr>
                <w:rFonts w:hint="default"/>
              </w:rPr>
              <w:t>Adotar as providências e precauções necessárias, inclusive consulta nos respectivos órgãos, se necessário for, a fim de que não venham a ser danificadas as redes hidrossanitárias, elétricas e de comunicação;</w:t>
            </w:r>
          </w:p>
          <w:p w14:paraId="524140E5">
            <w:pPr>
              <w:numPr>
                <w:ilvl w:val="0"/>
                <w:numId w:val="47"/>
              </w:numPr>
              <w:snapToGrid w:val="0"/>
              <w:spacing w:afterLines="50" w:line="240" w:lineRule="auto"/>
              <w:jc w:val="both"/>
              <w:rPr>
                <w:rFonts w:hint="default"/>
              </w:rPr>
            </w:pPr>
            <w:r>
              <w:rPr>
                <w:rFonts w:hint="default"/>
              </w:rPr>
              <w:t>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477F377C">
            <w:pPr>
              <w:numPr>
                <w:ilvl w:val="0"/>
                <w:numId w:val="47"/>
              </w:numPr>
              <w:snapToGrid w:val="0"/>
              <w:spacing w:afterLines="50" w:line="240" w:lineRule="auto"/>
              <w:jc w:val="both"/>
            </w:pPr>
            <w:r>
              <w:rPr>
                <w:rFonts w:hint="default"/>
              </w:rPr>
              <w:t>Estar registrada ou inscrita no Conselho Profissional competente, conforme as áreas de atuação previstas no Edital, em plena validade</w:t>
            </w:r>
            <w:r>
              <w:rPr>
                <w:rFonts w:cs="Times New Roman"/>
              </w:rPr>
              <w:t>.</w:t>
            </w:r>
          </w:p>
        </w:tc>
      </w:tr>
      <w:tr w14:paraId="7C10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0A872E2E">
            <w:pPr>
              <w:spacing w:before="120" w:after="120"/>
              <w:jc w:val="both"/>
              <w:rPr>
                <w:b/>
                <w:iCs/>
              </w:rPr>
            </w:pPr>
            <w:r>
              <w:rPr>
                <w:b/>
                <w:iCs/>
              </w:rPr>
              <w:t>16.</w:t>
            </w:r>
            <w:r>
              <w:rPr>
                <w:b/>
                <w:iCs/>
                <w:lang w:val="pt-PT"/>
              </w:rPr>
              <w:t>4</w:t>
            </w:r>
          </w:p>
        </w:tc>
        <w:tc>
          <w:tcPr>
            <w:tcW w:w="7655" w:type="dxa"/>
            <w:shd w:val="clear" w:color="auto" w:fill="auto"/>
          </w:tcPr>
          <w:p w14:paraId="2AD6F1F9">
            <w:pPr>
              <w:spacing w:before="120" w:after="120"/>
              <w:jc w:val="both"/>
              <w:rPr>
                <w:rStyle w:val="96"/>
                <w:rFonts w:cs="Times New Roman"/>
                <w:i w:val="0"/>
                <w:iCs/>
              </w:rPr>
            </w:pPr>
            <w:r>
              <w:rPr>
                <w:rStyle w:val="96"/>
                <w:rFonts w:cs="Times New Roman"/>
                <w:iCs/>
              </w:rPr>
              <w:t xml:space="preserve">O Contratado deverá fornecer o Plano de Gestão Ambiental e Social (PGAS) antes do início das obras e deverá submetê-lo à apreciação e aprovação do Contratante. </w:t>
            </w:r>
          </w:p>
          <w:p w14:paraId="7650BDAC">
            <w:pPr>
              <w:spacing w:before="120" w:after="120"/>
              <w:jc w:val="both"/>
              <w:rPr>
                <w:rFonts w:cs="Times New Roman"/>
                <w:iCs/>
                <w:u w:color="548DD4"/>
              </w:rPr>
            </w:pPr>
            <w:r>
              <w:rPr>
                <w:rStyle w:val="96"/>
                <w:rFonts w:cs="Times New Roman"/>
                <w:iCs/>
              </w:rPr>
              <w:t xml:space="preserve">Ademais, o Responsável Técnico da obra deverá ser incumbido pela aplicação e gerenciamento do plano de gerenciamento de resíduos sólidos (PGRS) da obra.  </w:t>
            </w:r>
          </w:p>
          <w:p w14:paraId="5D3D572F">
            <w:pPr>
              <w:numPr>
                <w:ilvl w:val="1"/>
                <w:numId w:val="48"/>
              </w:numPr>
              <w:spacing w:before="120" w:after="120"/>
              <w:jc w:val="both"/>
              <w:rPr>
                <w:b/>
                <w:bCs/>
                <w:iCs/>
              </w:rPr>
            </w:pPr>
            <w:r>
              <w:rPr>
                <w:b/>
                <w:bCs/>
                <w:iCs/>
              </w:rPr>
              <w:t>Medidas de Controle Ambiental e Social:</w:t>
            </w:r>
          </w:p>
          <w:p w14:paraId="40C580D8">
            <w:pPr>
              <w:spacing w:before="120" w:after="120"/>
              <w:jc w:val="both"/>
              <w:rPr>
                <w:bCs/>
                <w:iCs/>
              </w:rPr>
            </w:pPr>
            <w:r>
              <w:rPr>
                <w:bCs/>
                <w:iCs/>
              </w:rPr>
              <w:t>(i) respeitar e implantar as medidas preventivas, mitigadoras e compensatórias, bem como as de proteção ambiental e ainda, as ações voltadas para o monitoramento da qualidade ambiental, consideradas nos Programas Ambientais do Plano de Gestão Ambiental e Social (PGAS), parte integrante do projeto de engenharia, e no Relatório Ambiental Prévio;</w:t>
            </w:r>
          </w:p>
          <w:p w14:paraId="6E634525">
            <w:pPr>
              <w:spacing w:before="120" w:after="120"/>
              <w:jc w:val="both"/>
              <w:rPr>
                <w:bCs/>
                <w:iCs/>
              </w:rPr>
            </w:pPr>
            <w:r>
              <w:rPr>
                <w:bCs/>
                <w:iCs/>
              </w:rPr>
              <w:t>(ii) cumprir fielmente as diretrizes normativas estabelecidas pela Política Nacional de Meio Ambiente e Política de Meio Ambiente e o que institui a legislação ambiental em vigor nas esferas federal, estadual e municipal;</w:t>
            </w:r>
          </w:p>
          <w:p w14:paraId="79699E1F">
            <w:pPr>
              <w:spacing w:before="120" w:after="120"/>
              <w:jc w:val="both"/>
              <w:rPr>
                <w:bCs/>
                <w:iCs/>
              </w:rPr>
            </w:pPr>
            <w:r>
              <w:rPr>
                <w:bCs/>
                <w:iCs/>
              </w:rPr>
              <w:t>(iii) executar os serviços e/ou dispositivos previstos no Plano de Gestão Ambiental e Social (PGAS), em especial aqueles em relação aos Canteiros de Obras, em toda a área de influência direta das obras;</w:t>
            </w:r>
          </w:p>
          <w:p w14:paraId="5297B97D">
            <w:pPr>
              <w:spacing w:before="120" w:after="120"/>
              <w:jc w:val="both"/>
              <w:rPr>
                <w:bCs/>
                <w:iCs/>
              </w:rPr>
            </w:pPr>
            <w:r>
              <w:rPr>
                <w:bCs/>
                <w:iCs/>
              </w:rPr>
              <w:t>(iv) mitigação por condicionantes e compensação ambiental, que serão definidas no procedimento de licenciamento ambiental;</w:t>
            </w:r>
          </w:p>
          <w:p w14:paraId="0E70F195">
            <w:pPr>
              <w:spacing w:before="120" w:after="120"/>
              <w:jc w:val="both"/>
              <w:rPr>
                <w:bCs/>
                <w:iCs/>
              </w:rPr>
            </w:pPr>
            <w:r>
              <w:rPr>
                <w:bCs/>
                <w:iCs/>
              </w:rPr>
              <w:t xml:space="preserve">(v) implementar as ações contidas no Plano de Recuperação de Área Degradada (PRAD), no que se refere à eliminação dos passivos ambientais, a recomposição e implantação de faixas de vegetação, a melhoria da condição cênica da área de entorno da obra e, a implantação de áreas verdes quando couber; </w:t>
            </w:r>
          </w:p>
          <w:p w14:paraId="025AE0F8">
            <w:pPr>
              <w:spacing w:before="120" w:after="120"/>
              <w:jc w:val="both"/>
              <w:rPr>
                <w:bCs/>
                <w:iCs/>
              </w:rPr>
            </w:pPr>
            <w:r>
              <w:rPr>
                <w:bCs/>
                <w:iCs/>
              </w:rPr>
              <w:t xml:space="preserve">(vi) realizar o treinamento dos trabalhadores da obra para garantir a segurança da população atingida e a manutenção da qualidade ambiental na área diretamente afetada pela obra; </w:t>
            </w:r>
          </w:p>
          <w:p w14:paraId="3EE8A9A0">
            <w:pPr>
              <w:spacing w:before="120" w:after="120"/>
              <w:jc w:val="both"/>
              <w:rPr>
                <w:bCs/>
                <w:iCs/>
              </w:rPr>
            </w:pPr>
            <w:r>
              <w:rPr>
                <w:bCs/>
                <w:iCs/>
              </w:rPr>
              <w:t>(vii) solicitar, junto aos órgãos competentes, os licenciamentos ambientais das áreas de apoio a serem utilizadas na execução das obras, incluindo caixas de empréstimo, bota fora, canteiro de obras, pedreiras, usinas etc., sendo que deverão ser obtidos impreterivelmente antes da instalação/implantação das atividades;</w:t>
            </w:r>
          </w:p>
          <w:p w14:paraId="415D8C6B">
            <w:pPr>
              <w:spacing w:before="120" w:after="120"/>
              <w:jc w:val="both"/>
              <w:rPr>
                <w:bCs/>
                <w:iCs/>
              </w:rPr>
            </w:pPr>
            <w:r>
              <w:rPr>
                <w:bCs/>
                <w:iCs/>
              </w:rPr>
              <w:t>(viii) executar a reabilitação ambiental das áreas de apoio utilizadas, cumprindo as medidas previstas no âmbito do licenciamento das mesmas. Ressalta-se que a não aplicabilidade desta disposição implicará na não emissão da Certidão de Conformidade Ambiental (CCA) do empreendimento e/ou do Termo de Recebimento Definitivo (TRD) das Obras e consequente retenção da garantia de execução;</w:t>
            </w:r>
          </w:p>
          <w:p w14:paraId="584E6AC5">
            <w:pPr>
              <w:spacing w:before="120" w:after="120"/>
              <w:jc w:val="both"/>
              <w:rPr>
                <w:bCs/>
                <w:iCs/>
              </w:rPr>
            </w:pPr>
            <w:r>
              <w:rPr>
                <w:bCs/>
                <w:iCs/>
              </w:rPr>
              <w:t>(ix) requerer autorização para corte das espécies arbóreas, a serem suprimidas pela construção das obras;</w:t>
            </w:r>
          </w:p>
          <w:p w14:paraId="1A0161A0">
            <w:pPr>
              <w:spacing w:before="120" w:after="120"/>
              <w:jc w:val="both"/>
              <w:rPr>
                <w:bCs/>
                <w:iCs/>
              </w:rPr>
            </w:pPr>
            <w:r>
              <w:rPr>
                <w:bCs/>
                <w:iCs/>
              </w:rPr>
              <w:t xml:space="preserve">(x) elaborar o Projeto de Gerenciamento de Resíduos da Construção Civil (PGRCC), com enfoque na identificação de locais adequados para a disposição final, bem como na redução, reutilização e reciclagem dos resíduos, conforme regulamentação vigente; </w:t>
            </w:r>
          </w:p>
          <w:p w14:paraId="58D10E0C">
            <w:pPr>
              <w:spacing w:before="120" w:after="120"/>
              <w:jc w:val="both"/>
              <w:rPr>
                <w:bCs/>
                <w:iCs/>
              </w:rPr>
            </w:pPr>
            <w:r>
              <w:rPr>
                <w:bCs/>
                <w:iCs/>
              </w:rPr>
              <w:t>(xi) contar com técnico(s) devidamente habilitado(s), especialista(s) em meio ambiente e área social, para o acompanhamento da execução da obra, o(s) qual(is) deverá(ão) atender aos requisitos e às exigências ambientais e sociais advindas da execução obra;</w:t>
            </w:r>
          </w:p>
          <w:p w14:paraId="4A46D502">
            <w:pPr>
              <w:spacing w:before="120" w:after="120"/>
              <w:jc w:val="both"/>
              <w:rPr>
                <w:bCs/>
                <w:iCs/>
              </w:rPr>
            </w:pPr>
            <w:r>
              <w:rPr>
                <w:bCs/>
                <w:iCs/>
              </w:rPr>
              <w:t>(xii) proteger o patrimônio histórico, cultural, arqueológico e imaterial, inclusive por meio da avaliação do impacto direto ou indireto causado pelas obras contratadas;</w:t>
            </w:r>
          </w:p>
          <w:p w14:paraId="744588A5">
            <w:pPr>
              <w:spacing w:before="120" w:after="120"/>
              <w:jc w:val="both"/>
              <w:rPr>
                <w:bCs/>
                <w:iCs/>
              </w:rPr>
            </w:pPr>
            <w:r>
              <w:rPr>
                <w:bCs/>
                <w:iCs/>
              </w:rPr>
              <w:t>(xiii) avaliar o impacto de vizinhança, na forma da legislação urbanística;</w:t>
            </w:r>
          </w:p>
          <w:p w14:paraId="2F7C079F">
            <w:pPr>
              <w:spacing w:before="120" w:after="120"/>
              <w:jc w:val="both"/>
              <w:rPr>
                <w:bCs/>
                <w:iCs/>
              </w:rPr>
            </w:pPr>
            <w:r>
              <w:rPr>
                <w:bCs/>
                <w:iCs/>
              </w:rPr>
              <w:t xml:space="preserve">(xiv) utilizar produtos, de equipamentos e de serviços que, comprovadamente, favoreçam a redução do consumo de energia e de recursos naturais; </w:t>
            </w:r>
          </w:p>
          <w:p w14:paraId="3F56B441">
            <w:pPr>
              <w:spacing w:before="120" w:after="120"/>
              <w:jc w:val="both"/>
              <w:rPr>
                <w:bCs/>
                <w:iCs/>
              </w:rPr>
            </w:pPr>
            <w:r>
              <w:rPr>
                <w:bCs/>
                <w:iCs/>
              </w:rPr>
              <w:t>(xv) conformidade com os requisitos de saúde e segurança para a proteção a comunidade local (incluindo grupos vulneráveis e desfavorecidos), o pessoal do Contratante e o pessoal do Contratado (incluindo a utilização de equipamento de proteção pessoal prescrito, prevenção de acidentes evitáveis e a obrigação de relatar condições ou práticas que representem um perigo para a segurança de trabalhadores ou comunidades da região e ameacem o meio ambiente);</w:t>
            </w:r>
          </w:p>
          <w:p w14:paraId="0EF7CB47">
            <w:pPr>
              <w:spacing w:before="120" w:after="120"/>
              <w:jc w:val="both"/>
              <w:rPr>
                <w:bCs/>
                <w:iCs/>
              </w:rPr>
            </w:pPr>
            <w:r>
              <w:rPr>
                <w:bCs/>
                <w:iCs/>
              </w:rPr>
              <w:t xml:space="preserve">(xvi) acessibilidade para pessoas com deficiência ou com mobilidade reduzida; </w:t>
            </w:r>
          </w:p>
          <w:p w14:paraId="50273ACA">
            <w:pPr>
              <w:spacing w:before="120" w:after="120"/>
              <w:jc w:val="both"/>
              <w:rPr>
                <w:bCs/>
                <w:iCs/>
              </w:rPr>
            </w:pPr>
            <w:r>
              <w:rPr>
                <w:bCs/>
                <w:iCs/>
              </w:rPr>
              <w:t>(xvii) proibição do uso de substâncias ilegais;</w:t>
            </w:r>
          </w:p>
          <w:p w14:paraId="3758AB63">
            <w:pPr>
              <w:spacing w:before="120" w:after="120"/>
              <w:jc w:val="both"/>
              <w:rPr>
                <w:bCs/>
                <w:iCs/>
              </w:rPr>
            </w:pPr>
            <w:r>
              <w:rPr>
                <w:bCs/>
                <w:iCs/>
              </w:rPr>
              <w:t>(xviii) não discriminação em lidar com a comunidade local, incluindo grupos vulneráveis e desfavorecidos, o pessoal do Contratante e o pessoal da Contratada;</w:t>
            </w:r>
          </w:p>
          <w:p w14:paraId="2D01F73A">
            <w:pPr>
              <w:spacing w:before="120" w:after="120"/>
              <w:jc w:val="both"/>
              <w:rPr>
                <w:bCs/>
                <w:iCs/>
              </w:rPr>
            </w:pPr>
            <w:r>
              <w:rPr>
                <w:bCs/>
                <w:iCs/>
              </w:rPr>
              <w:t>(xix) interações adequadas com a comunidade local;</w:t>
            </w:r>
          </w:p>
          <w:p w14:paraId="3565031D">
            <w:pPr>
              <w:spacing w:before="120" w:after="120"/>
              <w:jc w:val="both"/>
              <w:rPr>
                <w:bCs/>
                <w:iCs/>
              </w:rPr>
            </w:pPr>
            <w:r>
              <w:rPr>
                <w:bCs/>
                <w:iCs/>
              </w:rPr>
              <w:t xml:space="preserve">(xx) proibição do assédio sexual; </w:t>
            </w:r>
          </w:p>
          <w:p w14:paraId="3DA4B665">
            <w:pPr>
              <w:spacing w:before="120" w:after="120"/>
              <w:jc w:val="both"/>
              <w:rPr>
                <w:bCs/>
                <w:iCs/>
              </w:rPr>
            </w:pPr>
            <w:r>
              <w:rPr>
                <w:bCs/>
                <w:iCs/>
              </w:rPr>
              <w:t>(xxi) coibir a violência, incluindo violência sexual e/ou baseada no gênero; ameaça de tais atos, coerção e privação de liberdade;</w:t>
            </w:r>
          </w:p>
          <w:p w14:paraId="6AB3C76C">
            <w:pPr>
              <w:spacing w:before="120" w:after="120"/>
              <w:jc w:val="both"/>
              <w:rPr>
                <w:bCs/>
                <w:iCs/>
              </w:rPr>
            </w:pPr>
            <w:r>
              <w:rPr>
                <w:bCs/>
                <w:iCs/>
              </w:rPr>
              <w:t xml:space="preserve">(xxii) proteção de crianças (incluindo proibições contra abuso, corrupção ou qualquer outro comportamento inaceitável com crianças, limitação de interações com crianças e segurança nas áreas do projeto); </w:t>
            </w:r>
          </w:p>
          <w:p w14:paraId="3FF2EAE5">
            <w:pPr>
              <w:spacing w:before="120" w:after="120"/>
              <w:jc w:val="both"/>
              <w:rPr>
                <w:bCs/>
                <w:iCs/>
              </w:rPr>
            </w:pPr>
            <w:r>
              <w:rPr>
                <w:bCs/>
                <w:iCs/>
              </w:rPr>
              <w:t>(xxiii) requisitos de saneamento (por exemplo, para garantir que os trabalhadores usem as instalações sanitárias especificadas fornecidas pela Supervisora e não as áreas abertas);</w:t>
            </w:r>
          </w:p>
          <w:p w14:paraId="79C12C78">
            <w:pPr>
              <w:spacing w:before="120" w:after="120"/>
              <w:jc w:val="both"/>
              <w:rPr>
                <w:bCs/>
                <w:iCs/>
              </w:rPr>
            </w:pPr>
            <w:r>
              <w:rPr>
                <w:bCs/>
                <w:iCs/>
              </w:rPr>
              <w:t>(xxiv). respeito às instruções de trabalho razoáveis (incluindo normas ambientais e sociais);</w:t>
            </w:r>
          </w:p>
          <w:p w14:paraId="2D4888AE">
            <w:pPr>
              <w:spacing w:before="120" w:after="120"/>
              <w:jc w:val="both"/>
              <w:rPr>
                <w:bCs/>
                <w:iCs/>
              </w:rPr>
            </w:pPr>
            <w:r>
              <w:rPr>
                <w:bCs/>
                <w:iCs/>
              </w:rPr>
              <w:t>(xxv) proteção e uso adequado da propriedade (por exemplo, proibir roubo, negligência ou desperdício);</w:t>
            </w:r>
          </w:p>
          <w:p w14:paraId="7B9F8AFA">
            <w:pPr>
              <w:spacing w:before="120" w:after="120"/>
              <w:jc w:val="both"/>
              <w:rPr>
                <w:bCs/>
                <w:iCs/>
              </w:rPr>
            </w:pPr>
            <w:r>
              <w:rPr>
                <w:bCs/>
                <w:iCs/>
              </w:rPr>
              <w:t>(xxvi) atender as medidas de controle ambiental e social conforme estabelecido no Modelo 10 – Declaração Ambiental e Social da Seção 4 – Formulários da Proposta</w:t>
            </w:r>
          </w:p>
          <w:p w14:paraId="7EA1B84C">
            <w:pPr>
              <w:numPr>
                <w:ilvl w:val="1"/>
                <w:numId w:val="48"/>
              </w:numPr>
              <w:spacing w:before="120" w:after="120"/>
              <w:jc w:val="both"/>
              <w:rPr>
                <w:bCs/>
                <w:iCs/>
              </w:rPr>
            </w:pPr>
            <w:r>
              <w:rPr>
                <w:b/>
                <w:bCs/>
                <w:iCs/>
              </w:rPr>
              <w:t>Licenças, Anotações, Registros etc.:</w:t>
            </w:r>
            <w:r>
              <w:rPr>
                <w:bCs/>
                <w:iCs/>
              </w:rPr>
              <w:t xml:space="preserve"> Cabe ao Contratado os procedimentos necessários para a obtenção e o pagamento das taxas inerentes:</w:t>
            </w:r>
          </w:p>
          <w:p w14:paraId="404CB645">
            <w:pPr>
              <w:spacing w:before="120" w:after="120"/>
              <w:jc w:val="both"/>
              <w:rPr>
                <w:bCs/>
                <w:iCs/>
              </w:rPr>
            </w:pPr>
            <w:r>
              <w:rPr>
                <w:bCs/>
                <w:iCs/>
              </w:rPr>
              <w:t xml:space="preserve"> (i) Anotação de Responsabilidade Técnica (ART) no CREA;</w:t>
            </w:r>
          </w:p>
          <w:p w14:paraId="0CAE3DDC">
            <w:pPr>
              <w:spacing w:before="120" w:after="120"/>
              <w:jc w:val="both"/>
              <w:rPr>
                <w:bCs/>
                <w:iCs/>
              </w:rPr>
            </w:pPr>
            <w:r>
              <w:rPr>
                <w:bCs/>
                <w:iCs/>
              </w:rPr>
              <w:t>(ii) Cadastro Nacional de Obras (CNO), cadastro específico do INSS e ao final das obras a regularização da documentação/baixa das mesmas junto ao INSS;</w:t>
            </w:r>
          </w:p>
          <w:p w14:paraId="51753327">
            <w:pPr>
              <w:numPr>
                <w:ilvl w:val="0"/>
                <w:numId w:val="49"/>
              </w:numPr>
              <w:spacing w:before="120" w:after="120"/>
              <w:jc w:val="both"/>
              <w:rPr>
                <w:bCs/>
                <w:iCs/>
              </w:rPr>
            </w:pPr>
            <w:r>
              <w:rPr>
                <w:bCs/>
                <w:iCs/>
              </w:rPr>
              <w:t xml:space="preserve"> responsabilizar-se pela obtenção:</w:t>
            </w:r>
          </w:p>
          <w:p w14:paraId="1CF852AB">
            <w:pPr>
              <w:numPr>
                <w:ilvl w:val="0"/>
                <w:numId w:val="50"/>
              </w:numPr>
              <w:spacing w:before="120" w:after="120"/>
              <w:jc w:val="both"/>
              <w:rPr>
                <w:bCs/>
                <w:iCs/>
              </w:rPr>
            </w:pPr>
            <w:r>
              <w:rPr>
                <w:bCs/>
                <w:iCs/>
              </w:rPr>
              <w:t xml:space="preserve">das Licenças de Instalação (LI) e Operação (LO); </w:t>
            </w:r>
          </w:p>
          <w:p w14:paraId="0EEA4432">
            <w:pPr>
              <w:numPr>
                <w:ilvl w:val="0"/>
                <w:numId w:val="50"/>
              </w:numPr>
              <w:spacing w:before="120" w:after="120"/>
              <w:jc w:val="both"/>
              <w:rPr>
                <w:bCs/>
                <w:iCs/>
              </w:rPr>
            </w:pPr>
            <w:r>
              <w:rPr>
                <w:bCs/>
                <w:iCs/>
              </w:rPr>
              <w:t>da renovação das licenças ambientais, autorizações e/ou documento equivalente que vencerem no prazo de vigência do contrato bem como licenças a serem alteradas em virtude de mudanças de projetos;</w:t>
            </w:r>
          </w:p>
          <w:p w14:paraId="56EC47A6">
            <w:pPr>
              <w:numPr>
                <w:ilvl w:val="0"/>
                <w:numId w:val="50"/>
              </w:numPr>
              <w:spacing w:before="120" w:after="120"/>
              <w:jc w:val="both"/>
              <w:rPr>
                <w:bCs/>
                <w:iCs/>
              </w:rPr>
            </w:pPr>
            <w:r>
              <w:rPr>
                <w:bCs/>
                <w:iCs/>
              </w:rPr>
              <w:t>do alvará de construção e o Habite-se junto aos órgãos competentes;</w:t>
            </w:r>
          </w:p>
          <w:p w14:paraId="53ED4ADC">
            <w:pPr>
              <w:numPr>
                <w:ilvl w:val="0"/>
                <w:numId w:val="50"/>
              </w:numPr>
              <w:spacing w:before="120" w:after="120"/>
              <w:jc w:val="both"/>
              <w:rPr>
                <w:bCs/>
                <w:iCs/>
              </w:rPr>
            </w:pPr>
            <w:r>
              <w:rPr>
                <w:bCs/>
                <w:iCs/>
              </w:rPr>
              <w:t>das autorizações exigidas em obras com características especiais, como aquelas pertencentes a patrimônio histórico-cultural; e</w:t>
            </w:r>
          </w:p>
          <w:p w14:paraId="0A50B080">
            <w:pPr>
              <w:numPr>
                <w:ilvl w:val="0"/>
                <w:numId w:val="50"/>
              </w:numPr>
              <w:spacing w:before="120" w:after="120"/>
              <w:jc w:val="both"/>
              <w:rPr>
                <w:bCs/>
                <w:iCs/>
              </w:rPr>
            </w:pPr>
            <w:r>
              <w:rPr>
                <w:bCs/>
                <w:iCs/>
              </w:rPr>
              <w:t>quando for o caso, aprovação do projeto de prevenção e combate a incêndios pelo Corpo de Bombeiros e dos projetos de instalação elétrica, hidráulica e de telefonia das concessionárias competentes;</w:t>
            </w:r>
          </w:p>
          <w:p w14:paraId="352E7064">
            <w:pPr>
              <w:numPr>
                <w:ilvl w:val="0"/>
                <w:numId w:val="50"/>
              </w:numPr>
              <w:spacing w:before="120" w:after="120"/>
              <w:jc w:val="both"/>
              <w:rPr>
                <w:bCs/>
                <w:iCs/>
              </w:rPr>
            </w:pPr>
            <w:r>
              <w:rPr>
                <w:bCs/>
                <w:iCs/>
              </w:rPr>
              <w:t xml:space="preserve">solicitar, às suas expensas, ligação e/ou transferência para as contas de água, esgoto e energia para atendimento ao canteiro de obras e arcar com os custos mensais de consumo, como também de solicitação de desligamento e/ou transferência ao final dos trabalhos; </w:t>
            </w:r>
          </w:p>
          <w:p w14:paraId="1D499C83">
            <w:pPr>
              <w:numPr>
                <w:ilvl w:val="0"/>
                <w:numId w:val="50"/>
              </w:numPr>
              <w:spacing w:before="120" w:after="120"/>
              <w:jc w:val="both"/>
              <w:rPr>
                <w:bCs/>
                <w:iCs/>
              </w:rPr>
            </w:pPr>
            <w:r>
              <w:rPr>
                <w:bCs/>
                <w:iCs/>
              </w:rPr>
              <w:t>providenciar o Plano de Gerenciamento de Resíduos da Construção Civil – PGRCC e o alvará de construção junto à prefeitura municipal, e se necessário, alvará de demolição; e</w:t>
            </w:r>
          </w:p>
          <w:p w14:paraId="5FEF09C0">
            <w:pPr>
              <w:numPr>
                <w:ilvl w:val="0"/>
                <w:numId w:val="50"/>
              </w:numPr>
              <w:spacing w:before="120" w:after="120"/>
              <w:jc w:val="both"/>
              <w:rPr>
                <w:bCs/>
                <w:iCs/>
              </w:rPr>
            </w:pPr>
            <w:r>
              <w:rPr>
                <w:rFonts w:cs="Times New Roman"/>
                <w:bCs/>
              </w:rPr>
              <w:t>r</w:t>
            </w:r>
            <w:r>
              <w:rPr>
                <w:rFonts w:cs="Times New Roman"/>
              </w:rPr>
              <w:t>esponsabilizar-se pelo cumprimento das Licenças de Instalação (LI) e Operação (LO), bem como licenças a serem alteradas em virtude de mudanças de projetos.</w:t>
            </w:r>
          </w:p>
          <w:p w14:paraId="360F0CB8">
            <w:pPr>
              <w:numPr>
                <w:ilvl w:val="1"/>
                <w:numId w:val="48"/>
              </w:numPr>
              <w:spacing w:before="120" w:after="120"/>
              <w:jc w:val="both"/>
              <w:rPr>
                <w:b/>
                <w:bCs/>
                <w:iCs/>
              </w:rPr>
            </w:pPr>
            <w:r>
              <w:rPr>
                <w:b/>
                <w:bCs/>
                <w:iCs/>
              </w:rPr>
              <w:t xml:space="preserve">Normas de Segurança e de Saúde: </w:t>
            </w:r>
          </w:p>
          <w:p w14:paraId="32F20A6F">
            <w:pPr>
              <w:numPr>
                <w:ilvl w:val="0"/>
                <w:numId w:val="51"/>
              </w:numPr>
              <w:spacing w:before="120" w:after="120"/>
              <w:jc w:val="both"/>
              <w:rPr>
                <w:bCs/>
                <w:iCs/>
              </w:rPr>
            </w:pPr>
            <w:r>
              <w:rPr>
                <w:bCs/>
                <w:iCs/>
              </w:rPr>
              <w:t>NR – 04 – Norma Regulamentadora do Ministério do Trabalho – “Serviços Especializados em Engenharia de Segurança e em Medicina do Trabalho”;</w:t>
            </w:r>
          </w:p>
          <w:p w14:paraId="0AF18EBE">
            <w:pPr>
              <w:numPr>
                <w:ilvl w:val="0"/>
                <w:numId w:val="51"/>
              </w:numPr>
              <w:spacing w:before="120" w:after="120"/>
              <w:jc w:val="both"/>
              <w:rPr>
                <w:bCs/>
                <w:iCs/>
              </w:rPr>
            </w:pPr>
            <w:r>
              <w:rPr>
                <w:bCs/>
                <w:iCs/>
              </w:rPr>
              <w:t>NR – 06 – Norma Regulamentadora do Ministério do Trabalho – “Equipamentos de Proteção Individual (EPI)”;</w:t>
            </w:r>
          </w:p>
          <w:p w14:paraId="5213DAD2">
            <w:pPr>
              <w:numPr>
                <w:ilvl w:val="0"/>
                <w:numId w:val="51"/>
              </w:numPr>
              <w:spacing w:before="120" w:after="120"/>
              <w:jc w:val="both"/>
              <w:rPr>
                <w:bCs/>
                <w:iCs/>
              </w:rPr>
            </w:pPr>
            <w:r>
              <w:rPr>
                <w:bCs/>
                <w:iCs/>
              </w:rPr>
              <w:t>NR – 07 – Norma Regulamentadora do Ministério do Trabalho – “Programa de Controle Médico de Saúde Ocupacional (PCMSO)”;</w:t>
            </w:r>
          </w:p>
          <w:p w14:paraId="0A4C89E7">
            <w:pPr>
              <w:numPr>
                <w:ilvl w:val="0"/>
                <w:numId w:val="51"/>
              </w:numPr>
              <w:spacing w:before="120" w:after="120"/>
              <w:jc w:val="both"/>
              <w:rPr>
                <w:bCs/>
                <w:iCs/>
              </w:rPr>
            </w:pPr>
            <w:r>
              <w:rPr>
                <w:bCs/>
                <w:iCs/>
              </w:rPr>
              <w:t>NR – 08 – Norma Regulamentadora do Ministério do Trabalho – “Edificações”;</w:t>
            </w:r>
          </w:p>
          <w:p w14:paraId="56691459">
            <w:pPr>
              <w:numPr>
                <w:ilvl w:val="0"/>
                <w:numId w:val="51"/>
              </w:numPr>
              <w:spacing w:before="120" w:after="120"/>
              <w:jc w:val="both"/>
              <w:rPr>
                <w:bCs/>
                <w:iCs/>
              </w:rPr>
            </w:pPr>
            <w:r>
              <w:rPr>
                <w:bCs/>
                <w:iCs/>
              </w:rPr>
              <w:t xml:space="preserve">NR – 09 – Norma Regulamentadora do Ministério do Trabalho – “Programa de Prevenção de Riscos Ambientais (PPRA)”; </w:t>
            </w:r>
          </w:p>
          <w:p w14:paraId="632A8933">
            <w:pPr>
              <w:numPr>
                <w:ilvl w:val="0"/>
                <w:numId w:val="51"/>
              </w:numPr>
              <w:spacing w:before="120" w:after="120"/>
              <w:jc w:val="both"/>
              <w:rPr>
                <w:bCs/>
                <w:iCs/>
              </w:rPr>
            </w:pPr>
            <w:r>
              <w:rPr>
                <w:bCs/>
                <w:iCs/>
              </w:rPr>
              <w:t>NR – 11 – Norma Regulamentadora do Ministério do Trabalho – “Transporte, Movimentação, Armazenagem e Manuseio de Materiais”; e</w:t>
            </w:r>
          </w:p>
        </w:tc>
      </w:tr>
      <w:tr w14:paraId="551DD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A947EC5">
            <w:pPr>
              <w:spacing w:before="120" w:after="120"/>
              <w:jc w:val="both"/>
              <w:rPr>
                <w:b/>
                <w:iCs/>
                <w:lang w:val="pt-PT"/>
              </w:rPr>
            </w:pPr>
            <w:r>
              <w:rPr>
                <w:b/>
                <w:iCs/>
                <w:lang w:val="pt-PT"/>
              </w:rPr>
              <w:t>16.7(a)</w:t>
            </w:r>
          </w:p>
        </w:tc>
        <w:tc>
          <w:tcPr>
            <w:tcW w:w="7655" w:type="dxa"/>
          </w:tcPr>
          <w:p w14:paraId="787CDB16">
            <w:pPr>
              <w:spacing w:before="120" w:after="120"/>
              <w:jc w:val="both"/>
              <w:rPr>
                <w:b/>
                <w:bCs/>
                <w:iCs/>
              </w:rPr>
            </w:pPr>
            <w:r>
              <w:rPr>
                <w:b/>
                <w:bCs/>
                <w:iCs/>
              </w:rPr>
              <w:t>Plano de Gestão Ambiental e Social (PGAS)</w:t>
            </w:r>
          </w:p>
          <w:p w14:paraId="4546148D">
            <w:r>
              <w:rPr>
                <w:rFonts w:cs="Times New Roman"/>
                <w:iCs/>
              </w:rPr>
              <w:t xml:space="preserve">O Contratado deverá fornecer o Plano de Gestão Ambiental e Social (PGAS), até o prazo </w:t>
            </w:r>
            <w:r>
              <w:rPr>
                <w:iCs/>
              </w:rPr>
              <w:t>de 10 dias da</w:t>
            </w:r>
            <w:r>
              <w:t xml:space="preserve"> assinatura do Contrato.</w:t>
            </w:r>
          </w:p>
          <w:p w14:paraId="2EB434D8">
            <w:pPr>
              <w:spacing w:before="120" w:after="120"/>
              <w:jc w:val="both"/>
              <w:rPr>
                <w:bCs/>
                <w:iCs/>
              </w:rPr>
            </w:pPr>
            <w:r>
              <w:rPr>
                <w:rFonts w:cs="Times New Roman"/>
              </w:rPr>
              <w:t>O Relatório de Acompanhamento do PGAS deve ser entregue mensalmente pela Contratada, juntamente com a medição da obra.</w:t>
            </w:r>
          </w:p>
        </w:tc>
      </w:tr>
      <w:tr w14:paraId="7018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BC71698">
            <w:pPr>
              <w:spacing w:before="120" w:after="120"/>
              <w:jc w:val="both"/>
              <w:rPr>
                <w:b/>
                <w:iCs/>
              </w:rPr>
            </w:pPr>
            <w:r>
              <w:rPr>
                <w:b/>
                <w:iCs/>
              </w:rPr>
              <w:t>21.1</w:t>
            </w:r>
          </w:p>
        </w:tc>
        <w:tc>
          <w:tcPr>
            <w:tcW w:w="7655" w:type="dxa"/>
          </w:tcPr>
          <w:p w14:paraId="4521BC75">
            <w:pPr>
              <w:spacing w:before="120" w:after="120"/>
              <w:jc w:val="both"/>
              <w:rPr>
                <w:b/>
                <w:bCs/>
                <w:iCs/>
              </w:rPr>
            </w:pPr>
            <w:r>
              <w:rPr>
                <w:b/>
                <w:bCs/>
                <w:iCs/>
              </w:rPr>
              <w:t>Posse do Local das Obras</w:t>
            </w:r>
          </w:p>
          <w:p w14:paraId="3B114D05">
            <w:pPr>
              <w:spacing w:before="120" w:after="120"/>
              <w:jc w:val="both"/>
              <w:rPr>
                <w:bCs/>
                <w:iCs/>
              </w:rPr>
            </w:pPr>
            <w:r>
              <w:rPr>
                <w:rFonts w:cs="Times New Roman"/>
              </w:rPr>
              <w:t xml:space="preserve">A Data de Posse do Local de Obra é </w:t>
            </w:r>
            <w:r>
              <w:rPr>
                <w:rFonts w:cs="Times New Roman"/>
                <w:iCs/>
              </w:rPr>
              <w:t>a data da emissão da Ordem de Serviço (OS) pelo Contratante, conforme o lote.</w:t>
            </w:r>
          </w:p>
        </w:tc>
      </w:tr>
      <w:tr w14:paraId="7C297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1A3261A4">
            <w:pPr>
              <w:spacing w:before="120" w:after="120"/>
              <w:jc w:val="both"/>
              <w:rPr>
                <w:b/>
                <w:iCs/>
              </w:rPr>
            </w:pPr>
            <w:r>
              <w:rPr>
                <w:b/>
                <w:iCs/>
              </w:rPr>
              <w:t>24.5</w:t>
            </w:r>
          </w:p>
        </w:tc>
        <w:tc>
          <w:tcPr>
            <w:tcW w:w="7655" w:type="dxa"/>
            <w:shd w:val="clear" w:color="auto" w:fill="auto"/>
          </w:tcPr>
          <w:p w14:paraId="792E4D5B">
            <w:pPr>
              <w:spacing w:before="120" w:after="120"/>
              <w:jc w:val="both"/>
              <w:rPr>
                <w:b/>
                <w:bCs/>
                <w:iCs/>
              </w:rPr>
            </w:pPr>
            <w:r>
              <w:rPr>
                <w:b/>
                <w:bCs/>
                <w:iCs/>
              </w:rPr>
              <w:t xml:space="preserve">Resolução de Conflitos </w:t>
            </w:r>
          </w:p>
          <w:p w14:paraId="7BB9EDC9">
            <w:pPr>
              <w:spacing w:before="120" w:after="120"/>
              <w:jc w:val="both"/>
              <w:rPr>
                <w:bCs/>
                <w:iCs/>
              </w:rPr>
            </w:pPr>
            <w:r>
              <w:rPr>
                <w:bCs/>
                <w:iCs/>
              </w:rPr>
              <w:t>Conforme indicado nas (CGC).</w:t>
            </w:r>
          </w:p>
        </w:tc>
      </w:tr>
      <w:tr w14:paraId="7FB1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9077" w:type="dxa"/>
            <w:gridSpan w:val="2"/>
            <w:shd w:val="clear" w:color="auto" w:fill="F1F1F1" w:themeFill="background1" w:themeFillShade="F2"/>
          </w:tcPr>
          <w:p w14:paraId="397135C3">
            <w:pPr>
              <w:spacing w:before="120" w:after="120"/>
              <w:jc w:val="center"/>
              <w:rPr>
                <w:b/>
                <w:iCs/>
              </w:rPr>
            </w:pPr>
            <w:r>
              <w:rPr>
                <w:b/>
                <w:iCs/>
              </w:rPr>
              <w:t>B - CONTROLE DE TEMPO</w:t>
            </w:r>
          </w:p>
        </w:tc>
      </w:tr>
      <w:tr w14:paraId="45E3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1D043899">
            <w:pPr>
              <w:spacing w:before="120" w:after="120"/>
              <w:jc w:val="both"/>
              <w:rPr>
                <w:b/>
                <w:iCs/>
              </w:rPr>
            </w:pPr>
            <w:r>
              <w:rPr>
                <w:b/>
                <w:iCs/>
              </w:rPr>
              <w:t>25.1</w:t>
            </w:r>
          </w:p>
        </w:tc>
        <w:tc>
          <w:tcPr>
            <w:tcW w:w="7655" w:type="dxa"/>
          </w:tcPr>
          <w:p w14:paraId="6155B2CA">
            <w:pPr>
              <w:spacing w:before="120" w:after="120"/>
              <w:jc w:val="both"/>
              <w:rPr>
                <w:b/>
                <w:bCs/>
                <w:iCs/>
                <w:color w:val="auto"/>
              </w:rPr>
            </w:pPr>
            <w:r>
              <w:rPr>
                <w:b/>
                <w:bCs/>
                <w:iCs/>
                <w:color w:val="auto"/>
              </w:rPr>
              <w:t>Cronograma de Implementação das Obras</w:t>
            </w:r>
          </w:p>
          <w:p w14:paraId="47F1452E">
            <w:pPr>
              <w:jc w:val="both"/>
              <w:rPr>
                <w:color w:val="auto"/>
                <w:sz w:val="24"/>
                <w:szCs w:val="24"/>
              </w:rPr>
            </w:pPr>
            <w:r>
              <w:rPr>
                <w:rFonts w:eastAsia="Times New Roman" w:cs="Times New Roman"/>
                <w:color w:val="auto"/>
                <w:sz w:val="24"/>
              </w:rPr>
              <w:t>O Cronograma está previs</w:t>
            </w:r>
            <w:r>
              <w:rPr>
                <w:rFonts w:eastAsia="Times New Roman" w:cs="Times New Roman"/>
                <w:color w:val="auto"/>
                <w:sz w:val="24"/>
                <w:highlight w:val="none"/>
              </w:rPr>
              <w:t>to em meses, send</w:t>
            </w:r>
            <w:r>
              <w:rPr>
                <w:rFonts w:eastAsia="Times New Roman" w:cs="Times New Roman"/>
                <w:color w:val="auto"/>
                <w:sz w:val="24"/>
              </w:rPr>
              <w:t>o desnecessário a atualização do mesmo para implantação das obras, podendo ser atualizado, caso necessário, ou solicitado pela</w:t>
            </w:r>
            <w:r>
              <w:rPr>
                <w:rFonts w:eastAsia="Times New Roman" w:cs="Times New Roman"/>
                <w:b/>
                <w:color w:val="auto"/>
                <w:sz w:val="24"/>
              </w:rPr>
              <w:t> Contratante.</w:t>
            </w:r>
          </w:p>
          <w:p w14:paraId="6ECCB653">
            <w:pPr>
              <w:spacing w:before="120" w:after="120"/>
              <w:jc w:val="both"/>
              <w:rPr>
                <w:bCs/>
                <w:iCs/>
              </w:rPr>
            </w:pPr>
            <w:r>
              <w:rPr>
                <w:rFonts w:eastAsia="Times New Roman" w:cs="Times New Roman"/>
                <w:color w:val="auto"/>
                <w:sz w:val="24"/>
              </w:rPr>
              <w:t>(a) A contratada deverá fornecer o Plano de Trabalho detalhado, no prazo de 15 (quinze) dias após assinatura do contrato, conforme estipulado na Declaração de Entrega do Plano de Trabalho (MODELO 06 - Seção 4 do Edital).</w:t>
            </w:r>
          </w:p>
        </w:tc>
      </w:tr>
      <w:tr w14:paraId="414C8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AC9A034">
            <w:pPr>
              <w:spacing w:before="120" w:after="120"/>
              <w:jc w:val="both"/>
              <w:rPr>
                <w:b/>
                <w:iCs/>
              </w:rPr>
            </w:pPr>
            <w:r>
              <w:rPr>
                <w:b/>
                <w:iCs/>
              </w:rPr>
              <w:t>25.2</w:t>
            </w:r>
          </w:p>
        </w:tc>
        <w:tc>
          <w:tcPr>
            <w:tcW w:w="7655" w:type="dxa"/>
          </w:tcPr>
          <w:p w14:paraId="1147A41C">
            <w:pPr>
              <w:spacing w:before="120" w:after="120"/>
              <w:jc w:val="both"/>
              <w:rPr>
                <w:bCs/>
                <w:iCs/>
              </w:rPr>
            </w:pPr>
            <w:r>
              <w:rPr>
                <w:bCs/>
                <w:iCs/>
              </w:rPr>
              <w:t>O Cronograma deverá ser atualizado</w:t>
            </w:r>
            <w:r>
              <w:rPr>
                <w:rFonts w:cs="Times New Roman"/>
                <w:iCs/>
              </w:rPr>
              <w:t xml:space="preserve"> </w:t>
            </w:r>
            <w:r>
              <w:rPr>
                <w:rStyle w:val="97"/>
                <w:rFonts w:cs="Times New Roman"/>
                <w:iCs/>
              </w:rPr>
              <w:t>mensalmente</w:t>
            </w:r>
            <w:r>
              <w:rPr>
                <w:rFonts w:cs="Times New Roman"/>
              </w:rPr>
              <w:t xml:space="preserve"> e sempre que necessário ou solicitado pela Contratante.</w:t>
            </w:r>
          </w:p>
        </w:tc>
      </w:tr>
      <w:tr w14:paraId="2509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53" w:hRule="atLeast"/>
          <w:jc w:val="center"/>
        </w:trPr>
        <w:tc>
          <w:tcPr>
            <w:tcW w:w="1422" w:type="dxa"/>
          </w:tcPr>
          <w:p w14:paraId="018A5296">
            <w:pPr>
              <w:spacing w:before="120" w:after="120"/>
              <w:jc w:val="both"/>
              <w:rPr>
                <w:b/>
                <w:iCs/>
              </w:rPr>
            </w:pPr>
            <w:r>
              <w:rPr>
                <w:b/>
                <w:iCs/>
              </w:rPr>
              <w:t>25.3</w:t>
            </w:r>
          </w:p>
        </w:tc>
        <w:tc>
          <w:tcPr>
            <w:tcW w:w="7655" w:type="dxa"/>
          </w:tcPr>
          <w:p w14:paraId="0F645763">
            <w:pPr>
              <w:spacing w:before="120" w:after="120"/>
              <w:rPr>
                <w:rFonts w:cs="Times New Roman"/>
                <w:b/>
                <w:bCs/>
              </w:rPr>
            </w:pPr>
            <w:r>
              <w:rPr>
                <w:rFonts w:cs="Times New Roman"/>
                <w:b/>
                <w:bCs/>
              </w:rPr>
              <w:t>A não apresentação da atualização do cronograma implica no impedimento de realização de medições subsequentes.</w:t>
            </w:r>
          </w:p>
        </w:tc>
      </w:tr>
      <w:tr w14:paraId="64B2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9077" w:type="dxa"/>
            <w:gridSpan w:val="2"/>
            <w:shd w:val="clear" w:color="auto" w:fill="F1F1F1" w:themeFill="background1" w:themeFillShade="F2"/>
          </w:tcPr>
          <w:p w14:paraId="129F38F8">
            <w:pPr>
              <w:spacing w:before="120" w:after="120"/>
              <w:jc w:val="center"/>
              <w:rPr>
                <w:b/>
                <w:iCs/>
              </w:rPr>
            </w:pPr>
            <w:r>
              <w:rPr>
                <w:b/>
                <w:iCs/>
              </w:rPr>
              <w:t>D - CONTROLE DE CUSTOS</w:t>
            </w:r>
          </w:p>
        </w:tc>
      </w:tr>
      <w:tr w14:paraId="5684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3BAB616F">
            <w:pPr>
              <w:spacing w:before="120" w:after="120"/>
              <w:jc w:val="both"/>
              <w:rPr>
                <w:b/>
                <w:iCs/>
              </w:rPr>
            </w:pPr>
            <w:r>
              <w:rPr>
                <w:b/>
                <w:iCs/>
              </w:rPr>
              <w:t>40.7</w:t>
            </w:r>
          </w:p>
        </w:tc>
        <w:tc>
          <w:tcPr>
            <w:tcW w:w="7655" w:type="dxa"/>
            <w:shd w:val="clear" w:color="auto" w:fill="auto"/>
          </w:tcPr>
          <w:p w14:paraId="3B761451">
            <w:pPr>
              <w:spacing w:before="120" w:after="120"/>
              <w:jc w:val="both"/>
              <w:rPr>
                <w:b/>
                <w:bCs/>
                <w:iCs/>
              </w:rPr>
            </w:pPr>
            <w:r>
              <w:rPr>
                <w:b/>
                <w:bCs/>
                <w:iCs/>
              </w:rPr>
              <w:t>Medições</w:t>
            </w:r>
          </w:p>
          <w:p w14:paraId="2EDAE4AC">
            <w:pPr>
              <w:tabs>
                <w:tab w:val="left" w:pos="780"/>
              </w:tabs>
              <w:snapToGrid w:val="0"/>
              <w:spacing w:afterLines="50"/>
              <w:ind w:left="425"/>
              <w:jc w:val="both"/>
              <w:rPr>
                <w:rFonts w:cs="Times New Roman"/>
              </w:rPr>
            </w:pPr>
            <w:r>
              <w:t>a)</w:t>
            </w:r>
            <w:r>
              <w:rPr>
                <w:rFonts w:cs="Times New Roman"/>
              </w:rPr>
              <w:t xml:space="preserve"> Os itens constantes dos custos administrativos serão medidos de acordo com as etapas e sub etapas previstas no cronograma físico-financeiro, conforme disposto no § 9º do art. 46 da Lei nº 14.133/2021, bem como entendimento consolidado pelo Tribunal de Contas da União por meio do Acórdão nº 1977/2013 – Plenário.</w:t>
            </w:r>
          </w:p>
          <w:p w14:paraId="0FD1970D">
            <w:pPr>
              <w:tabs>
                <w:tab w:val="left" w:pos="425"/>
              </w:tabs>
              <w:snapToGrid w:val="0"/>
              <w:spacing w:afterLines="50"/>
              <w:ind w:left="425"/>
              <w:jc w:val="both"/>
            </w:pPr>
            <w:r>
              <w:t>b) Ao final de cada período da execução contratual, conforme previsto no cronograma físico-financeiro, a Contratada apresentará Relatório detalhado dos serviços executados no período, acompanhado da respectiva memória de cálculo detalhada para apreciação da fiscalização.</w:t>
            </w:r>
          </w:p>
          <w:p w14:paraId="6120806D">
            <w:pPr>
              <w:tabs>
                <w:tab w:val="left" w:pos="639"/>
              </w:tabs>
              <w:snapToGrid w:val="0"/>
              <w:spacing w:afterLines="50"/>
              <w:ind w:left="497" w:hanging="72"/>
              <w:jc w:val="both"/>
            </w:pPr>
            <w:r>
              <w:t>c) Para os serviços correspondentes à administração local, os pagamentos serão proporcionais à execução financeira da obra.</w:t>
            </w:r>
          </w:p>
          <w:p w14:paraId="078D351D">
            <w:pPr>
              <w:spacing w:afterLines="35"/>
              <w:ind w:left="425"/>
              <w:jc w:val="both"/>
            </w:pPr>
            <w:r>
              <w:t>d) Uma etapa será considerada efetivamente concluída quando os serviços previstos para aquela etapa no cronograma físico-financeiro estiverem executados em sua totalidade.</w:t>
            </w:r>
          </w:p>
          <w:p w14:paraId="0C5C4E08">
            <w:pPr>
              <w:spacing w:afterLines="35"/>
              <w:ind w:left="425"/>
              <w:jc w:val="both"/>
              <w:rPr>
                <w:rFonts w:cs="Times New Roman"/>
              </w:rPr>
            </w:pPr>
            <w:r>
              <w:t xml:space="preserve">e) </w:t>
            </w:r>
            <w:r>
              <w:rPr>
                <w:rFonts w:cs="Times New Roman"/>
              </w:rPr>
              <w:t>As medições serão processadas independentemente de solicitação da Contratada, dentro do prazo mínimo de 30 (trinta) dias e máximo de 90 (noventa) dias, com exceção da 1ª (primeira) e da última que poderão ter prazo inferior a 30 (trinta) dias.</w:t>
            </w:r>
          </w:p>
          <w:p w14:paraId="15BB2E71">
            <w:pPr>
              <w:spacing w:afterLines="50"/>
              <w:jc w:val="both"/>
              <w:rPr>
                <w:rFonts w:cs="Times New Roman"/>
              </w:rPr>
            </w:pPr>
            <w:r>
              <w:rPr>
                <w:rFonts w:cs="Times New Roman"/>
              </w:rPr>
              <w:t>O</w:t>
            </w:r>
            <w:r>
              <w:rPr>
                <w:rFonts w:cs="Times New Roman"/>
                <w:spacing w:val="-1"/>
              </w:rPr>
              <w:t xml:space="preserve"> </w:t>
            </w:r>
            <w:r>
              <w:rPr>
                <w:rFonts w:cs="Times New Roman"/>
              </w:rPr>
              <w:t>processamento</w:t>
            </w:r>
            <w:r>
              <w:rPr>
                <w:rFonts w:cs="Times New Roman"/>
                <w:spacing w:val="-1"/>
              </w:rPr>
              <w:t xml:space="preserve"> </w:t>
            </w:r>
            <w:r>
              <w:rPr>
                <w:rFonts w:cs="Times New Roman"/>
              </w:rPr>
              <w:t>das</w:t>
            </w:r>
            <w:r>
              <w:rPr>
                <w:rFonts w:cs="Times New Roman"/>
                <w:spacing w:val="-1"/>
              </w:rPr>
              <w:t xml:space="preserve"> </w:t>
            </w:r>
            <w:r>
              <w:rPr>
                <w:rFonts w:cs="Times New Roman"/>
              </w:rPr>
              <w:t>medições</w:t>
            </w:r>
            <w:r>
              <w:rPr>
                <w:rFonts w:cs="Times New Roman"/>
                <w:spacing w:val="-1"/>
              </w:rPr>
              <w:t xml:space="preserve"> </w:t>
            </w:r>
            <w:r>
              <w:rPr>
                <w:rFonts w:cs="Times New Roman"/>
              </w:rPr>
              <w:t>obedecerá</w:t>
            </w:r>
            <w:r>
              <w:rPr>
                <w:rFonts w:cs="Times New Roman"/>
                <w:spacing w:val="-2"/>
              </w:rPr>
              <w:t xml:space="preserve"> </w:t>
            </w:r>
            <w:r>
              <w:rPr>
                <w:rFonts w:cs="Times New Roman"/>
              </w:rPr>
              <w:t>à</w:t>
            </w:r>
            <w:r>
              <w:rPr>
                <w:rFonts w:cs="Times New Roman"/>
                <w:spacing w:val="-2"/>
              </w:rPr>
              <w:t xml:space="preserve"> </w:t>
            </w:r>
            <w:r>
              <w:rPr>
                <w:rFonts w:cs="Times New Roman"/>
              </w:rPr>
              <w:t>seguinte</w:t>
            </w:r>
            <w:r>
              <w:rPr>
                <w:rFonts w:cs="Times New Roman"/>
                <w:spacing w:val="1"/>
              </w:rPr>
              <w:t xml:space="preserve"> </w:t>
            </w:r>
            <w:r>
              <w:rPr>
                <w:rFonts w:cs="Times New Roman"/>
                <w:spacing w:val="-2"/>
              </w:rPr>
              <w:t>sistemática:</w:t>
            </w:r>
          </w:p>
          <w:p w14:paraId="57774EAD">
            <w:pPr>
              <w:pStyle w:val="49"/>
              <w:numPr>
                <w:ilvl w:val="0"/>
                <w:numId w:val="52"/>
              </w:numPr>
              <w:spacing w:before="120" w:afterLines="35" w:line="240" w:lineRule="auto"/>
              <w:jc w:val="both"/>
              <w:rPr>
                <w:rFonts w:eastAsia="SimSun"/>
              </w:rPr>
            </w:pPr>
            <w:r>
              <w:rPr>
                <w:rFonts w:eastAsia="SimSun"/>
              </w:rPr>
              <w:t>Tudo que for realizado sob as condições contratuais, será apontado de acordo com os critérios de medição, em impresso próprio, que deverá ser assinado pelo representante legal da Secretaria competente;</w:t>
            </w:r>
          </w:p>
          <w:p w14:paraId="06452BD2">
            <w:pPr>
              <w:pStyle w:val="49"/>
              <w:numPr>
                <w:ilvl w:val="0"/>
                <w:numId w:val="52"/>
              </w:numPr>
              <w:spacing w:before="120" w:afterLines="35" w:line="240" w:lineRule="auto"/>
              <w:jc w:val="both"/>
            </w:pPr>
            <w:r>
              <w:rPr>
                <w:rFonts w:eastAsia="SimSun"/>
              </w:rPr>
              <w:t>Cada medição se dará da seguinte forma:</w:t>
            </w:r>
          </w:p>
          <w:p w14:paraId="0F652829">
            <w:pPr>
              <w:pStyle w:val="49"/>
              <w:numPr>
                <w:ilvl w:val="0"/>
                <w:numId w:val="53"/>
              </w:numPr>
              <w:spacing w:before="120" w:afterLines="35" w:line="240" w:lineRule="auto"/>
              <w:jc w:val="both"/>
            </w:pPr>
            <w:r>
              <w:rPr>
                <w:rFonts w:eastAsia="SimSun"/>
              </w:rPr>
              <w:t>As medidas deverão estar concluídas e corrigidas até 10 (dez) días após o final do período da medição.</w:t>
            </w:r>
          </w:p>
          <w:p w14:paraId="43E73702">
            <w:pPr>
              <w:pStyle w:val="49"/>
              <w:numPr>
                <w:ilvl w:val="0"/>
                <w:numId w:val="53"/>
              </w:numPr>
              <w:spacing w:before="120" w:afterLines="35" w:line="240" w:lineRule="auto"/>
              <w:jc w:val="both"/>
              <w:rPr>
                <w:rFonts w:cs="Times New Roman"/>
              </w:rPr>
            </w:pPr>
            <w:r>
              <w:rPr>
                <w:rFonts w:eastAsia="SimSun" w:cs="Times New Roman"/>
              </w:rPr>
              <w:t>Após concluídas e corrigidas, deverá a Contratada apresentar as faturas correspondentes, que serão encaminhadas juntamente com as medições para liquidação</w:t>
            </w:r>
            <w:r>
              <w:rPr>
                <w:rFonts w:cs="Times New Roman"/>
              </w:rPr>
              <w:t>.</w:t>
            </w:r>
          </w:p>
          <w:p w14:paraId="3D38A79F">
            <w:pPr>
              <w:pStyle w:val="49"/>
              <w:numPr>
                <w:ilvl w:val="0"/>
                <w:numId w:val="53"/>
              </w:numPr>
              <w:spacing w:before="120" w:afterLines="35" w:line="240" w:lineRule="auto"/>
              <w:jc w:val="both"/>
              <w:rPr>
                <w:rFonts w:cs="Times New Roman"/>
              </w:rPr>
            </w:pPr>
            <w:r>
              <w:rPr>
                <w:rFonts w:eastAsia="SimSun" w:cs="Times New Roman"/>
              </w:rPr>
              <w:t>As medições serão acompanhadas de relatório fotográfico e quando necessário, de memorial de cálculo de medição</w:t>
            </w:r>
            <w:r>
              <w:rPr>
                <w:rFonts w:cs="Times New Roman"/>
              </w:rPr>
              <w:t>.</w:t>
            </w:r>
          </w:p>
          <w:p w14:paraId="589B4D5F">
            <w:pPr>
              <w:pStyle w:val="49"/>
              <w:numPr>
                <w:ilvl w:val="0"/>
                <w:numId w:val="53"/>
              </w:numPr>
              <w:spacing w:before="120" w:afterLines="35" w:line="240" w:lineRule="auto"/>
              <w:jc w:val="both"/>
              <w:rPr>
                <w:rFonts w:eastAsia="SimSun" w:cs="Times New Roman"/>
              </w:rPr>
            </w:pPr>
            <w:r>
              <w:rPr>
                <w:rFonts w:eastAsia="SimSun" w:cs="Times New Roman"/>
              </w:rPr>
              <w:t>A medição final será realizada quando os serviços forem considerados concluídos, inclusive limpeza geral, bem como reparos, caso a fiscalização julgar necessário.</w:t>
            </w:r>
          </w:p>
          <w:p w14:paraId="204FD325">
            <w:pPr>
              <w:spacing w:before="120" w:after="120"/>
              <w:jc w:val="both"/>
              <w:rPr>
                <w:b/>
                <w:bCs/>
                <w:iCs/>
              </w:rPr>
            </w:pPr>
            <w:r>
              <w:rPr>
                <w:b/>
                <w:bCs/>
                <w:iCs/>
              </w:rPr>
              <w:t>Outros procedimentos relacionados com o recebimento dos serviços executados</w:t>
            </w:r>
          </w:p>
          <w:p w14:paraId="06116062">
            <w:pPr>
              <w:pStyle w:val="49"/>
              <w:numPr>
                <w:ilvl w:val="0"/>
                <w:numId w:val="54"/>
              </w:numPr>
              <w:spacing w:afterLines="50" w:line="240" w:lineRule="auto"/>
              <w:jc w:val="both"/>
            </w:pPr>
            <w:r>
              <w:t>O recebimento do objeto do contrato se dará mediante a avaliação de servidor designado para tal finalidade, na forma do artigo 24 Decreto Municipal nº 2.097, de 23/03/2023, mediante termo em que conste que o objeto entregue atende a todas as especificações contidas nos documentos, em especial de ordem técnica, que deram origem à contratação.</w:t>
            </w:r>
          </w:p>
          <w:p w14:paraId="2BA413E7">
            <w:pPr>
              <w:pStyle w:val="49"/>
              <w:numPr>
                <w:ilvl w:val="0"/>
                <w:numId w:val="54"/>
              </w:numPr>
              <w:spacing w:afterLines="50" w:line="240" w:lineRule="auto"/>
              <w:jc w:val="both"/>
            </w:pPr>
            <w:r>
              <w:t>O objeto do contrato será recebido em tantas parcelas quantas forem relativas ao pagamento.</w:t>
            </w:r>
          </w:p>
          <w:p w14:paraId="37971F9C">
            <w:pPr>
              <w:pStyle w:val="49"/>
              <w:numPr>
                <w:ilvl w:val="0"/>
                <w:numId w:val="54"/>
              </w:numPr>
              <w:spacing w:afterLines="50" w:line="240" w:lineRule="auto"/>
              <w:jc w:val="both"/>
            </w:pPr>
            <w:r>
              <w:t>O recebimento provisório será realizado pelo fiscal, da seguinte forma:</w:t>
            </w:r>
          </w:p>
          <w:p w14:paraId="7F164D48">
            <w:pPr>
              <w:pStyle w:val="49"/>
              <w:numPr>
                <w:ilvl w:val="2"/>
                <w:numId w:val="48"/>
              </w:numPr>
              <w:spacing w:afterLines="50" w:line="240" w:lineRule="auto"/>
              <w:ind w:left="2700" w:hanging="720"/>
              <w:jc w:val="both"/>
            </w:pPr>
            <w:r>
              <w:t>A Contratante realizará inspeção minuciosa de todas as obras e/ou serviços executados, por meio de profissionais técnicos habilitados, acompanhados dos profissionais encarregados pelas obras e/ou serviços, visando verificar a adequação dos mesmos e constatar e relacionar os arremates, retoques e revisões finais que se fizerem necessários.</w:t>
            </w:r>
          </w:p>
          <w:p w14:paraId="3681C7A0">
            <w:pPr>
              <w:pStyle w:val="49"/>
              <w:numPr>
                <w:ilvl w:val="2"/>
                <w:numId w:val="48"/>
              </w:numPr>
              <w:spacing w:afterLines="50" w:line="240" w:lineRule="auto"/>
              <w:ind w:left="2700" w:hanging="720"/>
              <w:jc w:val="both"/>
            </w:pPr>
            <w:r>
              <w:t>Para efeito de recebimento provisório parcial,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2F4CE89">
            <w:pPr>
              <w:pStyle w:val="49"/>
              <w:numPr>
                <w:ilvl w:val="2"/>
                <w:numId w:val="48"/>
              </w:numPr>
              <w:spacing w:afterLines="50" w:line="240" w:lineRule="auto"/>
              <w:ind w:left="2700" w:hanging="720"/>
              <w:jc w:val="both"/>
            </w:pPr>
            <w:r>
              <w:t>O Termo de Recebimento Provisório ficará sujeito também, quando cabível, à conclusão de todos os testes de campo e à entrega dos Manuais e Instruções exigíveis.</w:t>
            </w:r>
          </w:p>
          <w:p w14:paraId="744D93DF">
            <w:pPr>
              <w:pStyle w:val="49"/>
              <w:numPr>
                <w:ilvl w:val="2"/>
                <w:numId w:val="48"/>
              </w:numPr>
              <w:spacing w:afterLines="50" w:line="240" w:lineRule="auto"/>
              <w:ind w:left="2700" w:hanging="720"/>
              <w:jc w:val="both"/>
            </w:pPr>
            <w: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até que sejam sanadas todas as eventuais pendências que possam vir a ser apontadas no Termo Recebimento Provisório.</w:t>
            </w:r>
          </w:p>
          <w:p w14:paraId="067DC899">
            <w:pPr>
              <w:pStyle w:val="49"/>
              <w:numPr>
                <w:ilvl w:val="2"/>
                <w:numId w:val="48"/>
              </w:numPr>
              <w:spacing w:afterLines="50" w:line="240" w:lineRule="auto"/>
              <w:ind w:left="2700" w:hanging="720"/>
              <w:jc w:val="both"/>
            </w:pPr>
            <w:r>
              <w:t>No prazo de até 30 (trinta) dias corridos contados a partir do recebimento dos documentos da contratada, o fiscal deverá elaborar Relatório Circunstanciado em consonância com suas atribuições e encaminhá-lo ao Gestor do Contrato.</w:t>
            </w:r>
          </w:p>
          <w:p w14:paraId="3317FF18">
            <w:pPr>
              <w:pStyle w:val="49"/>
              <w:numPr>
                <w:ilvl w:val="2"/>
                <w:numId w:val="48"/>
              </w:numPr>
              <w:spacing w:afterLines="50" w:line="240" w:lineRule="auto"/>
              <w:ind w:left="2700" w:hanging="720"/>
              <w:jc w:val="both"/>
            </w:pPr>
            <w: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C6C221D">
            <w:pPr>
              <w:pStyle w:val="49"/>
              <w:numPr>
                <w:ilvl w:val="2"/>
                <w:numId w:val="48"/>
              </w:numPr>
              <w:spacing w:afterLines="50" w:line="240" w:lineRule="auto"/>
              <w:ind w:left="2700" w:hanging="720"/>
              <w:jc w:val="both"/>
            </w:pPr>
            <w:r>
              <w:t>Será considerado como ocorrido o recebimento provisório com a entrega do relatório circunstanciado ou, em havendo mais de um a ser feito, com a entrega do último.</w:t>
            </w:r>
          </w:p>
          <w:p w14:paraId="36B0F33B">
            <w:pPr>
              <w:pStyle w:val="49"/>
              <w:numPr>
                <w:ilvl w:val="2"/>
                <w:numId w:val="48"/>
              </w:numPr>
              <w:spacing w:afterLines="50" w:line="240" w:lineRule="auto"/>
              <w:ind w:left="2700" w:hanging="720"/>
              <w:jc w:val="both"/>
            </w:pPr>
            <w:r>
              <w:t>Na hipótese de a verificação a que se refere o inciso anterior não ser procedida tempestivamente, reputar-se-á como realizada, consumando-se o recebimento provisório no dia do esgotamento do prazo.</w:t>
            </w:r>
          </w:p>
          <w:p w14:paraId="0089BD41">
            <w:pPr>
              <w:pStyle w:val="49"/>
              <w:spacing w:afterLines="50" w:line="240" w:lineRule="auto"/>
              <w:ind w:left="2700"/>
              <w:jc w:val="both"/>
            </w:pPr>
          </w:p>
          <w:p w14:paraId="04CC8E75">
            <w:pPr>
              <w:pStyle w:val="49"/>
              <w:numPr>
                <w:ilvl w:val="0"/>
                <w:numId w:val="54"/>
              </w:numPr>
              <w:spacing w:afterLines="50" w:line="240" w:lineRule="auto"/>
              <w:jc w:val="both"/>
            </w:pPr>
            <w:r>
              <w:t>No prazo de até 90 (noventa) dias corridos, a partir do recebimento provisório das obras e/ou serviços, o Gestor do Contrato deverá providenciar o recebimento definitivo, ato que concretiza o ateste da execução das obras e/ou serviços, obedecendo as seguintes diretrizes:</w:t>
            </w:r>
          </w:p>
          <w:p w14:paraId="3BFBE144">
            <w:pPr>
              <w:numPr>
                <w:ilvl w:val="0"/>
                <w:numId w:val="55"/>
              </w:numPr>
              <w:tabs>
                <w:tab w:val="clear" w:pos="425"/>
              </w:tabs>
              <w:snapToGrid w:val="0"/>
              <w:spacing w:afterLines="50" w:line="240" w:lineRule="auto"/>
              <w:ind w:left="1200" w:hanging="480"/>
              <w:jc w:val="both"/>
            </w:pPr>
            <w: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4F12048">
            <w:pPr>
              <w:numPr>
                <w:ilvl w:val="0"/>
                <w:numId w:val="55"/>
              </w:numPr>
              <w:tabs>
                <w:tab w:val="clear" w:pos="425"/>
              </w:tabs>
              <w:snapToGrid w:val="0"/>
              <w:spacing w:afterLines="50" w:line="240" w:lineRule="auto"/>
              <w:ind w:left="1200" w:hanging="480"/>
              <w:jc w:val="both"/>
            </w:pPr>
            <w:r>
              <w:t>Emitir Termo Circunstanciado para efeito de recebimento definitivo das obras e/ou serviços executados, com base nos relatórios e documentações apresentadas; e</w:t>
            </w:r>
          </w:p>
          <w:p w14:paraId="11479D63">
            <w:pPr>
              <w:numPr>
                <w:ilvl w:val="0"/>
                <w:numId w:val="55"/>
              </w:numPr>
              <w:tabs>
                <w:tab w:val="clear" w:pos="425"/>
              </w:tabs>
              <w:snapToGrid w:val="0"/>
              <w:spacing w:afterLines="50" w:line="240" w:lineRule="auto"/>
              <w:ind w:left="1200" w:hanging="480"/>
              <w:jc w:val="both"/>
            </w:pPr>
            <w:r>
              <w:t>Comunicar a empresa para que emita a Nota Fiscal ou Fatura, com o valor exato dimensionado pela fiscalização, caso haja saldo contratual.</w:t>
            </w:r>
          </w:p>
          <w:p w14:paraId="6C862A2E">
            <w:pPr>
              <w:pStyle w:val="49"/>
              <w:numPr>
                <w:ilvl w:val="0"/>
                <w:numId w:val="54"/>
              </w:numPr>
              <w:spacing w:afterLines="50" w:line="240" w:lineRule="auto"/>
              <w:jc w:val="both"/>
            </w:pPr>
            <w:r>
              <w:t>O termo recebimento provisório ou definitivo do objeto não exime a responsabilidade da contratada em arcar pelos prejuízos resultantes da incorreta execução do contrato, das garantias concedidas e das demais responsabilidades assumidas em contrato e por força das disposições legais em vigor (Lei n° 10.406, de 2002).</w:t>
            </w:r>
          </w:p>
          <w:p w14:paraId="54A10EA1">
            <w:pPr>
              <w:pStyle w:val="49"/>
              <w:numPr>
                <w:ilvl w:val="0"/>
                <w:numId w:val="54"/>
              </w:numPr>
              <w:spacing w:afterLines="50" w:line="240" w:lineRule="auto"/>
              <w:jc w:val="both"/>
            </w:pPr>
            <w:r>
              <w:t>As obras e/ou serviços executados em desacordo com as especificações constantes neste instrumento e seus anexos, no edital da licitação e na proposta da contratada deverão ser recusados, no todo ou em parte, pelo responsável pela fiscalização do contrato, que anotará em registro próprio as ocorrências e determinará o que for necessário à regularização das faltas ou defeitos observados, devendo a contratada corrigir ou refazer ou substituir, às suas expensas e no prazo fixado pela fiscalização, sem prejuizo da aplicação de penalidades. O que exceder à competência da fiscalização, comunicará o fato à autoridade superior, em 5 (cinco) dias, para ratificação.</w:t>
            </w:r>
          </w:p>
          <w:p w14:paraId="6F5673FF">
            <w:pPr>
              <w:pStyle w:val="49"/>
              <w:numPr>
                <w:ilvl w:val="0"/>
                <w:numId w:val="54"/>
              </w:numPr>
              <w:spacing w:afterLines="50" w:line="240" w:lineRule="auto"/>
              <w:jc w:val="both"/>
            </w:pPr>
            <w:r>
              <w:t>Na hipótese de recusa de recebimento, a Contratada deverá reexecutar as obras e/ou serviços não aceitos, em prazo a ser estabelecido pelo Contratante, passando a contar os prazos para pagamento e demais compromissos do Contratante a partir da data da efetiva aceitação. Caso a Contratada não reexecute as obras e/ou serviços não aceitos no prazo assinado, o Contratante se reserva o direito de providenciar a sua execução às expensas da Contratada, sem prejuízo das penalidades cabíveis.</w:t>
            </w:r>
          </w:p>
          <w:p w14:paraId="6918AF8A">
            <w:pPr>
              <w:pStyle w:val="49"/>
              <w:numPr>
                <w:ilvl w:val="0"/>
                <w:numId w:val="54"/>
              </w:numPr>
              <w:spacing w:afterLines="50" w:line="240" w:lineRule="auto"/>
              <w:jc w:val="both"/>
            </w:pPr>
            <w:r>
              <w:t>Na execução das obras é fundamental considerar requisitos de sustentabilidade para minimizar os impactos sociais, ambientais e culturais, promover a eficiência de recursos e garantir a durabilidade da infraestrutura nas condições previstas no item 14 do Estudo Técnico.</w:t>
            </w:r>
          </w:p>
        </w:tc>
      </w:tr>
      <w:tr w14:paraId="440C3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3CB048C3">
            <w:pPr>
              <w:spacing w:before="120" w:after="120"/>
              <w:jc w:val="both"/>
              <w:rPr>
                <w:b/>
                <w:iCs/>
              </w:rPr>
            </w:pPr>
            <w:r>
              <w:rPr>
                <w:b/>
                <w:iCs/>
              </w:rPr>
              <w:t>41.5</w:t>
            </w:r>
          </w:p>
        </w:tc>
        <w:tc>
          <w:tcPr>
            <w:tcW w:w="7655" w:type="dxa"/>
            <w:shd w:val="clear" w:color="auto" w:fill="auto"/>
          </w:tcPr>
          <w:p w14:paraId="4B3AAE16">
            <w:pPr>
              <w:spacing w:before="120" w:after="120"/>
              <w:jc w:val="both"/>
              <w:rPr>
                <w:b/>
                <w:bCs/>
                <w:iCs/>
              </w:rPr>
            </w:pPr>
            <w:r>
              <w:rPr>
                <w:rFonts w:hint="default"/>
                <w:b/>
                <w:bCs/>
                <w:iCs/>
                <w:lang w:val="pt-BR"/>
              </w:rPr>
              <w:t xml:space="preserve">Liquidação e </w:t>
            </w:r>
            <w:r>
              <w:rPr>
                <w:b/>
                <w:bCs/>
                <w:iCs/>
              </w:rPr>
              <w:t>Pagamentos</w:t>
            </w:r>
          </w:p>
          <w:p w14:paraId="6BD1FC38">
            <w:pPr>
              <w:spacing w:before="120" w:after="120"/>
              <w:jc w:val="both"/>
              <w:rPr>
                <w:rFonts w:hint="default"/>
                <w:b/>
                <w:bCs/>
                <w:iCs/>
                <w:lang w:val="pt-BR"/>
              </w:rPr>
            </w:pPr>
            <w:r>
              <w:rPr>
                <w:rFonts w:hint="default"/>
                <w:b w:val="0"/>
                <w:bCs w:val="0"/>
                <w:iCs/>
              </w:rPr>
              <w:t>Os procedimentos para liquidação e pagamento obedecerão as normas estabelecidas pelo Decreto Municipal n.° 2894, de 19 de janeiro de 2024, nos termos do inciso VI do art. 92 da Lei Federal n.° 14.133/2021</w:t>
            </w:r>
            <w:r>
              <w:rPr>
                <w:rFonts w:hint="default"/>
                <w:b w:val="0"/>
                <w:bCs w:val="0"/>
                <w:iCs/>
                <w:lang w:val="pt-BR"/>
              </w:rPr>
              <w:t>.</w:t>
            </w:r>
          </w:p>
          <w:p w14:paraId="08607DFC">
            <w:pPr>
              <w:pStyle w:val="49"/>
              <w:numPr>
                <w:ilvl w:val="0"/>
                <w:numId w:val="56"/>
              </w:numPr>
              <w:spacing w:afterLines="50" w:line="240" w:lineRule="auto"/>
              <w:jc w:val="both"/>
              <w:rPr>
                <w:rFonts w:hint="default"/>
                <w:i w:val="0"/>
                <w:iCs w:val="0"/>
              </w:rPr>
            </w:pPr>
            <w:r>
              <w:rPr>
                <w:rFonts w:hint="default"/>
                <w:i w:val="0"/>
                <w:iCs w:val="0"/>
              </w:rPr>
              <w:t>Recebida a Nota Fiscal ou documento de cobrança equivalente, correrá o prazo de 10 (dez) para fins de liquidação, na forma desta seção, prorrogáveis por igual período.</w:t>
            </w:r>
          </w:p>
          <w:p w14:paraId="764BDE8D">
            <w:pPr>
              <w:pStyle w:val="49"/>
              <w:numPr>
                <w:ilvl w:val="0"/>
                <w:numId w:val="56"/>
              </w:numPr>
              <w:spacing w:afterLines="50" w:line="240" w:lineRule="auto"/>
              <w:jc w:val="both"/>
              <w:rPr>
                <w:rFonts w:hint="default"/>
                <w:i w:val="0"/>
                <w:iCs w:val="0"/>
              </w:rPr>
            </w:pPr>
            <w:r>
              <w:rPr>
                <w:rFonts w:hint="default"/>
                <w:i w:val="0"/>
                <w:iCs w:val="0"/>
              </w:rPr>
              <w:t>O prazo de que trata o item anterior será reduzido à metade, mantendo-se a possibilidade de prorrogação, no caso de contratações decorrentes de despesas cujos valores não ultrapassem o limite de que trata o inciso II do art. 75 da Lei n.° 14.133/21.</w:t>
            </w:r>
          </w:p>
          <w:p w14:paraId="6DD108E8">
            <w:pPr>
              <w:pStyle w:val="49"/>
              <w:numPr>
                <w:ilvl w:val="0"/>
                <w:numId w:val="56"/>
              </w:numPr>
              <w:spacing w:afterLines="50" w:line="240" w:lineRule="auto"/>
              <w:jc w:val="both"/>
              <w:rPr>
                <w:i w:val="0"/>
                <w:iCs w:val="0"/>
              </w:rPr>
            </w:pPr>
            <w:r>
              <w:rPr>
                <w:rFonts w:hint="default"/>
                <w:i w:val="0"/>
                <w:iCs w:val="0"/>
              </w:rPr>
              <w:t>Para fins de liquidação, o setor competente deverá verificar se a nota fiscal ou instrumento de cobrança equivalente apresentado expressa os elementos necessários e essenciais do documento, tais como:</w:t>
            </w:r>
          </w:p>
          <w:p w14:paraId="0687C125">
            <w:pPr>
              <w:pStyle w:val="49"/>
              <w:numPr>
                <w:ilvl w:val="0"/>
                <w:numId w:val="56"/>
              </w:numPr>
              <w:spacing w:afterLines="50" w:line="240" w:lineRule="auto"/>
              <w:jc w:val="both"/>
              <w:rPr>
                <w:i w:val="0"/>
                <w:iCs w:val="0"/>
              </w:rPr>
            </w:pPr>
            <w:r>
              <w:rPr>
                <w:rFonts w:hint="default"/>
                <w:i w:val="0"/>
                <w:iCs w:val="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C53DB01">
            <w:pPr>
              <w:numPr>
                <w:ilvl w:val="0"/>
                <w:numId w:val="57"/>
              </w:numPr>
              <w:tabs>
                <w:tab w:val="clear" w:pos="425"/>
              </w:tabs>
              <w:snapToGrid w:val="0"/>
              <w:spacing w:afterLines="50" w:line="240" w:lineRule="auto"/>
              <w:ind w:left="1200" w:hanging="480"/>
              <w:jc w:val="both"/>
              <w:rPr>
                <w:rFonts w:hint="default"/>
                <w:i/>
                <w:iCs/>
              </w:rPr>
            </w:pPr>
            <w:r>
              <w:rPr>
                <w:rFonts w:hint="default"/>
                <w:i/>
                <w:iCs/>
              </w:rPr>
              <w:t>o prazo de validade;</w:t>
            </w:r>
          </w:p>
          <w:p w14:paraId="5AB3352D">
            <w:pPr>
              <w:numPr>
                <w:ilvl w:val="0"/>
                <w:numId w:val="57"/>
              </w:numPr>
              <w:tabs>
                <w:tab w:val="clear" w:pos="425"/>
              </w:tabs>
              <w:snapToGrid w:val="0"/>
              <w:spacing w:afterLines="50" w:line="240" w:lineRule="auto"/>
              <w:ind w:left="1200" w:hanging="480"/>
              <w:jc w:val="both"/>
              <w:rPr>
                <w:rFonts w:hint="default"/>
                <w:i/>
                <w:iCs/>
              </w:rPr>
            </w:pPr>
            <w:r>
              <w:rPr>
                <w:rFonts w:hint="default"/>
                <w:i/>
                <w:iCs/>
              </w:rPr>
              <w:t>a data da emissão;</w:t>
            </w:r>
          </w:p>
          <w:p w14:paraId="24641BBE">
            <w:pPr>
              <w:numPr>
                <w:ilvl w:val="0"/>
                <w:numId w:val="57"/>
              </w:numPr>
              <w:tabs>
                <w:tab w:val="clear" w:pos="425"/>
              </w:tabs>
              <w:snapToGrid w:val="0"/>
              <w:spacing w:afterLines="50" w:line="240" w:lineRule="auto"/>
              <w:ind w:left="1200" w:hanging="480"/>
              <w:jc w:val="both"/>
              <w:rPr>
                <w:rFonts w:hint="default"/>
                <w:i/>
                <w:iCs/>
              </w:rPr>
            </w:pPr>
            <w:r>
              <w:rPr>
                <w:rFonts w:hint="default"/>
                <w:i/>
                <w:iCs/>
              </w:rPr>
              <w:t>os dados do contrato e do órgão contratante;</w:t>
            </w:r>
          </w:p>
          <w:p w14:paraId="4C6BDC10">
            <w:pPr>
              <w:numPr>
                <w:ilvl w:val="0"/>
                <w:numId w:val="57"/>
              </w:numPr>
              <w:tabs>
                <w:tab w:val="clear" w:pos="425"/>
              </w:tabs>
              <w:snapToGrid w:val="0"/>
              <w:spacing w:afterLines="50" w:line="240" w:lineRule="auto"/>
              <w:ind w:left="1200" w:hanging="480"/>
              <w:jc w:val="both"/>
              <w:rPr>
                <w:rFonts w:hint="default"/>
                <w:i/>
                <w:iCs/>
              </w:rPr>
            </w:pPr>
            <w:r>
              <w:rPr>
                <w:rFonts w:hint="default"/>
                <w:i/>
                <w:iCs/>
              </w:rPr>
              <w:t>o período respectivo de execução do contrato;</w:t>
            </w:r>
          </w:p>
          <w:p w14:paraId="0CDE2D94">
            <w:pPr>
              <w:numPr>
                <w:ilvl w:val="0"/>
                <w:numId w:val="57"/>
              </w:numPr>
              <w:tabs>
                <w:tab w:val="clear" w:pos="425"/>
              </w:tabs>
              <w:snapToGrid w:val="0"/>
              <w:spacing w:afterLines="50" w:line="240" w:lineRule="auto"/>
              <w:ind w:left="1200" w:hanging="480"/>
              <w:jc w:val="both"/>
              <w:rPr>
                <w:rFonts w:hint="default"/>
                <w:i/>
                <w:iCs/>
              </w:rPr>
            </w:pPr>
            <w:r>
              <w:rPr>
                <w:rFonts w:hint="default"/>
                <w:i/>
                <w:iCs/>
              </w:rPr>
              <w:t xml:space="preserve">o valor a pagar; e </w:t>
            </w:r>
          </w:p>
          <w:p w14:paraId="3AE13598">
            <w:pPr>
              <w:numPr>
                <w:ilvl w:val="0"/>
                <w:numId w:val="57"/>
              </w:numPr>
              <w:tabs>
                <w:tab w:val="clear" w:pos="425"/>
              </w:tabs>
              <w:snapToGrid w:val="0"/>
              <w:spacing w:afterLines="50" w:line="240" w:lineRule="auto"/>
              <w:ind w:left="1200" w:hanging="480"/>
              <w:jc w:val="both"/>
              <w:rPr>
                <w:i/>
                <w:iCs/>
              </w:rPr>
            </w:pPr>
            <w:r>
              <w:rPr>
                <w:rFonts w:hint="default"/>
                <w:i/>
                <w:iCs/>
              </w:rPr>
              <w:t>eventual destaque do valor de retenções tributárias cabíveis</w:t>
            </w:r>
          </w:p>
          <w:p w14:paraId="4F12DE79">
            <w:pPr>
              <w:pStyle w:val="49"/>
              <w:numPr>
                <w:ilvl w:val="0"/>
                <w:numId w:val="58"/>
              </w:numPr>
              <w:spacing w:afterLines="50" w:line="240" w:lineRule="auto"/>
              <w:jc w:val="both"/>
              <w:rPr>
                <w:rFonts w:hint="default"/>
                <w:i w:val="0"/>
                <w:iCs w:val="0"/>
              </w:rPr>
            </w:pPr>
            <w:r>
              <w:rPr>
                <w:rFonts w:hint="default"/>
                <w:i w:val="0"/>
                <w:iCs w:val="0"/>
              </w:rPr>
              <w:t>O pagamento será efetuado no prazo de até 30 (trinta) dias contados da finalização da liquidação da despesa.</w:t>
            </w:r>
          </w:p>
          <w:p w14:paraId="3036E5D3">
            <w:pPr>
              <w:pStyle w:val="49"/>
              <w:numPr>
                <w:ilvl w:val="0"/>
                <w:numId w:val="58"/>
              </w:numPr>
              <w:spacing w:afterLines="50" w:line="240" w:lineRule="auto"/>
              <w:jc w:val="both"/>
              <w:rPr>
                <w:rFonts w:hint="default"/>
                <w:i w:val="0"/>
                <w:iCs w:val="0"/>
              </w:rPr>
            </w:pPr>
            <w:r>
              <w:rPr>
                <w:rFonts w:hint="default"/>
                <w:i w:val="0"/>
                <w:iCs w:val="0"/>
              </w:rPr>
              <w:t>Nos casos de eventuais atrasos de pagamento, por culpa exclusiva do Contratante, o pagamento será efetuado com atualização financeira, calculada de acordo com a taxa SELIC, após 60 (sessenta) dias do vencimento do documento fiscal.</w:t>
            </w:r>
          </w:p>
          <w:p w14:paraId="7BD72B87">
            <w:pPr>
              <w:pStyle w:val="49"/>
              <w:numPr>
                <w:ilvl w:val="0"/>
                <w:numId w:val="58"/>
              </w:numPr>
              <w:spacing w:afterLines="50" w:line="240" w:lineRule="auto"/>
              <w:jc w:val="both"/>
              <w:rPr>
                <w:rFonts w:hint="default"/>
                <w:i w:val="0"/>
                <w:iCs w:val="0"/>
              </w:rPr>
            </w:pPr>
            <w:r>
              <w:rPr>
                <w:rFonts w:hint="default"/>
                <w:i w:val="0"/>
                <w:iCs w:val="0"/>
              </w:rPr>
              <w:t>O pagamento será realizado por meio de ordem bancária, para crédito em banco, agência e conta corrente indicados pela Contratada.</w:t>
            </w:r>
          </w:p>
          <w:p w14:paraId="2C6D59AD">
            <w:pPr>
              <w:pStyle w:val="49"/>
              <w:numPr>
                <w:ilvl w:val="0"/>
                <w:numId w:val="58"/>
              </w:numPr>
              <w:spacing w:afterLines="50" w:line="240" w:lineRule="auto"/>
              <w:jc w:val="both"/>
              <w:rPr>
                <w:rFonts w:hint="default"/>
                <w:i w:val="0"/>
                <w:iCs w:val="0"/>
              </w:rPr>
            </w:pPr>
            <w:r>
              <w:rPr>
                <w:rFonts w:hint="default"/>
                <w:i w:val="0"/>
                <w:iCs w:val="0"/>
              </w:rPr>
              <w:t>Será considerada data do pagamento o dia em que constar como emitida a ordem bancária para pagamento.</w:t>
            </w:r>
          </w:p>
          <w:p w14:paraId="13BEDD20">
            <w:pPr>
              <w:pStyle w:val="49"/>
              <w:numPr>
                <w:ilvl w:val="0"/>
                <w:numId w:val="58"/>
              </w:numPr>
              <w:spacing w:afterLines="50" w:line="240" w:lineRule="auto"/>
              <w:jc w:val="both"/>
              <w:rPr>
                <w:rFonts w:hint="default"/>
                <w:i w:val="0"/>
                <w:iCs w:val="0"/>
              </w:rPr>
            </w:pPr>
            <w:r>
              <w:rPr>
                <w:rFonts w:hint="default"/>
                <w:i w:val="0"/>
                <w:iCs w:val="0"/>
              </w:rPr>
              <w:t>Quando do pagamento, será efetuada a retenção tributária prevista na legislação aplicável.</w:t>
            </w:r>
          </w:p>
          <w:p w14:paraId="62F71828">
            <w:pPr>
              <w:pStyle w:val="49"/>
              <w:numPr>
                <w:ilvl w:val="0"/>
                <w:numId w:val="58"/>
              </w:numPr>
              <w:spacing w:afterLines="50" w:line="240" w:lineRule="auto"/>
              <w:jc w:val="both"/>
              <w:rPr>
                <w:rFonts w:hint="default"/>
                <w:i w:val="0"/>
                <w:iCs w:val="0"/>
              </w:rPr>
            </w:pPr>
            <w:r>
              <w:rPr>
                <w:rFonts w:hint="default"/>
                <w:i w:val="0"/>
                <w:iCs w:val="0"/>
              </w:rPr>
              <w:t>Independentemente do percentual de tributo inserido na planilha, quando houver, serão retidos na fonte, quando da realização do pagamento, os percentuais estabelecidos na legislação vigente.</w:t>
            </w:r>
          </w:p>
          <w:p w14:paraId="35785915">
            <w:pPr>
              <w:pStyle w:val="49"/>
              <w:numPr>
                <w:ilvl w:val="0"/>
                <w:numId w:val="58"/>
              </w:numPr>
              <w:spacing w:afterLines="50" w:line="240" w:lineRule="auto"/>
              <w:jc w:val="both"/>
              <w:rPr>
                <w:rFonts w:hint="default"/>
                <w:i w:val="0"/>
                <w:iCs w:val="0"/>
              </w:rPr>
            </w:pPr>
            <w:r>
              <w:rPr>
                <w:rFonts w:hint="default"/>
                <w:i w:val="0"/>
                <w:iCs w:val="0"/>
              </w:rPr>
              <w:t>Previamente ao pagamento, a Administração deve verificar a manutenção das condições exigidas para a habilitação na licitação, ou para a qualificação, na contratação direta.</w:t>
            </w:r>
          </w:p>
          <w:p w14:paraId="4AB863D2">
            <w:pPr>
              <w:pStyle w:val="49"/>
              <w:numPr>
                <w:ilvl w:val="0"/>
                <w:numId w:val="58"/>
              </w:numPr>
              <w:spacing w:afterLines="50" w:line="240" w:lineRule="auto"/>
              <w:jc w:val="both"/>
              <w:rPr>
                <w:rFonts w:hint="default"/>
                <w:i w:val="0"/>
                <w:iCs w:val="0"/>
              </w:rPr>
            </w:pPr>
            <w:r>
              <w:rPr>
                <w:rFonts w:hint="default"/>
                <w:i w:val="0"/>
                <w:iCs w:val="0"/>
              </w:rPr>
              <w:t>A eventual perda das condições de que trata o caput não enseja, por si, retenção de pagamento pela Administração.</w:t>
            </w:r>
          </w:p>
          <w:p w14:paraId="306CBA83">
            <w:pPr>
              <w:pStyle w:val="49"/>
              <w:numPr>
                <w:ilvl w:val="0"/>
                <w:numId w:val="58"/>
              </w:numPr>
              <w:spacing w:afterLines="50" w:line="240" w:lineRule="auto"/>
              <w:jc w:val="both"/>
              <w:rPr>
                <w:rFonts w:hint="default"/>
                <w:i w:val="0"/>
                <w:iCs w:val="0"/>
              </w:rPr>
            </w:pPr>
            <w:r>
              <w:rPr>
                <w:rFonts w:hint="default"/>
                <w:i w:val="0"/>
                <w:iCs w:val="0"/>
              </w:rPr>
              <w:t>Verificadas quaisquer irregularidades que impeçam o pagamento, a Administração deverá notificar o fornecedor contratado para que regularize a sua situação, no prazo de 05 (cinco) dias úteis, podendo ser excepcionalmente prorrogados, justificadamente, por igual período.</w:t>
            </w:r>
          </w:p>
          <w:p w14:paraId="0AB70A1F">
            <w:pPr>
              <w:pStyle w:val="49"/>
              <w:numPr>
                <w:ilvl w:val="0"/>
                <w:numId w:val="58"/>
              </w:numPr>
              <w:spacing w:afterLines="50" w:line="240" w:lineRule="auto"/>
              <w:jc w:val="both"/>
              <w:rPr>
                <w:rFonts w:hint="default"/>
                <w:i w:val="0"/>
                <w:iCs w:val="0"/>
              </w:rPr>
            </w:pPr>
            <w:r>
              <w:rPr>
                <w:rFonts w:hint="default"/>
                <w:i w:val="0"/>
                <w:iCs w:val="0"/>
              </w:rPr>
              <w:t>A permanência da condição de irregularidade, sem a devida justificativa ou com justificativa não aceita pela Administração, pode culminar em rescisão contratual, sem prejuízo da apuração de responsabilidade e da aplicação de penalidades cabíveis, observado o contraditório e a ampla defesa.</w:t>
            </w:r>
          </w:p>
          <w:p w14:paraId="6E4914D6">
            <w:pPr>
              <w:pStyle w:val="49"/>
              <w:numPr>
                <w:ilvl w:val="0"/>
                <w:numId w:val="58"/>
              </w:numPr>
              <w:spacing w:afterLines="50" w:line="240" w:lineRule="auto"/>
              <w:jc w:val="both"/>
              <w:rPr>
                <w:rFonts w:hint="default"/>
                <w:i w:val="0"/>
                <w:iCs w:val="0"/>
              </w:rPr>
            </w:pPr>
            <w:r>
              <w:rPr>
                <w:rFonts w:hint="default"/>
                <w:i w:val="0"/>
                <w:iCs w:val="0"/>
              </w:rPr>
              <w:t>É facultada a retenção dos créditos decorrente do contrato, até o limite dos prejuízos causado à Administração Pública e das multas aplicadas, nos termos do inciso IV do art. 139 da Lei n.° 14.133/2021.</w:t>
            </w:r>
          </w:p>
          <w:p w14:paraId="0A39A4D4">
            <w:pPr>
              <w:pStyle w:val="49"/>
              <w:numPr>
                <w:ilvl w:val="0"/>
                <w:numId w:val="58"/>
              </w:numPr>
              <w:spacing w:afterLines="50" w:line="240" w:lineRule="auto"/>
              <w:jc w:val="both"/>
              <w:rPr>
                <w:i/>
                <w:iCs/>
              </w:rPr>
            </w:pPr>
            <w:r>
              <w:rPr>
                <w:rFonts w:hint="default"/>
                <w:i w:val="0"/>
                <w:iCs w:val="0"/>
              </w:rPr>
              <w:t>A Contratada regularmente 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hint="default"/>
                <w:i w:val="0"/>
                <w:iCs w:val="0"/>
                <w:lang w:val="pt-BR"/>
              </w:rPr>
              <w:t>.</w:t>
            </w:r>
          </w:p>
        </w:tc>
      </w:tr>
      <w:tr w14:paraId="44BB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5E4323F3">
            <w:pPr>
              <w:spacing w:before="120" w:after="120"/>
              <w:jc w:val="both"/>
              <w:rPr>
                <w:b/>
                <w:iCs/>
              </w:rPr>
            </w:pPr>
            <w:r>
              <w:rPr>
                <w:b/>
                <w:iCs/>
              </w:rPr>
              <w:t>42.1(</w:t>
            </w:r>
            <w:r>
              <w:rPr>
                <w:b/>
                <w:iCs/>
                <w:lang w:val="pt-PT"/>
              </w:rPr>
              <w:t>k</w:t>
            </w:r>
            <w:r>
              <w:rPr>
                <w:b/>
                <w:iCs/>
              </w:rPr>
              <w:t>)</w:t>
            </w:r>
          </w:p>
        </w:tc>
        <w:tc>
          <w:tcPr>
            <w:tcW w:w="7655" w:type="dxa"/>
            <w:shd w:val="clear" w:color="auto" w:fill="auto"/>
          </w:tcPr>
          <w:p w14:paraId="476AAADF">
            <w:pPr>
              <w:spacing w:before="120" w:after="120"/>
              <w:jc w:val="both"/>
              <w:rPr>
                <w:b/>
                <w:bCs/>
                <w:iCs/>
              </w:rPr>
            </w:pPr>
            <w:r>
              <w:rPr>
                <w:b/>
                <w:bCs/>
                <w:iCs/>
              </w:rPr>
              <w:t>Eventos Passíveis de Compensação</w:t>
            </w:r>
          </w:p>
          <w:p w14:paraId="3D0082FA">
            <w:pPr>
              <w:spacing w:before="120" w:after="120"/>
              <w:jc w:val="both"/>
              <w:rPr>
                <w:bCs/>
                <w:iCs/>
              </w:rPr>
            </w:pPr>
            <w:r>
              <w:rPr>
                <w:b/>
                <w:bCs/>
                <w:iCs/>
              </w:rPr>
              <w:t>Reequilíbrio econômico-financeiro</w:t>
            </w:r>
          </w:p>
          <w:p w14:paraId="44951908">
            <w:pPr>
              <w:spacing w:before="120" w:after="120"/>
              <w:jc w:val="both"/>
              <w:rPr>
                <w:bCs/>
                <w:iCs/>
              </w:rPr>
            </w:pPr>
            <w:r>
              <w:rPr>
                <w:bCs/>
                <w:iCs/>
              </w:rPr>
              <w:t xml:space="preserve">O reequilíbrio econômico-financeiro é permitido para atender a situações imprevisíveis como a instituição e/ou aumento de impostos e taxas, variação do dólar com influência direta na composição do preço do bem etc., e poderá ser realizado a qualquer momento desde que comprovado o desequilíbrio. </w:t>
            </w:r>
          </w:p>
          <w:p w14:paraId="2CAE61E7">
            <w:pPr>
              <w:spacing w:before="120" w:after="120"/>
              <w:jc w:val="both"/>
              <w:rPr>
                <w:bCs/>
                <w:iCs/>
              </w:rPr>
            </w:pPr>
            <w:r>
              <w:rPr>
                <w:bCs/>
                <w:iCs/>
              </w:rPr>
              <w:t xml:space="preserve">Não há fixação de índice para o restabelecimento do equilíbrio. Ele será́ equivalente ao desequilíbrio; </w:t>
            </w:r>
          </w:p>
          <w:p w14:paraId="6BB63B6E">
            <w:pPr>
              <w:spacing w:before="120" w:after="120"/>
              <w:jc w:val="both"/>
              <w:rPr>
                <w:bCs/>
                <w:iCs/>
              </w:rPr>
            </w:pPr>
            <w:r>
              <w:rPr>
                <w:bCs/>
                <w:iCs/>
              </w:rPr>
              <w:t>A Contratada somente poderá solicitar a recomposição do equilíbrio econômico-financeiro nas hipóteses excluídas de sua responsabilidade;</w:t>
            </w:r>
          </w:p>
          <w:p w14:paraId="3084BA39">
            <w:pPr>
              <w:spacing w:before="120" w:after="120"/>
              <w:jc w:val="both"/>
              <w:rPr>
                <w:rFonts w:cs="Times New Roman"/>
                <w:bCs/>
                <w:iCs/>
              </w:rPr>
            </w:pPr>
            <w:r>
              <w:rPr>
                <w:rFonts w:cs="Times New Roman"/>
              </w:rPr>
              <w:t xml:space="preserve">Caso a Contratada requeira reequilíbrio econômico–financeiro do contrato, fica o </w:t>
            </w:r>
            <w:r>
              <w:rPr>
                <w:rFonts w:cs="Times New Roman"/>
                <w:spacing w:val="-2"/>
              </w:rPr>
              <w:t xml:space="preserve">Contratante </w:t>
            </w:r>
            <w:r>
              <w:rPr>
                <w:rFonts w:cs="Times New Roman"/>
              </w:rPr>
              <w:t>obrigado a responder em até 120 (cento e vinte) dias, da data do requerimento que contenha</w:t>
            </w:r>
            <w:r>
              <w:rPr>
                <w:rFonts w:cs="Times New Roman"/>
                <w:spacing w:val="-14"/>
              </w:rPr>
              <w:t xml:space="preserve"> </w:t>
            </w:r>
            <w:r>
              <w:rPr>
                <w:rFonts w:cs="Times New Roman"/>
              </w:rPr>
              <w:t>todos</w:t>
            </w:r>
            <w:r>
              <w:rPr>
                <w:rFonts w:cs="Times New Roman"/>
                <w:spacing w:val="-13"/>
              </w:rPr>
              <w:t xml:space="preserve"> </w:t>
            </w:r>
            <w:r>
              <w:rPr>
                <w:rFonts w:cs="Times New Roman"/>
              </w:rPr>
              <w:t>os</w:t>
            </w:r>
            <w:r>
              <w:rPr>
                <w:rFonts w:cs="Times New Roman"/>
                <w:spacing w:val="-11"/>
              </w:rPr>
              <w:t xml:space="preserve"> </w:t>
            </w:r>
            <w:r>
              <w:rPr>
                <w:rFonts w:cs="Times New Roman"/>
              </w:rPr>
              <w:t>documentos</w:t>
            </w:r>
            <w:r>
              <w:rPr>
                <w:rFonts w:cs="Times New Roman"/>
                <w:spacing w:val="-13"/>
              </w:rPr>
              <w:t xml:space="preserve"> </w:t>
            </w:r>
            <w:r>
              <w:rPr>
                <w:rFonts w:cs="Times New Roman"/>
              </w:rPr>
              <w:t>necessários</w:t>
            </w:r>
            <w:r>
              <w:rPr>
                <w:rFonts w:cs="Times New Roman"/>
                <w:spacing w:val="-10"/>
              </w:rPr>
              <w:t xml:space="preserve"> e satisfatórios </w:t>
            </w:r>
            <w:r>
              <w:rPr>
                <w:rFonts w:cs="Times New Roman"/>
              </w:rPr>
              <w:t>que possibilitem a</w:t>
            </w:r>
            <w:r>
              <w:rPr>
                <w:rFonts w:cs="Times New Roman"/>
                <w:spacing w:val="-12"/>
              </w:rPr>
              <w:t xml:space="preserve"> </w:t>
            </w:r>
            <w:r>
              <w:rPr>
                <w:rFonts w:cs="Times New Roman"/>
              </w:rPr>
              <w:t>apreciação</w:t>
            </w:r>
            <w:r>
              <w:rPr>
                <w:rFonts w:cs="Times New Roman"/>
                <w:spacing w:val="-11"/>
              </w:rPr>
              <w:t xml:space="preserve"> </w:t>
            </w:r>
            <w:r>
              <w:rPr>
                <w:rFonts w:cs="Times New Roman"/>
              </w:rPr>
              <w:t>do</w:t>
            </w:r>
            <w:r>
              <w:rPr>
                <w:rFonts w:cs="Times New Roman"/>
                <w:spacing w:val="-13"/>
              </w:rPr>
              <w:t xml:space="preserve"> </w:t>
            </w:r>
            <w:r>
              <w:rPr>
                <w:rFonts w:cs="Times New Roman"/>
                <w:spacing w:val="-2"/>
              </w:rPr>
              <w:t>pedido.</w:t>
            </w:r>
          </w:p>
          <w:p w14:paraId="51FD1B44">
            <w:pPr>
              <w:spacing w:before="120" w:after="120"/>
              <w:jc w:val="both"/>
              <w:rPr>
                <w:rFonts w:cs="Times New Roman"/>
                <w:bCs/>
                <w:iCs/>
              </w:rPr>
            </w:pPr>
            <w:r>
              <w:rPr>
                <w:rFonts w:cs="Times New Roman"/>
              </w:rPr>
              <w:t>Caso ocorra desequilíbrio econômico financeiro, a Contratada poderá requerer formalmente ao Contratante, via Secretaria competente, a revisão dos valores pactuados, relatando em detalhes os fatos e anexando documentos que comprovem o alegado desequilíbrio, devendo retratar a variação efetiva do custo de produção, admitida a adoção de índices específicos ou setoriais, bem como de cotações de mercado para os itens oriundos de composições de custos unitários [mínimo de 03 (três) cotações de mercado]; que reflitam a variação dos insumos utilizados, desde a data do fato até a data do adimplemento de cada parcela.</w:t>
            </w:r>
          </w:p>
        </w:tc>
      </w:tr>
      <w:tr w14:paraId="2741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488EA63F">
            <w:pPr>
              <w:spacing w:before="120" w:after="120"/>
              <w:jc w:val="both"/>
              <w:rPr>
                <w:b/>
                <w:iCs/>
              </w:rPr>
            </w:pPr>
            <w:r>
              <w:rPr>
                <w:b/>
                <w:iCs/>
              </w:rPr>
              <w:t>45.1</w:t>
            </w:r>
          </w:p>
        </w:tc>
        <w:tc>
          <w:tcPr>
            <w:tcW w:w="7655" w:type="dxa"/>
          </w:tcPr>
          <w:p w14:paraId="3BA1FF72">
            <w:pPr>
              <w:spacing w:before="120" w:after="120"/>
              <w:jc w:val="both"/>
              <w:rPr>
                <w:b/>
                <w:bCs/>
                <w:iCs/>
              </w:rPr>
            </w:pPr>
            <w:r>
              <w:rPr>
                <w:b/>
                <w:bCs/>
                <w:iCs/>
              </w:rPr>
              <w:t>Reajuste de Preços</w:t>
            </w:r>
          </w:p>
          <w:p w14:paraId="3DE8BD0D">
            <w:r>
              <w:t>Este Contrato está sujeito a reajustes de preços:</w:t>
            </w:r>
          </w:p>
          <w:p w14:paraId="7037F9E4">
            <w:r>
              <w:t>(a)Somente ocorrerá reajustamento do Contrato com base n(os) Índice(s) SINAPI ou índice oficial FGV, após o período de 12 (doze) meses contados como referência a data base do “Io” do orçamento inicial Secretaria Municipal de Obras Públicas.</w:t>
            </w:r>
          </w:p>
          <w:p w14:paraId="3EC3DE16">
            <w:r>
              <w:t>(b)) Caso o índice estabelecido para reajustamento venha a ser extinto ou de qualquer forma não possa mais ser utilizado, será adotado em substituição o que vier a ser determinado pela legislação então em vigor.</w:t>
            </w:r>
          </w:p>
          <w:p w14:paraId="0395251D">
            <w:r>
              <w:t>(c) Na ausência dos índices específicos ou setoriais, previstos no artigo anterior, adotar-se-á o índice geral de preços mais vantajoso para a Administração, calculado por instituição oficial que retrate a variação do poder aquisitivo da moeda.</w:t>
            </w:r>
          </w:p>
          <w:p w14:paraId="44DED0D1">
            <w:r>
              <w:t>(d) A Contratada não terá direito ao reajuste do preço das etapas do serviço que, comprovadamente, sofrerem atraso em consequência da ação ou omissão motivada pela própria Contratada.</w:t>
            </w:r>
          </w:p>
          <w:p w14:paraId="68C79FAC">
            <w:r>
              <w:t>(e)   A Contratada não terá direito ao reajuste do preço das etapas do serviço que, comprovadamente, sofrerem atraso em consequência da ação ou omissão motivada pela própria Contratada.</w:t>
            </w:r>
          </w:p>
          <w:p w14:paraId="666D6982">
            <w:r>
              <w:t>(f) O valor da parcela de reajustamento deverá ser calculado conforme regra definida a seguir:</w:t>
            </w:r>
          </w:p>
          <w:p w14:paraId="02AEFD39">
            <w:r>
              <w:t xml:space="preserve"> R = V x (I - Iº) / Iº</w:t>
            </w:r>
          </w:p>
          <w:p w14:paraId="0BCA3EC2">
            <w:r>
              <w:t>Onde:</w:t>
            </w:r>
          </w:p>
          <w:p w14:paraId="70015E44">
            <w:r>
              <w:t>R = Valor da parcela de reajustamento procurado;</w:t>
            </w:r>
          </w:p>
          <w:p w14:paraId="0DF09108">
            <w:r>
              <w:t>I0 = Índice de preço verificado no mês do orçamento estimado pelo Contratante;</w:t>
            </w:r>
          </w:p>
          <w:p w14:paraId="1110B2F1">
            <w:r>
              <w:t>I = Índice de preço referente ao mês de reajustamento; e</w:t>
            </w:r>
          </w:p>
          <w:p w14:paraId="0FFC1961">
            <w:pPr>
              <w:spacing w:before="120" w:after="120"/>
              <w:jc w:val="both"/>
              <w:rPr>
                <w:b/>
                <w:bCs/>
                <w:iCs/>
              </w:rPr>
            </w:pPr>
            <w:r>
              <w:t>V = Valor a preços iniciais da parcela do contrato de projeto, obra ou serviço a ser reajustado.</w:t>
            </w:r>
          </w:p>
        </w:tc>
      </w:tr>
      <w:tr w14:paraId="784C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2C30311B">
            <w:pPr>
              <w:spacing w:before="120" w:after="120"/>
              <w:jc w:val="both"/>
              <w:rPr>
                <w:b/>
                <w:iCs/>
              </w:rPr>
            </w:pPr>
            <w:r>
              <w:rPr>
                <w:b/>
                <w:iCs/>
              </w:rPr>
              <w:t>46.1</w:t>
            </w:r>
          </w:p>
        </w:tc>
        <w:tc>
          <w:tcPr>
            <w:tcW w:w="7655" w:type="dxa"/>
          </w:tcPr>
          <w:p w14:paraId="11AF0251">
            <w:pPr>
              <w:spacing w:before="120" w:after="120"/>
              <w:jc w:val="both"/>
              <w:rPr>
                <w:b/>
                <w:bCs/>
                <w:iCs/>
              </w:rPr>
            </w:pPr>
            <w:r>
              <w:rPr>
                <w:b/>
                <w:bCs/>
                <w:iCs/>
              </w:rPr>
              <w:t>Retenções</w:t>
            </w:r>
          </w:p>
          <w:p w14:paraId="0894596C">
            <w:pPr>
              <w:spacing w:before="120" w:after="120"/>
              <w:jc w:val="both"/>
              <w:rPr>
                <w:bCs/>
                <w:iCs/>
              </w:rPr>
            </w:pPr>
            <w:r>
              <w:rPr>
                <w:bCs/>
                <w:iCs/>
              </w:rPr>
              <w:t>Não se aplica.</w:t>
            </w:r>
          </w:p>
        </w:tc>
      </w:tr>
      <w:tr w14:paraId="2D9B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6" w:hRule="atLeast"/>
          <w:jc w:val="center"/>
        </w:trPr>
        <w:tc>
          <w:tcPr>
            <w:tcW w:w="1422" w:type="dxa"/>
          </w:tcPr>
          <w:p w14:paraId="549D0785">
            <w:pPr>
              <w:spacing w:before="120" w:after="120"/>
              <w:jc w:val="both"/>
              <w:rPr>
                <w:b/>
                <w:iCs/>
              </w:rPr>
            </w:pPr>
            <w:r>
              <w:rPr>
                <w:b/>
                <w:iCs/>
              </w:rPr>
              <w:t>47.1</w:t>
            </w:r>
          </w:p>
        </w:tc>
        <w:tc>
          <w:tcPr>
            <w:tcW w:w="7655" w:type="dxa"/>
            <w:shd w:val="clear" w:color="auto" w:fill="auto"/>
          </w:tcPr>
          <w:p w14:paraId="0A6AD3A8">
            <w:pPr>
              <w:spacing w:before="120" w:after="120"/>
              <w:jc w:val="both"/>
              <w:rPr>
                <w:b/>
                <w:bCs/>
                <w:iCs/>
              </w:rPr>
            </w:pPr>
            <w:r>
              <w:rPr>
                <w:b/>
                <w:bCs/>
                <w:iCs/>
              </w:rPr>
              <w:t>Sanções Administrativas</w:t>
            </w:r>
          </w:p>
          <w:p w14:paraId="68DC9906">
            <w:pPr>
              <w:ind w:left="639" w:hanging="639"/>
            </w:pPr>
            <w:r>
              <w:rPr>
                <w:rFonts w:cs="Times New Roman"/>
              </w:rPr>
              <w:t xml:space="preserve">       </w:t>
            </w:r>
            <w:r>
              <w:t>a) Pelo descumprimento total ou parcial do Contrato,</w:t>
            </w:r>
            <w:r>
              <w:rPr>
                <w:spacing w:val="40"/>
              </w:rPr>
              <w:t xml:space="preserve"> </w:t>
            </w:r>
            <w:r>
              <w:t xml:space="preserve">o(a) </w:t>
            </w:r>
            <w:r>
              <w:rPr>
                <w:u w:val="single"/>
              </w:rPr>
              <w:tab/>
            </w:r>
            <w:r>
              <w:t>[</w:t>
            </w:r>
            <w:r>
              <w:rPr>
                <w:i/>
              </w:rPr>
              <w:t>órgão</w:t>
            </w:r>
            <w:r>
              <w:rPr>
                <w:i/>
                <w:spacing w:val="-15"/>
              </w:rPr>
              <w:t xml:space="preserve"> </w:t>
            </w:r>
            <w:r>
              <w:rPr>
                <w:i/>
              </w:rPr>
              <w:t>ou entidade</w:t>
            </w:r>
            <w:r>
              <w:t xml:space="preserve">] poderá, sem prejuízo responsabilidade civil e criminal que couber, aplicar as seguintes </w:t>
            </w:r>
            <w:r>
              <w:rPr>
                <w:b/>
              </w:rPr>
              <w:t>sanções</w:t>
            </w:r>
            <w:r>
              <w:t>, previstas no art. 156 da Lei Federal nº 14.133/2021:</w:t>
            </w:r>
          </w:p>
          <w:p w14:paraId="332625D2">
            <w:pPr>
              <w:ind w:left="922"/>
              <w:rPr>
                <w:b/>
                <w:bCs/>
              </w:rPr>
            </w:pPr>
            <w:r>
              <w:t xml:space="preserve">I. </w:t>
            </w:r>
            <w:r>
              <w:rPr>
                <w:b/>
                <w:bCs/>
              </w:rPr>
              <w:t>Advertência</w:t>
            </w:r>
          </w:p>
          <w:p w14:paraId="7EC59AA7">
            <w:pPr>
              <w:ind w:left="567" w:firstLine="355"/>
              <w:rPr>
                <w:b/>
                <w:bCs/>
              </w:rPr>
            </w:pPr>
            <w:r>
              <w:t xml:space="preserve">II. </w:t>
            </w:r>
            <w:r>
              <w:rPr>
                <w:b/>
                <w:bCs/>
              </w:rPr>
              <w:t>Multa</w:t>
            </w:r>
          </w:p>
          <w:p w14:paraId="0E8D8805">
            <w:pPr>
              <w:ind w:left="567" w:firstLine="355"/>
              <w:rPr>
                <w:rFonts w:cs="Times New Roman"/>
                <w:b/>
                <w:spacing w:val="-2"/>
              </w:rPr>
            </w:pPr>
            <w:r>
              <w:t>III.</w:t>
            </w:r>
            <w:r>
              <w:rPr>
                <w:rFonts w:cs="Times New Roman"/>
                <w:b/>
              </w:rPr>
              <w:t xml:space="preserve"> Impedimento</w:t>
            </w:r>
            <w:r>
              <w:rPr>
                <w:rFonts w:cs="Times New Roman"/>
                <w:b/>
                <w:spacing w:val="-3"/>
              </w:rPr>
              <w:t xml:space="preserve"> </w:t>
            </w:r>
            <w:r>
              <w:rPr>
                <w:rFonts w:cs="Times New Roman"/>
                <w:b/>
              </w:rPr>
              <w:t>de</w:t>
            </w:r>
            <w:r>
              <w:rPr>
                <w:rFonts w:cs="Times New Roman"/>
                <w:b/>
                <w:spacing w:val="-1"/>
              </w:rPr>
              <w:t xml:space="preserve"> </w:t>
            </w:r>
            <w:r>
              <w:rPr>
                <w:rFonts w:cs="Times New Roman"/>
                <w:b/>
              </w:rPr>
              <w:t>licitar</w:t>
            </w:r>
            <w:r>
              <w:rPr>
                <w:rFonts w:cs="Times New Roman"/>
                <w:b/>
                <w:spacing w:val="-2"/>
              </w:rPr>
              <w:t xml:space="preserve"> </w:t>
            </w:r>
            <w:r>
              <w:rPr>
                <w:rFonts w:cs="Times New Roman"/>
                <w:b/>
              </w:rPr>
              <w:t>e</w:t>
            </w:r>
            <w:r>
              <w:rPr>
                <w:rFonts w:cs="Times New Roman"/>
                <w:b/>
                <w:spacing w:val="-2"/>
              </w:rPr>
              <w:t xml:space="preserve"> </w:t>
            </w:r>
            <w:r>
              <w:rPr>
                <w:rFonts w:cs="Times New Roman"/>
                <w:b/>
              </w:rPr>
              <w:t>contratar,</w:t>
            </w:r>
            <w:r>
              <w:rPr>
                <w:rFonts w:cs="Times New Roman"/>
                <w:b/>
                <w:spacing w:val="-1"/>
              </w:rPr>
              <w:t xml:space="preserve"> </w:t>
            </w:r>
            <w:r>
              <w:rPr>
                <w:rFonts w:cs="Times New Roman"/>
                <w:b/>
              </w:rPr>
              <w:t>pelo</w:t>
            </w:r>
            <w:r>
              <w:rPr>
                <w:rFonts w:cs="Times New Roman"/>
                <w:b/>
                <w:spacing w:val="-1"/>
              </w:rPr>
              <w:t xml:space="preserve"> </w:t>
            </w:r>
            <w:r>
              <w:rPr>
                <w:rFonts w:cs="Times New Roman"/>
                <w:b/>
              </w:rPr>
              <w:t>prazo</w:t>
            </w:r>
            <w:r>
              <w:rPr>
                <w:rFonts w:cs="Times New Roman"/>
                <w:b/>
                <w:spacing w:val="1"/>
              </w:rPr>
              <w:t xml:space="preserve"> </w:t>
            </w:r>
            <w:r>
              <w:rPr>
                <w:rFonts w:cs="Times New Roman"/>
                <w:b/>
              </w:rPr>
              <w:t>de</w:t>
            </w:r>
            <w:r>
              <w:rPr>
                <w:rFonts w:cs="Times New Roman"/>
                <w:b/>
                <w:spacing w:val="-2"/>
              </w:rPr>
              <w:t xml:space="preserve"> </w:t>
            </w:r>
            <w:r>
              <w:rPr>
                <w:rFonts w:cs="Times New Roman"/>
                <w:b/>
              </w:rPr>
              <w:t>até</w:t>
            </w:r>
            <w:r>
              <w:rPr>
                <w:rFonts w:cs="Times New Roman"/>
                <w:b/>
                <w:spacing w:val="-3"/>
              </w:rPr>
              <w:t xml:space="preserve"> </w:t>
            </w:r>
            <w:r>
              <w:rPr>
                <w:rFonts w:cs="Times New Roman"/>
                <w:b/>
              </w:rPr>
              <w:t>3</w:t>
            </w:r>
            <w:r>
              <w:rPr>
                <w:rFonts w:cs="Times New Roman"/>
                <w:b/>
                <w:spacing w:val="-1"/>
              </w:rPr>
              <w:t xml:space="preserve"> </w:t>
            </w:r>
            <w:r>
              <w:rPr>
                <w:rFonts w:cs="Times New Roman"/>
                <w:b/>
              </w:rPr>
              <w:t xml:space="preserve">(três) </w:t>
            </w:r>
            <w:r>
              <w:rPr>
                <w:rFonts w:cs="Times New Roman"/>
                <w:b/>
                <w:spacing w:val="-2"/>
              </w:rPr>
              <w:t>anos</w:t>
            </w:r>
          </w:p>
          <w:p w14:paraId="389E67BE">
            <w:pPr>
              <w:ind w:left="567" w:firstLine="355"/>
              <w:rPr>
                <w:rFonts w:cs="Times New Roman"/>
                <w:b/>
              </w:rPr>
            </w:pPr>
            <w:r>
              <w:rPr>
                <w:rFonts w:cs="Times New Roman"/>
                <w:bCs/>
                <w:spacing w:val="-2"/>
              </w:rPr>
              <w:t>IV.</w:t>
            </w:r>
            <w:r>
              <w:rPr>
                <w:rFonts w:cs="Times New Roman"/>
                <w:b/>
              </w:rPr>
              <w:t xml:space="preserve"> Declaração</w:t>
            </w:r>
            <w:r>
              <w:rPr>
                <w:rFonts w:cs="Times New Roman"/>
                <w:b/>
                <w:spacing w:val="-4"/>
              </w:rPr>
              <w:t xml:space="preserve"> </w:t>
            </w:r>
            <w:r>
              <w:rPr>
                <w:rFonts w:cs="Times New Roman"/>
                <w:b/>
              </w:rPr>
              <w:t>de</w:t>
            </w:r>
            <w:r>
              <w:rPr>
                <w:rFonts w:cs="Times New Roman"/>
                <w:b/>
                <w:spacing w:val="-1"/>
              </w:rPr>
              <w:t xml:space="preserve"> </w:t>
            </w:r>
            <w:r>
              <w:rPr>
                <w:rFonts w:cs="Times New Roman"/>
                <w:b/>
              </w:rPr>
              <w:t>inidoneidade</w:t>
            </w:r>
            <w:r>
              <w:rPr>
                <w:rFonts w:cs="Times New Roman"/>
                <w:b/>
                <w:spacing w:val="-2"/>
              </w:rPr>
              <w:t xml:space="preserve"> </w:t>
            </w:r>
            <w:r>
              <w:rPr>
                <w:rFonts w:cs="Times New Roman"/>
                <w:b/>
              </w:rPr>
              <w:t>para</w:t>
            </w:r>
            <w:r>
              <w:rPr>
                <w:rFonts w:cs="Times New Roman"/>
                <w:b/>
                <w:spacing w:val="-2"/>
              </w:rPr>
              <w:t xml:space="preserve"> </w:t>
            </w:r>
            <w:r>
              <w:rPr>
                <w:rFonts w:cs="Times New Roman"/>
                <w:b/>
              </w:rPr>
              <w:t>licitar</w:t>
            </w:r>
          </w:p>
          <w:p w14:paraId="5592DDF7">
            <w:pPr>
              <w:pStyle w:val="49"/>
              <w:spacing w:after="0"/>
              <w:ind w:left="644"/>
              <w:rPr>
                <w:spacing w:val="-2"/>
              </w:rPr>
            </w:pPr>
            <w:r>
              <w:t>b) A aplicação</w:t>
            </w:r>
            <w:r>
              <w:rPr>
                <w:spacing w:val="-1"/>
              </w:rPr>
              <w:t xml:space="preserve"> </w:t>
            </w:r>
            <w:r>
              <w:t>da sanção</w:t>
            </w:r>
            <w:r>
              <w:rPr>
                <w:spacing w:val="-1"/>
              </w:rPr>
              <w:t xml:space="preserve"> </w:t>
            </w:r>
            <w:r>
              <w:t>prevista</w:t>
            </w:r>
            <w:r>
              <w:rPr>
                <w:spacing w:val="-2"/>
              </w:rPr>
              <w:t xml:space="preserve"> </w:t>
            </w:r>
            <w:r>
              <w:t>na</w:t>
            </w:r>
            <w:r>
              <w:rPr>
                <w:spacing w:val="-2"/>
              </w:rPr>
              <w:t xml:space="preserve"> </w:t>
            </w:r>
            <w:r>
              <w:t>alínea</w:t>
            </w:r>
            <w:r>
              <w:rPr>
                <w:spacing w:val="-2"/>
              </w:rPr>
              <w:t xml:space="preserve"> </w:t>
            </w:r>
            <w:r>
              <w:t>“II”</w:t>
            </w:r>
            <w:r>
              <w:rPr>
                <w:spacing w:val="-2"/>
              </w:rPr>
              <w:t xml:space="preserve"> </w:t>
            </w:r>
            <w:r>
              <w:t>observará</w:t>
            </w:r>
            <w:r>
              <w:rPr>
                <w:spacing w:val="-3"/>
              </w:rPr>
              <w:t xml:space="preserve"> </w:t>
            </w:r>
            <w:r>
              <w:t xml:space="preserve">os seguintes </w:t>
            </w:r>
            <w:r>
              <w:rPr>
                <w:spacing w:val="-2"/>
              </w:rPr>
              <w:t>parâmetros:</w:t>
            </w:r>
          </w:p>
          <w:p w14:paraId="4EA0333E">
            <w:pPr>
              <w:pStyle w:val="49"/>
              <w:spacing w:after="0"/>
              <w:ind w:left="644"/>
            </w:pPr>
            <w:r>
              <w:t xml:space="preserve">     i) 0,5% (meio por cento) até 30% (trinta por cento) do valor do Contrato.</w:t>
            </w:r>
          </w:p>
          <w:p w14:paraId="5CF23453">
            <w:pPr>
              <w:spacing w:before="120" w:after="120"/>
              <w:ind w:left="636" w:hanging="284"/>
              <w:rPr>
                <w:rFonts w:cs="Times New Roman"/>
              </w:rPr>
            </w:pPr>
            <w:r>
              <w:rPr>
                <w:rFonts w:cs="Times New Roman"/>
              </w:rPr>
              <w:t>c)  As</w:t>
            </w:r>
            <w:r>
              <w:rPr>
                <w:rFonts w:cs="Times New Roman"/>
                <w:spacing w:val="18"/>
              </w:rPr>
              <w:t xml:space="preserve"> </w:t>
            </w:r>
            <w:r>
              <w:rPr>
                <w:rFonts w:cs="Times New Roman"/>
              </w:rPr>
              <w:t>sanções</w:t>
            </w:r>
            <w:r>
              <w:rPr>
                <w:rFonts w:cs="Times New Roman"/>
                <w:spacing w:val="21"/>
              </w:rPr>
              <w:t xml:space="preserve"> </w:t>
            </w:r>
            <w:r>
              <w:rPr>
                <w:rFonts w:cs="Times New Roman"/>
              </w:rPr>
              <w:t>somente</w:t>
            </w:r>
            <w:r>
              <w:rPr>
                <w:rFonts w:cs="Times New Roman"/>
                <w:spacing w:val="19"/>
              </w:rPr>
              <w:t xml:space="preserve"> </w:t>
            </w:r>
            <w:r>
              <w:rPr>
                <w:rFonts w:cs="Times New Roman"/>
              </w:rPr>
              <w:t>serão</w:t>
            </w:r>
            <w:r>
              <w:rPr>
                <w:rFonts w:cs="Times New Roman"/>
                <w:spacing w:val="20"/>
              </w:rPr>
              <w:t xml:space="preserve"> </w:t>
            </w:r>
            <w:r>
              <w:rPr>
                <w:rFonts w:cs="Times New Roman"/>
              </w:rPr>
              <w:t>aplicadas</w:t>
            </w:r>
            <w:r>
              <w:rPr>
                <w:rFonts w:cs="Times New Roman"/>
                <w:spacing w:val="18"/>
              </w:rPr>
              <w:t xml:space="preserve"> </w:t>
            </w:r>
            <w:r>
              <w:rPr>
                <w:rFonts w:cs="Times New Roman"/>
              </w:rPr>
              <w:t>após</w:t>
            </w:r>
            <w:r>
              <w:rPr>
                <w:rFonts w:cs="Times New Roman"/>
                <w:spacing w:val="21"/>
              </w:rPr>
              <w:t xml:space="preserve"> </w:t>
            </w:r>
            <w:r>
              <w:rPr>
                <w:rFonts w:cs="Times New Roman"/>
              </w:rPr>
              <w:t>o</w:t>
            </w:r>
            <w:r>
              <w:rPr>
                <w:rFonts w:cs="Times New Roman"/>
                <w:spacing w:val="17"/>
              </w:rPr>
              <w:t xml:space="preserve"> </w:t>
            </w:r>
            <w:r>
              <w:rPr>
                <w:rFonts w:cs="Times New Roman"/>
              </w:rPr>
              <w:t>decurso</w:t>
            </w:r>
            <w:r>
              <w:rPr>
                <w:rFonts w:cs="Times New Roman"/>
                <w:spacing w:val="17"/>
              </w:rPr>
              <w:t xml:space="preserve"> </w:t>
            </w:r>
            <w:r>
              <w:rPr>
                <w:rFonts w:cs="Times New Roman"/>
              </w:rPr>
              <w:t>do</w:t>
            </w:r>
            <w:r>
              <w:rPr>
                <w:rFonts w:cs="Times New Roman"/>
                <w:spacing w:val="17"/>
              </w:rPr>
              <w:t xml:space="preserve"> </w:t>
            </w:r>
            <w:r>
              <w:rPr>
                <w:rFonts w:cs="Times New Roman"/>
              </w:rPr>
              <w:t>prazo</w:t>
            </w:r>
            <w:r>
              <w:rPr>
                <w:rFonts w:cs="Times New Roman"/>
                <w:spacing w:val="21"/>
              </w:rPr>
              <w:t xml:space="preserve"> </w:t>
            </w:r>
            <w:r>
              <w:rPr>
                <w:rFonts w:cs="Times New Roman"/>
                <w:spacing w:val="-4"/>
              </w:rPr>
              <w:t xml:space="preserve">para </w:t>
            </w:r>
            <w:r>
              <w:rPr>
                <w:rFonts w:cs="Times New Roman"/>
              </w:rPr>
              <w:t>apresentação</w:t>
            </w:r>
            <w:r>
              <w:rPr>
                <w:rFonts w:cs="Times New Roman"/>
                <w:spacing w:val="-15"/>
              </w:rPr>
              <w:t xml:space="preserve"> </w:t>
            </w:r>
            <w:r>
              <w:rPr>
                <w:rFonts w:cs="Times New Roman"/>
              </w:rPr>
              <w:t>de</w:t>
            </w:r>
            <w:r>
              <w:rPr>
                <w:rFonts w:cs="Times New Roman"/>
                <w:spacing w:val="-15"/>
              </w:rPr>
              <w:t xml:space="preserve"> </w:t>
            </w:r>
            <w:r>
              <w:rPr>
                <w:rFonts w:cs="Times New Roman"/>
              </w:rPr>
              <w:t>defesa</w:t>
            </w:r>
            <w:r>
              <w:rPr>
                <w:rFonts w:cs="Times New Roman"/>
                <w:spacing w:val="-15"/>
              </w:rPr>
              <w:t xml:space="preserve"> </w:t>
            </w:r>
            <w:r>
              <w:rPr>
                <w:rFonts w:cs="Times New Roman"/>
              </w:rPr>
              <w:t>prévia</w:t>
            </w:r>
            <w:r>
              <w:rPr>
                <w:rFonts w:cs="Times New Roman"/>
                <w:spacing w:val="-15"/>
              </w:rPr>
              <w:t xml:space="preserve"> </w:t>
            </w:r>
            <w:r>
              <w:rPr>
                <w:rFonts w:cs="Times New Roman"/>
              </w:rPr>
              <w:t>do</w:t>
            </w:r>
            <w:r>
              <w:rPr>
                <w:rFonts w:cs="Times New Roman"/>
                <w:spacing w:val="-15"/>
              </w:rPr>
              <w:t xml:space="preserve"> </w:t>
            </w:r>
            <w:r>
              <w:rPr>
                <w:rFonts w:cs="Times New Roman"/>
              </w:rPr>
              <w:t>interessado</w:t>
            </w:r>
            <w:r>
              <w:rPr>
                <w:rFonts w:cs="Times New Roman"/>
                <w:spacing w:val="-15"/>
              </w:rPr>
              <w:t xml:space="preserve"> </w:t>
            </w:r>
            <w:r>
              <w:rPr>
                <w:rFonts w:cs="Times New Roman"/>
              </w:rPr>
              <w:t>no</w:t>
            </w:r>
            <w:r>
              <w:rPr>
                <w:rFonts w:cs="Times New Roman"/>
                <w:spacing w:val="-15"/>
              </w:rPr>
              <w:t xml:space="preserve"> </w:t>
            </w:r>
            <w:r>
              <w:rPr>
                <w:rFonts w:cs="Times New Roman"/>
              </w:rPr>
              <w:t>respectivo</w:t>
            </w:r>
            <w:r>
              <w:rPr>
                <w:rFonts w:cs="Times New Roman"/>
                <w:spacing w:val="-14"/>
              </w:rPr>
              <w:t xml:space="preserve"> </w:t>
            </w:r>
            <w:r>
              <w:rPr>
                <w:rFonts w:cs="Times New Roman"/>
              </w:rPr>
              <w:t>processo,</w:t>
            </w:r>
            <w:r>
              <w:rPr>
                <w:rFonts w:cs="Times New Roman"/>
                <w:spacing w:val="-15"/>
              </w:rPr>
              <w:t xml:space="preserve"> </w:t>
            </w:r>
            <w:r>
              <w:rPr>
                <w:rFonts w:cs="Times New Roman"/>
              </w:rPr>
              <w:t>no</w:t>
            </w:r>
            <w:r>
              <w:rPr>
                <w:rFonts w:cs="Times New Roman"/>
                <w:spacing w:val="-15"/>
              </w:rPr>
              <w:t xml:space="preserve"> </w:t>
            </w:r>
            <w:r>
              <w:rPr>
                <w:rFonts w:cs="Times New Roman"/>
              </w:rPr>
              <w:t>prazo</w:t>
            </w:r>
            <w:r>
              <w:rPr>
                <w:rFonts w:cs="Times New Roman"/>
                <w:spacing w:val="-14"/>
              </w:rPr>
              <w:t xml:space="preserve"> </w:t>
            </w:r>
            <w:r>
              <w:rPr>
                <w:rFonts w:cs="Times New Roman"/>
              </w:rPr>
              <w:t>de</w:t>
            </w:r>
            <w:r>
              <w:rPr>
                <w:rFonts w:cs="Times New Roman"/>
                <w:spacing w:val="-15"/>
              </w:rPr>
              <w:t xml:space="preserve"> 1</w:t>
            </w:r>
            <w:r>
              <w:rPr>
                <w:rFonts w:cs="Times New Roman"/>
              </w:rPr>
              <w:t>5</w:t>
            </w:r>
            <w:r>
              <w:rPr>
                <w:rFonts w:cs="Times New Roman"/>
                <w:spacing w:val="-15"/>
              </w:rPr>
              <w:t xml:space="preserve"> </w:t>
            </w:r>
            <w:r>
              <w:rPr>
                <w:rFonts w:cs="Times New Roman"/>
              </w:rPr>
              <w:t xml:space="preserve">(quinze) dias úteis, observadas as demais formalidades legais. </w:t>
            </w:r>
          </w:p>
          <w:p w14:paraId="52B05AB2">
            <w:pPr>
              <w:spacing w:before="120" w:after="120"/>
              <w:ind w:left="636" w:hanging="284"/>
              <w:rPr>
                <w:rFonts w:cs="Times New Roman"/>
              </w:rPr>
            </w:pPr>
            <w:r>
              <w:rPr>
                <w:rFonts w:cs="Times New Roman"/>
              </w:rPr>
              <w:t>d)  As sanções previstas no subiten “II” do caput desta Cláusula poderá ser aplicada juntamente com aquelas previstas nos subitens “I”</w:t>
            </w:r>
            <w:r>
              <w:rPr>
                <w:rFonts w:hint="default" w:cs="Times New Roman"/>
                <w:lang w:val="pt-BR"/>
              </w:rPr>
              <w:t>,</w:t>
            </w:r>
            <w:r>
              <w:rPr>
                <w:rFonts w:cs="Times New Roman"/>
              </w:rPr>
              <w:t xml:space="preserve"> “III”</w:t>
            </w:r>
            <w:r>
              <w:rPr>
                <w:rFonts w:hint="default" w:cs="Times New Roman"/>
                <w:lang w:val="pt-BR"/>
              </w:rPr>
              <w:t xml:space="preserve"> e “IV"</w:t>
            </w:r>
            <w:r>
              <w:rPr>
                <w:rFonts w:cs="Times New Roman"/>
              </w:rPr>
              <w:t xml:space="preserve"> e não excluem a possibilidade de rescisão unilateral do Contrato; </w:t>
            </w:r>
          </w:p>
          <w:p w14:paraId="6E05D9FB">
            <w:pPr>
              <w:spacing w:before="120" w:after="120"/>
              <w:ind w:left="636" w:hanging="284"/>
              <w:rPr>
                <w:rFonts w:cs="Times New Roman"/>
              </w:rPr>
            </w:pPr>
            <w:r>
              <w:rPr>
                <w:rFonts w:cs="Times New Roman"/>
              </w:rPr>
              <w:t xml:space="preserve">e)  As multas deverão ser recolhidas no prazo de 03 (três) dias úteis, contados da ciência da aplicação da penalidade ou da publicação no Diário Oficial do Município de Dourados-MS do ato que as impuser. </w:t>
            </w:r>
          </w:p>
          <w:p w14:paraId="61332CBE">
            <w:pPr>
              <w:spacing w:before="120" w:after="120"/>
              <w:ind w:left="636" w:hanging="284"/>
              <w:rPr>
                <w:rFonts w:cs="Times New Roman"/>
              </w:rPr>
            </w:pPr>
            <w:r>
              <w:rPr>
                <w:rFonts w:cs="Times New Roman"/>
              </w:rPr>
              <w:t xml:space="preserve">f)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 </w:t>
            </w:r>
          </w:p>
          <w:p w14:paraId="59DF7BE0">
            <w:pPr>
              <w:spacing w:before="120" w:after="120"/>
              <w:ind w:left="636" w:hanging="284"/>
              <w:rPr>
                <w:rFonts w:cs="Times New Roman"/>
              </w:rPr>
            </w:pPr>
            <w:r>
              <w:rPr>
                <w:rFonts w:cs="Times New Roman"/>
              </w:rPr>
              <w:t xml:space="preserve">g)  Em caso de extinção do contrato decorrente de falta imputável à Contratada, a garantia reverterá integralmente ao </w:t>
            </w:r>
            <w:r>
              <w:rPr>
                <w:rFonts w:cs="Times New Roman"/>
                <w:spacing w:val="-2"/>
              </w:rPr>
              <w:t>Contratante</w:t>
            </w:r>
            <w:r>
              <w:rPr>
                <w:rFonts w:cs="Times New Roman"/>
              </w:rPr>
              <w:t xml:space="preserve">, EXECUSÃO, que promoverá a cobrança de eventual diferença que venha a ser apurada entre o importe da garantia prestada e o débito verificado; </w:t>
            </w:r>
          </w:p>
          <w:p w14:paraId="37C9E100">
            <w:pPr>
              <w:spacing w:before="120" w:after="120"/>
              <w:ind w:left="636" w:hanging="284"/>
              <w:rPr>
                <w:rFonts w:cs="Times New Roman"/>
              </w:rPr>
            </w:pPr>
            <w:r>
              <w:rPr>
                <w:rFonts w:cs="Times New Roman"/>
              </w:rPr>
              <w:t>h)  As multas aplicadas poderão ser compensadas com valores de créditos devidos à Contratada nesse sentido.</w:t>
            </w:r>
          </w:p>
          <w:p w14:paraId="358C1F5D">
            <w:pPr>
              <w:spacing w:before="120" w:after="120"/>
              <w:ind w:left="636" w:hanging="284"/>
              <w:rPr>
                <w:rFonts w:cs="Times New Roman"/>
              </w:rPr>
            </w:pPr>
            <w:r>
              <w:rPr>
                <w:rFonts w:cs="Times New Roman"/>
              </w:rPr>
              <w:t xml:space="preserve">i)  Ressalvada a hipótese de existir requerimento de compensação devidamente formalizado, o </w:t>
            </w:r>
            <w:r>
              <w:rPr>
                <w:rFonts w:cs="Times New Roman"/>
                <w:spacing w:val="-2"/>
              </w:rPr>
              <w:t xml:space="preserve">Contratante </w:t>
            </w:r>
            <w:r>
              <w:rPr>
                <w:rFonts w:cs="Times New Roman"/>
              </w:rPr>
              <w:t xml:space="preserve">suspenderá, observado o contraditório e ampla defesa, os pagamentos devidos à Contratada até a comprovação do recolhimento da multa ou da prova de sua relevação por ato da Administração. </w:t>
            </w:r>
          </w:p>
          <w:p w14:paraId="23B4D875">
            <w:pPr>
              <w:spacing w:before="120" w:after="120"/>
              <w:ind w:left="636" w:hanging="284"/>
              <w:rPr>
                <w:rFonts w:cs="Times New Roman"/>
              </w:rPr>
            </w:pPr>
            <w:r>
              <w:rPr>
                <w:rFonts w:cs="Times New Roman"/>
              </w:rPr>
              <w:t>j)  As</w:t>
            </w:r>
            <w:r>
              <w:rPr>
                <w:rFonts w:cs="Times New Roman"/>
                <w:spacing w:val="-12"/>
              </w:rPr>
              <w:t xml:space="preserve"> </w:t>
            </w:r>
            <w:r>
              <w:rPr>
                <w:rFonts w:cs="Times New Roman"/>
              </w:rPr>
              <w:t>multas</w:t>
            </w:r>
            <w:r>
              <w:rPr>
                <w:rFonts w:cs="Times New Roman"/>
                <w:spacing w:val="-12"/>
              </w:rPr>
              <w:t xml:space="preserve"> </w:t>
            </w:r>
            <w:r>
              <w:rPr>
                <w:rFonts w:cs="Times New Roman"/>
              </w:rPr>
              <w:t>eventualmente</w:t>
            </w:r>
            <w:r>
              <w:rPr>
                <w:rFonts w:cs="Times New Roman"/>
                <w:spacing w:val="-13"/>
              </w:rPr>
              <w:t xml:space="preserve"> </w:t>
            </w:r>
            <w:r>
              <w:rPr>
                <w:rFonts w:cs="Times New Roman"/>
              </w:rPr>
              <w:t>aplicadas</w:t>
            </w:r>
            <w:r>
              <w:rPr>
                <w:rFonts w:cs="Times New Roman"/>
                <w:spacing w:val="-12"/>
              </w:rPr>
              <w:t xml:space="preserve"> </w:t>
            </w:r>
            <w:r>
              <w:rPr>
                <w:rFonts w:cs="Times New Roman"/>
              </w:rPr>
              <w:t>com</w:t>
            </w:r>
            <w:r>
              <w:rPr>
                <w:rFonts w:cs="Times New Roman"/>
                <w:spacing w:val="-12"/>
              </w:rPr>
              <w:t xml:space="preserve"> </w:t>
            </w:r>
            <w:r>
              <w:rPr>
                <w:rFonts w:cs="Times New Roman"/>
              </w:rPr>
              <w:t>base</w:t>
            </w:r>
            <w:r>
              <w:rPr>
                <w:rFonts w:cs="Times New Roman"/>
                <w:spacing w:val="37"/>
              </w:rPr>
              <w:t xml:space="preserve"> </w:t>
            </w:r>
            <w:r>
              <w:rPr>
                <w:rFonts w:cs="Times New Roman"/>
                <w:b/>
              </w:rPr>
              <w:t>subitem</w:t>
            </w:r>
            <w:r>
              <w:rPr>
                <w:rFonts w:cs="Times New Roman"/>
                <w:b/>
                <w:spacing w:val="-12"/>
              </w:rPr>
              <w:t xml:space="preserve"> </w:t>
            </w:r>
            <w:r>
              <w:rPr>
                <w:rFonts w:cs="Times New Roman"/>
                <w:b/>
              </w:rPr>
              <w:t xml:space="preserve">“II” do caput desta Cláusula </w:t>
            </w:r>
            <w:r>
              <w:rPr>
                <w:rFonts w:cs="Times New Roman"/>
              </w:rPr>
              <w:t xml:space="preserve">não possuem caráter compensatório, e, assim, o pagamento delas não eximirá a Contratada de responsabilidade pelas perdas e danos decorrentes das infrações cometidas. </w:t>
            </w:r>
          </w:p>
          <w:p w14:paraId="512C1864">
            <w:pPr>
              <w:spacing w:before="120" w:after="120"/>
              <w:ind w:left="636" w:hanging="284"/>
              <w:rPr>
                <w:rFonts w:cs="Times New Roman"/>
              </w:rPr>
            </w:pPr>
            <w:r>
              <w:rPr>
                <w:rFonts w:cs="Times New Roman"/>
              </w:rPr>
              <w:t>k)  A</w:t>
            </w:r>
            <w:r>
              <w:rPr>
                <w:rFonts w:cs="Times New Roman"/>
                <w:spacing w:val="-1"/>
              </w:rPr>
              <w:t xml:space="preserve"> </w:t>
            </w:r>
            <w:r>
              <w:rPr>
                <w:rFonts w:cs="Times New Roman"/>
              </w:rPr>
              <w:t>aplicação</w:t>
            </w:r>
            <w:r>
              <w:rPr>
                <w:rFonts w:cs="Times New Roman"/>
                <w:spacing w:val="-1"/>
              </w:rPr>
              <w:t xml:space="preserve"> </w:t>
            </w:r>
            <w:r>
              <w:rPr>
                <w:rFonts w:cs="Times New Roman"/>
              </w:rPr>
              <w:t>das</w:t>
            </w:r>
            <w:r>
              <w:rPr>
                <w:rFonts w:cs="Times New Roman"/>
                <w:spacing w:val="-1"/>
              </w:rPr>
              <w:t xml:space="preserve"> </w:t>
            </w:r>
            <w:r>
              <w:rPr>
                <w:rFonts w:cs="Times New Roman"/>
              </w:rPr>
              <w:t>sanções</w:t>
            </w:r>
            <w:r>
              <w:rPr>
                <w:rFonts w:cs="Times New Roman"/>
                <w:spacing w:val="-1"/>
              </w:rPr>
              <w:t xml:space="preserve"> </w:t>
            </w:r>
            <w:r>
              <w:rPr>
                <w:rFonts w:cs="Times New Roman"/>
              </w:rPr>
              <w:t>estabelecidas</w:t>
            </w:r>
            <w:r>
              <w:rPr>
                <w:rFonts w:cs="Times New Roman"/>
                <w:spacing w:val="-1"/>
              </w:rPr>
              <w:t xml:space="preserve"> </w:t>
            </w:r>
            <w:r>
              <w:rPr>
                <w:rFonts w:cs="Times New Roman"/>
              </w:rPr>
              <w:t>nos subitens</w:t>
            </w:r>
            <w:r>
              <w:rPr>
                <w:rFonts w:cs="Times New Roman"/>
                <w:spacing w:val="-1"/>
              </w:rPr>
              <w:t xml:space="preserve"> </w:t>
            </w:r>
            <w:r>
              <w:rPr>
                <w:rFonts w:cs="Times New Roman"/>
              </w:rPr>
              <w:t>“I”,</w:t>
            </w:r>
            <w:r>
              <w:rPr>
                <w:rFonts w:cs="Times New Roman"/>
                <w:spacing w:val="-1"/>
              </w:rPr>
              <w:t xml:space="preserve"> </w:t>
            </w:r>
            <w:r>
              <w:rPr>
                <w:rFonts w:cs="Times New Roman"/>
              </w:rPr>
              <w:t>“II” e “III” do caput desta Cláusula é da competência do(a)</w:t>
            </w:r>
            <w:r>
              <w:rPr>
                <w:rFonts w:cs="Times New Roman"/>
                <w:u w:val="single"/>
              </w:rPr>
              <w:tab/>
            </w:r>
            <w:r>
              <w:rPr>
                <w:rFonts w:cs="Times New Roman"/>
              </w:rPr>
              <w:t>[</w:t>
            </w:r>
            <w:r>
              <w:rPr>
                <w:rFonts w:cs="Times New Roman"/>
                <w:i/>
              </w:rPr>
              <w:t>setor competente do órgão ou entidade contratante</w:t>
            </w:r>
            <w:r>
              <w:rPr>
                <w:rFonts w:cs="Times New Roman"/>
              </w:rPr>
              <w:t>] e a do subitem “IV” é da competência exclusiva do titular do órgão ou autoridade</w:t>
            </w:r>
            <w:r>
              <w:rPr>
                <w:rFonts w:cs="Times New Roman"/>
                <w:spacing w:val="40"/>
              </w:rPr>
              <w:t xml:space="preserve"> </w:t>
            </w:r>
            <w:r>
              <w:rPr>
                <w:rFonts w:cs="Times New Roman"/>
              </w:rPr>
              <w:t>máxima</w:t>
            </w:r>
            <w:r>
              <w:rPr>
                <w:rFonts w:cs="Times New Roman"/>
                <w:spacing w:val="40"/>
              </w:rPr>
              <w:t xml:space="preserve"> </w:t>
            </w:r>
            <w:r>
              <w:rPr>
                <w:rFonts w:cs="Times New Roman"/>
              </w:rPr>
              <w:t>da entidade</w:t>
            </w:r>
            <w:r>
              <w:rPr>
                <w:rFonts w:cs="Times New Roman"/>
                <w:spacing w:val="40"/>
              </w:rPr>
              <w:t xml:space="preserve"> </w:t>
            </w:r>
            <w:r>
              <w:rPr>
                <w:rFonts w:cs="Times New Roman"/>
              </w:rPr>
              <w:t>CONTRATANTE</w:t>
            </w:r>
            <w:r>
              <w:rPr>
                <w:rFonts w:cs="Times New Roman"/>
                <w:spacing w:val="174"/>
              </w:rPr>
              <w:t xml:space="preserve"> </w:t>
            </w:r>
            <w:r>
              <w:rPr>
                <w:rFonts w:cs="Times New Roman"/>
                <w:u w:val="single"/>
              </w:rPr>
              <w:tab/>
            </w:r>
            <w:r>
              <w:rPr>
                <w:rFonts w:cs="Times New Roman"/>
                <w:u w:val="single"/>
              </w:rPr>
              <w:tab/>
            </w:r>
            <w:r>
              <w:rPr>
                <w:rFonts w:cs="Times New Roman"/>
              </w:rPr>
              <w:t xml:space="preserve"> [</w:t>
            </w:r>
            <w:r>
              <w:rPr>
                <w:rFonts w:cs="Times New Roman"/>
                <w:i/>
              </w:rPr>
              <w:t>Secretário Municipal da Secretaria por meio da qual celebrado o contrato ou a que vinculada a entidade contratante].</w:t>
            </w:r>
          </w:p>
          <w:p w14:paraId="488A0ED0">
            <w:pPr>
              <w:spacing w:before="120" w:after="120"/>
              <w:ind w:left="636" w:hanging="284"/>
              <w:rPr>
                <w:rFonts w:cs="Times New Roman"/>
              </w:rPr>
            </w:pPr>
            <w:r>
              <w:rPr>
                <w:rFonts w:cs="Times New Roman"/>
              </w:rPr>
              <w:t xml:space="preserve">l)  A aplicação das sanções previstas no item 21.1 não exclui, em hipótese alguma, a obrigação de reparação integral do dano causado à Administração </w:t>
            </w:r>
            <w:r>
              <w:rPr>
                <w:rFonts w:cs="Times New Roman"/>
                <w:spacing w:val="-2"/>
              </w:rPr>
              <w:t>Pública</w:t>
            </w:r>
            <w:r>
              <w:rPr>
                <w:rFonts w:cs="Times New Roman"/>
              </w:rPr>
              <w:t xml:space="preserve">. </w:t>
            </w:r>
          </w:p>
          <w:p w14:paraId="40A573A6">
            <w:pPr>
              <w:spacing w:before="120" w:after="120"/>
              <w:jc w:val="both"/>
              <w:rPr>
                <w:iCs/>
              </w:rPr>
            </w:pPr>
            <w:r>
              <w:rPr>
                <w:rFonts w:cs="Times New Roman"/>
              </w:rPr>
              <w:t>m)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w:t>
            </w:r>
            <w:r>
              <w:rPr>
                <w:rFonts w:cs="Times New Roman"/>
                <w:spacing w:val="-13"/>
              </w:rPr>
              <w:t xml:space="preserve"> </w:t>
            </w:r>
            <w:r>
              <w:rPr>
                <w:rFonts w:cs="Times New Roman"/>
              </w:rPr>
              <w:t>em</w:t>
            </w:r>
            <w:r>
              <w:rPr>
                <w:rFonts w:cs="Times New Roman"/>
                <w:spacing w:val="-13"/>
              </w:rPr>
              <w:t xml:space="preserve"> </w:t>
            </w:r>
            <w:r>
              <w:rPr>
                <w:rFonts w:cs="Times New Roman"/>
              </w:rPr>
              <w:t>todos</w:t>
            </w:r>
            <w:r>
              <w:rPr>
                <w:rFonts w:cs="Times New Roman"/>
                <w:spacing w:val="-13"/>
              </w:rPr>
              <w:t xml:space="preserve"> </w:t>
            </w:r>
            <w:r>
              <w:rPr>
                <w:rFonts w:cs="Times New Roman"/>
              </w:rPr>
              <w:t>os</w:t>
            </w:r>
            <w:r>
              <w:rPr>
                <w:rFonts w:cs="Times New Roman"/>
                <w:spacing w:val="-10"/>
              </w:rPr>
              <w:t xml:space="preserve"> </w:t>
            </w:r>
            <w:r>
              <w:rPr>
                <w:rFonts w:cs="Times New Roman"/>
              </w:rPr>
              <w:t>casos,</w:t>
            </w:r>
            <w:r>
              <w:rPr>
                <w:rFonts w:cs="Times New Roman"/>
                <w:spacing w:val="-13"/>
              </w:rPr>
              <w:t xml:space="preserve"> </w:t>
            </w:r>
            <w:r>
              <w:rPr>
                <w:rFonts w:cs="Times New Roman"/>
              </w:rPr>
              <w:t>o</w:t>
            </w:r>
            <w:r>
              <w:rPr>
                <w:rFonts w:cs="Times New Roman"/>
                <w:spacing w:val="-13"/>
              </w:rPr>
              <w:t xml:space="preserve"> </w:t>
            </w:r>
            <w:r>
              <w:rPr>
                <w:rFonts w:cs="Times New Roman"/>
              </w:rPr>
              <w:t>contraditório,</w:t>
            </w:r>
            <w:r>
              <w:rPr>
                <w:rFonts w:cs="Times New Roman"/>
                <w:spacing w:val="-11"/>
              </w:rPr>
              <w:t xml:space="preserve"> </w:t>
            </w:r>
            <w:r>
              <w:rPr>
                <w:rFonts w:cs="Times New Roman"/>
              </w:rPr>
              <w:t>a</w:t>
            </w:r>
            <w:r>
              <w:rPr>
                <w:rFonts w:cs="Times New Roman"/>
                <w:spacing w:val="-14"/>
              </w:rPr>
              <w:t xml:space="preserve"> </w:t>
            </w:r>
            <w:r>
              <w:rPr>
                <w:rFonts w:cs="Times New Roman"/>
              </w:rPr>
              <w:t>ampla</w:t>
            </w:r>
            <w:r>
              <w:rPr>
                <w:rFonts w:cs="Times New Roman"/>
                <w:spacing w:val="-14"/>
              </w:rPr>
              <w:t xml:space="preserve"> </w:t>
            </w:r>
            <w:r>
              <w:rPr>
                <w:rFonts w:cs="Times New Roman"/>
              </w:rPr>
              <w:t>defesa</w:t>
            </w:r>
            <w:r>
              <w:rPr>
                <w:rFonts w:cs="Times New Roman"/>
                <w:spacing w:val="-11"/>
              </w:rPr>
              <w:t xml:space="preserve"> </w:t>
            </w:r>
            <w:r>
              <w:rPr>
                <w:rFonts w:cs="Times New Roman"/>
              </w:rPr>
              <w:t>e</w:t>
            </w:r>
            <w:r>
              <w:rPr>
                <w:rFonts w:cs="Times New Roman"/>
                <w:spacing w:val="-14"/>
              </w:rPr>
              <w:t xml:space="preserve"> </w:t>
            </w:r>
            <w:r>
              <w:rPr>
                <w:rFonts w:cs="Times New Roman"/>
              </w:rPr>
              <w:t>a</w:t>
            </w:r>
            <w:r>
              <w:rPr>
                <w:rFonts w:cs="Times New Roman"/>
                <w:spacing w:val="-14"/>
              </w:rPr>
              <w:t xml:space="preserve"> </w:t>
            </w:r>
            <w:r>
              <w:rPr>
                <w:rFonts w:cs="Times New Roman"/>
              </w:rPr>
              <w:t>obrigatoriedade</w:t>
            </w:r>
            <w:r>
              <w:rPr>
                <w:rFonts w:cs="Times New Roman"/>
                <w:spacing w:val="-14"/>
              </w:rPr>
              <w:t xml:space="preserve"> </w:t>
            </w:r>
            <w:r>
              <w:rPr>
                <w:rFonts w:cs="Times New Roman"/>
              </w:rPr>
              <w:t>de</w:t>
            </w:r>
            <w:r>
              <w:rPr>
                <w:rFonts w:cs="Times New Roman"/>
                <w:spacing w:val="-14"/>
              </w:rPr>
              <w:t xml:space="preserve"> </w:t>
            </w:r>
            <w:r>
              <w:rPr>
                <w:rFonts w:cs="Times New Roman"/>
              </w:rPr>
              <w:t>análise jurídica prévia.</w:t>
            </w:r>
          </w:p>
        </w:tc>
      </w:tr>
      <w:tr w14:paraId="054C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E9613CE">
            <w:pPr>
              <w:spacing w:before="120" w:after="120"/>
              <w:jc w:val="both"/>
              <w:rPr>
                <w:b/>
                <w:iCs/>
              </w:rPr>
            </w:pPr>
            <w:r>
              <w:rPr>
                <w:b/>
                <w:iCs/>
              </w:rPr>
              <w:t>47.2</w:t>
            </w:r>
          </w:p>
        </w:tc>
        <w:tc>
          <w:tcPr>
            <w:tcW w:w="7655" w:type="dxa"/>
          </w:tcPr>
          <w:p w14:paraId="07AD7C2E">
            <w:pPr>
              <w:spacing w:before="120" w:after="120"/>
              <w:jc w:val="both"/>
              <w:rPr>
                <w:b/>
                <w:bCs/>
                <w:iCs/>
              </w:rPr>
            </w:pPr>
            <w:r>
              <w:rPr>
                <w:rFonts w:cs="Times New Roman"/>
              </w:rPr>
              <w:t xml:space="preserve">A multa de mora para o atraso injustificado na execução das Obras é </w:t>
            </w:r>
            <w:r>
              <w:rPr>
                <w:rFonts w:eastAsia="SimSun" w:cs="Times New Roman"/>
              </w:rPr>
              <w:t>de 0,33% (trinta e três décimos por cento) por dia de atraso na execução, incidente sobre o valor total do Contrato, limitada a incidência a 10 (dez) dias, que contar-se-á a partir da data limite para a entrega/prestação do serviço fixada neste Contrato ou após o prazo concedido, para as modificações devidas, quando o objeto licitado estiver em desacordo com as especificações previstas; a partir do 10º (décimo) dia de atraso, configurar-se-á inexecução total ou parcial do Contrato, com as consequências daí advindas.</w:t>
            </w:r>
          </w:p>
        </w:tc>
      </w:tr>
      <w:tr w14:paraId="4582D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0A7C177A">
            <w:pPr>
              <w:spacing w:before="120" w:after="120"/>
              <w:jc w:val="both"/>
              <w:rPr>
                <w:b/>
                <w:iCs/>
              </w:rPr>
            </w:pPr>
            <w:r>
              <w:rPr>
                <w:b/>
                <w:iCs/>
              </w:rPr>
              <w:t>47.4</w:t>
            </w:r>
          </w:p>
        </w:tc>
        <w:tc>
          <w:tcPr>
            <w:tcW w:w="7655" w:type="dxa"/>
          </w:tcPr>
          <w:p w14:paraId="7A3AE390">
            <w:pPr>
              <w:spacing w:before="120" w:after="120"/>
              <w:jc w:val="both"/>
              <w:rPr>
                <w:iCs/>
              </w:rPr>
            </w:pPr>
            <w:r>
              <w:rPr>
                <w:iCs/>
              </w:rPr>
              <w:t>Demais medidas aplicáveis às sanções:</w:t>
            </w:r>
          </w:p>
          <w:p w14:paraId="76653CEF">
            <w:pPr>
              <w:tabs>
                <w:tab w:val="left" w:pos="-1600"/>
              </w:tabs>
              <w:spacing w:afterLines="45" w:line="240" w:lineRule="auto"/>
              <w:jc w:val="both"/>
              <w:rPr>
                <w:rFonts w:cs="Times New Roman"/>
              </w:rPr>
            </w:pPr>
            <w:r>
              <w:rPr>
                <w:rFonts w:cs="Times New Roman"/>
              </w:rPr>
              <w:t>A Contratada poderá</w:t>
            </w:r>
            <w:r>
              <w:rPr>
                <w:rFonts w:cs="Times New Roman"/>
                <w:spacing w:val="-1"/>
              </w:rPr>
              <w:t xml:space="preserve"> </w:t>
            </w:r>
            <w:r>
              <w:rPr>
                <w:rFonts w:cs="Times New Roman"/>
                <w:spacing w:val="-2"/>
              </w:rPr>
              <w:t>apresentar:</w:t>
            </w:r>
          </w:p>
          <w:p w14:paraId="431A3C33">
            <w:pPr>
              <w:pStyle w:val="49"/>
              <w:numPr>
                <w:ilvl w:val="3"/>
                <w:numId w:val="48"/>
              </w:numPr>
              <w:tabs>
                <w:tab w:val="left" w:pos="-1600"/>
              </w:tabs>
              <w:spacing w:afterLines="45" w:line="240" w:lineRule="auto"/>
              <w:ind w:left="1100" w:leftChars="0" w:hanging="440" w:firstLineChars="0"/>
              <w:jc w:val="both"/>
              <w:rPr>
                <w:rFonts w:cs="Times New Roman"/>
              </w:rPr>
            </w:pPr>
            <w:r>
              <w:rPr>
                <w:rFonts w:cs="Times New Roman"/>
              </w:rPr>
              <w:t>Recurso</w:t>
            </w:r>
            <w:r>
              <w:rPr>
                <w:rFonts w:cs="Times New Roman"/>
                <w:spacing w:val="-10"/>
              </w:rPr>
              <w:t xml:space="preserve"> </w:t>
            </w:r>
            <w:r>
              <w:rPr>
                <w:rFonts w:cs="Times New Roman"/>
              </w:rPr>
              <w:t>a</w:t>
            </w:r>
            <w:r>
              <w:rPr>
                <w:rFonts w:cs="Times New Roman"/>
                <w:spacing w:val="-7"/>
              </w:rPr>
              <w:t xml:space="preserve"> </w:t>
            </w:r>
            <w:r>
              <w:rPr>
                <w:rFonts w:cs="Times New Roman"/>
              </w:rPr>
              <w:t>ser</w:t>
            </w:r>
            <w:r>
              <w:rPr>
                <w:rFonts w:cs="Times New Roman"/>
                <w:spacing w:val="-8"/>
              </w:rPr>
              <w:t xml:space="preserve"> </w:t>
            </w:r>
            <w:r>
              <w:rPr>
                <w:rFonts w:cs="Times New Roman"/>
              </w:rPr>
              <w:t>interposto</w:t>
            </w:r>
            <w:r>
              <w:rPr>
                <w:rFonts w:cs="Times New Roman"/>
                <w:spacing w:val="-6"/>
              </w:rPr>
              <w:t xml:space="preserve"> </w:t>
            </w:r>
            <w:r>
              <w:rPr>
                <w:rFonts w:cs="Times New Roman"/>
              </w:rPr>
              <w:t>perante</w:t>
            </w:r>
            <w:r>
              <w:rPr>
                <w:rFonts w:cs="Times New Roman"/>
                <w:spacing w:val="-6"/>
              </w:rPr>
              <w:t xml:space="preserve"> </w:t>
            </w:r>
            <w:r>
              <w:rPr>
                <w:rFonts w:cs="Times New Roman"/>
              </w:rPr>
              <w:t>a</w:t>
            </w:r>
            <w:r>
              <w:rPr>
                <w:rFonts w:cs="Times New Roman"/>
                <w:spacing w:val="-10"/>
              </w:rPr>
              <w:t xml:space="preserve"> </w:t>
            </w:r>
            <w:r>
              <w:rPr>
                <w:rFonts w:cs="Times New Roman"/>
              </w:rPr>
              <w:t>autoridade</w:t>
            </w:r>
            <w:r>
              <w:rPr>
                <w:rFonts w:cs="Times New Roman"/>
                <w:spacing w:val="-10"/>
              </w:rPr>
              <w:t xml:space="preserve"> </w:t>
            </w:r>
            <w:r>
              <w:rPr>
                <w:rFonts w:cs="Times New Roman"/>
              </w:rPr>
              <w:t>que</w:t>
            </w:r>
            <w:r>
              <w:rPr>
                <w:rFonts w:cs="Times New Roman"/>
                <w:spacing w:val="-9"/>
              </w:rPr>
              <w:t xml:space="preserve"> </w:t>
            </w:r>
            <w:r>
              <w:rPr>
                <w:rFonts w:cs="Times New Roman"/>
              </w:rPr>
              <w:t>tiver</w:t>
            </w:r>
            <w:r>
              <w:rPr>
                <w:rFonts w:cs="Times New Roman"/>
                <w:spacing w:val="-9"/>
              </w:rPr>
              <w:t xml:space="preserve"> </w:t>
            </w:r>
            <w:r>
              <w:rPr>
                <w:rFonts w:cs="Times New Roman"/>
              </w:rPr>
              <w:t>proferido</w:t>
            </w:r>
            <w:r>
              <w:rPr>
                <w:rFonts w:cs="Times New Roman"/>
                <w:spacing w:val="-8"/>
              </w:rPr>
              <w:t xml:space="preserve"> </w:t>
            </w:r>
            <w:r>
              <w:rPr>
                <w:rFonts w:cs="Times New Roman"/>
              </w:rPr>
              <w:t>a</w:t>
            </w:r>
            <w:r>
              <w:rPr>
                <w:rFonts w:cs="Times New Roman"/>
                <w:spacing w:val="-10"/>
              </w:rPr>
              <w:t xml:space="preserve"> </w:t>
            </w:r>
            <w:r>
              <w:rPr>
                <w:rFonts w:cs="Times New Roman"/>
              </w:rPr>
              <w:t>decisão</w:t>
            </w:r>
            <w:r>
              <w:rPr>
                <w:rFonts w:cs="Times New Roman"/>
                <w:spacing w:val="-6"/>
              </w:rPr>
              <w:t xml:space="preserve"> </w:t>
            </w:r>
            <w:r>
              <w:rPr>
                <w:rFonts w:cs="Times New Roman"/>
                <w:spacing w:val="-2"/>
              </w:rPr>
              <w:t xml:space="preserve">recorrida, </w:t>
            </w:r>
            <w:r>
              <w:rPr>
                <w:rFonts w:cs="Times New Roman"/>
              </w:rPr>
              <w:t>o prazo de 15 (quinze) dias úteis</w:t>
            </w:r>
            <w:r>
              <w:rPr>
                <w:rFonts w:cs="Times New Roman"/>
                <w:spacing w:val="-1"/>
              </w:rPr>
              <w:t xml:space="preserve"> </w:t>
            </w:r>
            <w:r>
              <w:rPr>
                <w:rFonts w:cs="Times New Roman"/>
              </w:rPr>
              <w:t>contados da intimação da aplicação das penalidades estabelecidas nos subitens “I”, “II”, “III” e “IV” do item 47.1.</w:t>
            </w:r>
          </w:p>
          <w:p w14:paraId="1CDBEA1F">
            <w:pPr>
              <w:pStyle w:val="49"/>
              <w:numPr>
                <w:ilvl w:val="3"/>
                <w:numId w:val="48"/>
              </w:numPr>
              <w:tabs>
                <w:tab w:val="left" w:pos="-1600"/>
              </w:tabs>
              <w:spacing w:afterLines="45" w:line="240" w:lineRule="auto"/>
              <w:ind w:left="1100" w:leftChars="0" w:hanging="440" w:firstLineChars="0"/>
              <w:jc w:val="both"/>
              <w:rPr>
                <w:rFonts w:cs="Times New Roman"/>
              </w:rPr>
            </w:pPr>
            <w:r>
              <w:rPr>
                <w:rFonts w:cs="Times New Roman"/>
              </w:rPr>
              <w:t>Recurso</w:t>
            </w:r>
            <w:r>
              <w:rPr>
                <w:rFonts w:cs="Times New Roman"/>
                <w:spacing w:val="-10"/>
              </w:rPr>
              <w:t xml:space="preserve"> </w:t>
            </w:r>
            <w:r>
              <w:rPr>
                <w:rFonts w:cs="Times New Roman"/>
              </w:rPr>
              <w:t>a</w:t>
            </w:r>
            <w:r>
              <w:rPr>
                <w:rFonts w:cs="Times New Roman"/>
                <w:spacing w:val="-9"/>
              </w:rPr>
              <w:t xml:space="preserve"> </w:t>
            </w:r>
            <w:r>
              <w:rPr>
                <w:rFonts w:cs="Times New Roman"/>
              </w:rPr>
              <w:t>ser</w:t>
            </w:r>
            <w:r>
              <w:rPr>
                <w:rFonts w:cs="Times New Roman"/>
                <w:spacing w:val="-11"/>
              </w:rPr>
              <w:t xml:space="preserve"> </w:t>
            </w:r>
            <w:r>
              <w:rPr>
                <w:rFonts w:cs="Times New Roman"/>
              </w:rPr>
              <w:t>interposto</w:t>
            </w:r>
            <w:r>
              <w:rPr>
                <w:rFonts w:cs="Times New Roman"/>
                <w:spacing w:val="-8"/>
              </w:rPr>
              <w:t xml:space="preserve"> </w:t>
            </w:r>
            <w:r>
              <w:rPr>
                <w:rFonts w:cs="Times New Roman"/>
              </w:rPr>
              <w:t>perante</w:t>
            </w:r>
            <w:r>
              <w:rPr>
                <w:rFonts w:cs="Times New Roman"/>
                <w:spacing w:val="-9"/>
              </w:rPr>
              <w:t xml:space="preserve"> </w:t>
            </w:r>
            <w:r>
              <w:rPr>
                <w:rFonts w:cs="Times New Roman"/>
              </w:rPr>
              <w:t>a</w:t>
            </w:r>
            <w:r>
              <w:rPr>
                <w:rFonts w:cs="Times New Roman"/>
                <w:spacing w:val="-12"/>
              </w:rPr>
              <w:t xml:space="preserve"> </w:t>
            </w:r>
            <w:r>
              <w:rPr>
                <w:rFonts w:cs="Times New Roman"/>
              </w:rPr>
              <w:t>autoridade</w:t>
            </w:r>
            <w:r>
              <w:rPr>
                <w:rFonts w:cs="Times New Roman"/>
                <w:spacing w:val="-12"/>
              </w:rPr>
              <w:t xml:space="preserve"> </w:t>
            </w:r>
            <w:r>
              <w:rPr>
                <w:rFonts w:cs="Times New Roman"/>
              </w:rPr>
              <w:t>que</w:t>
            </w:r>
            <w:r>
              <w:rPr>
                <w:rFonts w:cs="Times New Roman"/>
                <w:spacing w:val="-12"/>
              </w:rPr>
              <w:t xml:space="preserve"> </w:t>
            </w:r>
            <w:r>
              <w:rPr>
                <w:rFonts w:cs="Times New Roman"/>
              </w:rPr>
              <w:t>tiver</w:t>
            </w:r>
            <w:r>
              <w:rPr>
                <w:rFonts w:cs="Times New Roman"/>
                <w:spacing w:val="-11"/>
              </w:rPr>
              <w:t xml:space="preserve"> </w:t>
            </w:r>
            <w:r>
              <w:rPr>
                <w:rFonts w:cs="Times New Roman"/>
              </w:rPr>
              <w:t>proferido</w:t>
            </w:r>
            <w:r>
              <w:rPr>
                <w:rFonts w:cs="Times New Roman"/>
                <w:spacing w:val="-11"/>
              </w:rPr>
              <w:t xml:space="preserve"> </w:t>
            </w:r>
            <w:r>
              <w:rPr>
                <w:rFonts w:cs="Times New Roman"/>
              </w:rPr>
              <w:t>a</w:t>
            </w:r>
            <w:r>
              <w:rPr>
                <w:rFonts w:cs="Times New Roman"/>
                <w:spacing w:val="-12"/>
              </w:rPr>
              <w:t xml:space="preserve"> </w:t>
            </w:r>
            <w:r>
              <w:rPr>
                <w:rFonts w:cs="Times New Roman"/>
              </w:rPr>
              <w:t>decisão</w:t>
            </w:r>
            <w:r>
              <w:rPr>
                <w:rFonts w:cs="Times New Roman"/>
                <w:spacing w:val="-9"/>
              </w:rPr>
              <w:t xml:space="preserve"> </w:t>
            </w:r>
            <w:r>
              <w:rPr>
                <w:rFonts w:cs="Times New Roman"/>
              </w:rPr>
              <w:t>recorrida, no prazo de 3 (três) dias úteis contados da intimação da extinção do contrato quando promovido por ato unilateral e escrito da Administração.</w:t>
            </w:r>
          </w:p>
          <w:p w14:paraId="6899A2C9">
            <w:pPr>
              <w:tabs>
                <w:tab w:val="left" w:pos="-1600"/>
              </w:tabs>
              <w:spacing w:afterLines="45" w:line="240" w:lineRule="auto"/>
              <w:jc w:val="both"/>
            </w:pPr>
            <w:r>
              <w:rPr>
                <w:rFonts w:cs="Times New Roman"/>
              </w:rPr>
              <w:t>Os recursos  serão dirigidos à autoridade que tiver proferido a decisão recorrida, que, se não reconsiderar a decisão recorrida, encaminhará o recurso com sua motivação à autoridade superior para</w:t>
            </w:r>
            <w:r>
              <w:rPr>
                <w:rFonts w:ascii="Calibri" w:hAnsi="Calibri" w:cs="Calibri"/>
                <w:sz w:val="24"/>
                <w:szCs w:val="24"/>
              </w:rPr>
              <w:t xml:space="preserve"> decisão.</w:t>
            </w:r>
          </w:p>
          <w:p w14:paraId="209A49E8">
            <w:pPr>
              <w:spacing w:before="120" w:after="120"/>
              <w:jc w:val="both"/>
              <w:rPr>
                <w:iCs/>
              </w:rPr>
            </w:pPr>
          </w:p>
        </w:tc>
      </w:tr>
      <w:tr w14:paraId="4F71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2A79629E">
            <w:pPr>
              <w:spacing w:before="120" w:after="120"/>
              <w:jc w:val="both"/>
              <w:rPr>
                <w:b/>
                <w:iCs/>
              </w:rPr>
            </w:pPr>
            <w:r>
              <w:rPr>
                <w:b/>
                <w:iCs/>
              </w:rPr>
              <w:t>50.1</w:t>
            </w:r>
          </w:p>
        </w:tc>
        <w:tc>
          <w:tcPr>
            <w:tcW w:w="7655" w:type="dxa"/>
          </w:tcPr>
          <w:p w14:paraId="272BD7B2">
            <w:pPr>
              <w:spacing w:before="120" w:after="120"/>
              <w:jc w:val="both"/>
              <w:rPr>
                <w:b/>
                <w:bCs/>
                <w:iCs/>
              </w:rPr>
            </w:pPr>
            <w:r>
              <w:rPr>
                <w:b/>
                <w:bCs/>
                <w:iCs/>
              </w:rPr>
              <w:t>Garantia de Execução do Contrato</w:t>
            </w:r>
          </w:p>
          <w:p w14:paraId="7D961533">
            <w:pPr>
              <w:pStyle w:val="49"/>
              <w:numPr>
                <w:ilvl w:val="0"/>
                <w:numId w:val="59"/>
              </w:numPr>
              <w:tabs>
                <w:tab w:val="left" w:pos="425"/>
              </w:tabs>
              <w:spacing w:afterLines="50" w:line="240" w:lineRule="auto"/>
              <w:jc w:val="both"/>
              <w:rPr>
                <w:rFonts w:eastAsia="SimSun"/>
              </w:rPr>
            </w:pPr>
            <w:r>
              <w:rPr>
                <w:rFonts w:eastAsia="SimSun"/>
                <w:szCs w:val="24"/>
              </w:rPr>
              <w:t>A Contratada, no prazo de 10 (dez) dias, após a assinatura do Termo de Contrato, prestará garantia no valor correspondente a 5% (cinco por cento) do valor do Contrato, que será liberada de acordo com as condições previstas no Edital, conforme disposto no art. 96 da Lei nº 14.133/2021, desde que cumpridas às obrigações contratuais.</w:t>
            </w:r>
          </w:p>
          <w:p w14:paraId="120F3BAC">
            <w:pPr>
              <w:pStyle w:val="49"/>
              <w:numPr>
                <w:ilvl w:val="0"/>
                <w:numId w:val="59"/>
              </w:numPr>
              <w:tabs>
                <w:tab w:val="left" w:pos="425"/>
              </w:tabs>
              <w:spacing w:afterLines="50" w:line="240" w:lineRule="auto"/>
              <w:jc w:val="both"/>
              <w:rPr>
                <w:rFonts w:eastAsia="SimSun"/>
              </w:rPr>
            </w:pPr>
            <w:r>
              <w:rPr>
                <w:rFonts w:eastAsia="SimSun"/>
                <w:szCs w:val="24"/>
              </w:rPr>
              <w:t>A inobservância do prazo fixado para apresentação da garantia acarretará a aplicação de multa de 0,07% (sete centésimos por cento) do valor do contrato por dia de atraso, até o máximo de 2% (dois por cento).</w:t>
            </w:r>
          </w:p>
          <w:p w14:paraId="2E02F856">
            <w:pPr>
              <w:pStyle w:val="49"/>
              <w:numPr>
                <w:ilvl w:val="0"/>
                <w:numId w:val="59"/>
              </w:numPr>
              <w:tabs>
                <w:tab w:val="left" w:pos="425"/>
              </w:tabs>
              <w:spacing w:afterLines="50" w:line="240" w:lineRule="auto"/>
              <w:jc w:val="both"/>
              <w:rPr>
                <w:rFonts w:eastAsia="SimSun"/>
                <w:szCs w:val="24"/>
              </w:rPr>
            </w:pPr>
            <w:r>
              <w:rPr>
                <w:rFonts w:eastAsia="SimSun"/>
                <w:szCs w:val="24"/>
              </w:rPr>
              <w:t>O atraso superior a 25 (vinte e cinco) dias autoriza a Administração a promover a rescisão do contrato por descumprimento ou cumprimento irregular de suas cláusulas conforme dispõem os inciso I do art. 137 da Lei n°. 14.133, de2021.</w:t>
            </w:r>
          </w:p>
          <w:p w14:paraId="23ACF1B9">
            <w:pPr>
              <w:tabs>
                <w:tab w:val="left" w:pos="1133"/>
              </w:tabs>
              <w:spacing w:afterLines="35"/>
              <w:jc w:val="both"/>
            </w:pPr>
            <w:r>
              <w:t>Modalidades de Garantia:</w:t>
            </w:r>
          </w:p>
          <w:p w14:paraId="4D0A1736">
            <w:pPr>
              <w:numPr>
                <w:ilvl w:val="0"/>
                <w:numId w:val="60"/>
              </w:numPr>
              <w:tabs>
                <w:tab w:val="left" w:pos="1086"/>
                <w:tab w:val="left" w:pos="1680"/>
                <w:tab w:val="clear" w:pos="425"/>
              </w:tabs>
              <w:spacing w:afterLines="50"/>
              <w:ind w:left="1511"/>
              <w:jc w:val="both"/>
            </w:pPr>
            <w:r>
              <w:t>Caso seja utilizada garantia modalidade de Caução em Dinheiro (art. 96, § 1º, I, 1ª parte, da Lei Federal n.° 14.133/2021):</w:t>
            </w:r>
          </w:p>
          <w:p w14:paraId="1A2A38EA">
            <w:pPr>
              <w:numPr>
                <w:ilvl w:val="0"/>
                <w:numId w:val="61"/>
              </w:numPr>
              <w:tabs>
                <w:tab w:val="left" w:pos="1511"/>
                <w:tab w:val="clear" w:pos="425"/>
              </w:tabs>
              <w:spacing w:afterLines="30"/>
              <w:ind w:left="1511" w:hanging="283"/>
              <w:jc w:val="both"/>
            </w:pPr>
            <w:r>
              <w:t>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 [órgão ou entidade], o que ocorrer por último, sob pena de rescisão administrativa do Contrato.</w:t>
            </w:r>
          </w:p>
          <w:p w14:paraId="268AC790">
            <w:pPr>
              <w:numPr>
                <w:ilvl w:val="0"/>
                <w:numId w:val="61"/>
              </w:numPr>
              <w:spacing w:afterLines="30"/>
              <w:ind w:left="1540" w:leftChars="550" w:hanging="330" w:hangingChars="150"/>
              <w:jc w:val="both"/>
            </w:pPr>
            <w: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p>
          <w:p w14:paraId="4F3D70AF">
            <w:pPr>
              <w:numPr>
                <w:ilvl w:val="0"/>
                <w:numId w:val="61"/>
              </w:numPr>
              <w:spacing w:afterLines="30"/>
              <w:ind w:left="1540" w:leftChars="550" w:hanging="330" w:hangingChars="150"/>
              <w:jc w:val="both"/>
            </w:pPr>
            <w:r>
              <w:t>A garantia contratual só será liberada ou restituída com o integral cumprimento do Contrato, mediante ato liberatório da autoridade contratante, de acordo com o art. 465 do RGCAF e, quando em dinheiro, atualizada monetariamente.</w:t>
            </w:r>
          </w:p>
          <w:p w14:paraId="52C76722">
            <w:pPr>
              <w:numPr>
                <w:ilvl w:val="0"/>
                <w:numId w:val="60"/>
              </w:numPr>
              <w:tabs>
                <w:tab w:val="left" w:pos="1680"/>
              </w:tabs>
              <w:spacing w:afterLines="50"/>
              <w:ind w:left="1540" w:leftChars="500" w:hanging="440" w:hangingChars="200"/>
              <w:jc w:val="both"/>
            </w:pPr>
            <w:r>
              <w:t>Caso seja utilizada garantia na modalidade de Seguro–Garantia (art. 96, § 1º, II, da Lei Federal n.° 14.133/2021):</w:t>
            </w:r>
          </w:p>
          <w:p w14:paraId="40DB4DAE">
            <w:pPr>
              <w:numPr>
                <w:ilvl w:val="0"/>
                <w:numId w:val="62"/>
              </w:numPr>
              <w:tabs>
                <w:tab w:val="clear" w:pos="425"/>
              </w:tabs>
              <w:spacing w:afterLines="30"/>
              <w:ind w:left="1511" w:hanging="283"/>
              <w:jc w:val="both"/>
            </w:pPr>
            <w:r>
              <w:t>A apólice deverá ter vigência idêntica ao prazo do contrato, acrescido de 90 (noventa)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14:paraId="412C8484">
            <w:pPr>
              <w:numPr>
                <w:ilvl w:val="0"/>
                <w:numId w:val="62"/>
              </w:numPr>
              <w:spacing w:afterLines="30"/>
              <w:ind w:left="1540" w:leftChars="550" w:hanging="330" w:hangingChars="150"/>
              <w:jc w:val="both"/>
            </w:pPr>
            <w:r>
              <w:t>A apólice deverá conter disposição expressa de obrigatoriedade de a seguradora informar ao CONTRATANTE e à CONTRATADA, em até 30 (trinta) dias antes do prazo final da validade, se a apólice será ou não renovada.</w:t>
            </w:r>
          </w:p>
          <w:p w14:paraId="2EE79294">
            <w:pPr>
              <w:numPr>
                <w:ilvl w:val="0"/>
                <w:numId w:val="62"/>
              </w:numPr>
              <w:spacing w:afterLines="30"/>
              <w:ind w:left="1540" w:leftChars="550" w:hanging="330" w:hangingChars="150"/>
              <w:jc w:val="both"/>
            </w:pPr>
            <w: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012ACE94">
            <w:pPr>
              <w:numPr>
                <w:ilvl w:val="0"/>
                <w:numId w:val="62"/>
              </w:numPr>
              <w:spacing w:afterLines="30"/>
              <w:ind w:left="1540" w:leftChars="550" w:hanging="330" w:hangingChars="150"/>
              <w:jc w:val="both"/>
            </w:pPr>
            <w:r>
              <w:t>As apólices emitidas não poderão conter obrigações, restrições ou disposições que contrariem as disposições do presente CONTRATO e deverão conter declaração expressa da companhia seguradora, da qual conste que conhece integralmente este contrato.</w:t>
            </w:r>
          </w:p>
          <w:p w14:paraId="371809A1">
            <w:pPr>
              <w:numPr>
                <w:ilvl w:val="0"/>
                <w:numId w:val="62"/>
              </w:numPr>
              <w:spacing w:afterLines="30"/>
              <w:ind w:left="1540" w:leftChars="550" w:hanging="330" w:hangingChars="150"/>
              <w:jc w:val="both"/>
            </w:pPr>
            <w:r>
              <w:t>A CONTRATADA encaminhará ao Contratante cópia autenticada das apólices de seguro, antes da assinatura do contrato,</w:t>
            </w:r>
          </w:p>
          <w:p w14:paraId="6353BA34">
            <w:pPr>
              <w:numPr>
                <w:ilvl w:val="0"/>
                <w:numId w:val="62"/>
              </w:numPr>
              <w:spacing w:afterLines="30"/>
              <w:ind w:left="1540" w:leftChars="550" w:hanging="330" w:hangingChars="150"/>
              <w:jc w:val="both"/>
            </w:pPr>
            <w:r>
              <w:t>A apólice deverá ser emitida por seguradora autorizada a funcionar no Brasil pela SUSEP – Superintendência de Seguros Privados, – fato que deverá ser atestado mediante apresentação, junto com a apólice, da Certidão de Regularidade expedida pela SUSEP.</w:t>
            </w:r>
          </w:p>
          <w:p w14:paraId="51049F70">
            <w:pPr>
              <w:numPr>
                <w:ilvl w:val="0"/>
                <w:numId w:val="62"/>
              </w:numPr>
              <w:spacing w:afterLines="30"/>
              <w:ind w:left="1540" w:leftChars="550" w:hanging="330" w:hangingChars="150"/>
              <w:jc w:val="both"/>
            </w:pPr>
            <w: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p>
          <w:p w14:paraId="0B1FA473">
            <w:pPr>
              <w:numPr>
                <w:ilvl w:val="0"/>
                <w:numId w:val="62"/>
              </w:numPr>
              <w:spacing w:afterLines="30"/>
              <w:ind w:left="1540" w:leftChars="550" w:hanging="330" w:hangingChars="150"/>
              <w:jc w:val="both"/>
            </w:pPr>
            <w:r>
              <w:t>A garantia contratual só será liberada ou restituída com o integral cumprimento do Contrato, mediante ato liberatório da autoridade contratante.</w:t>
            </w:r>
          </w:p>
          <w:p w14:paraId="4C570DF0">
            <w:pPr>
              <w:numPr>
                <w:ilvl w:val="0"/>
                <w:numId w:val="60"/>
              </w:numPr>
              <w:tabs>
                <w:tab w:val="left" w:pos="1680"/>
              </w:tabs>
              <w:spacing w:afterLines="50"/>
              <w:ind w:left="1540" w:leftChars="500" w:hanging="440" w:hangingChars="200"/>
              <w:jc w:val="both"/>
            </w:pPr>
            <w:r>
              <w:t>Caso seja utilizada a garantia na modalidade Fiança–Bancária (art. 96, § 1º, III, da Lei Federal nº 14.133/2021):</w:t>
            </w:r>
          </w:p>
          <w:p w14:paraId="783C3C9C">
            <w:pPr>
              <w:numPr>
                <w:ilvl w:val="0"/>
                <w:numId w:val="63"/>
              </w:numPr>
              <w:tabs>
                <w:tab w:val="clear" w:pos="425"/>
              </w:tabs>
              <w:spacing w:afterLines="30"/>
              <w:ind w:left="1511" w:hanging="283"/>
              <w:jc w:val="both"/>
            </w:pPr>
            <w:r>
              <w:t>A fiança bancária formalizar–se–á através de carta de fiança fornecida por instituição financeira devidamente autorizada a operar no país pelo Banco Central do Brasil.</w:t>
            </w:r>
          </w:p>
          <w:p w14:paraId="6D671A3E">
            <w:pPr>
              <w:numPr>
                <w:ilvl w:val="0"/>
                <w:numId w:val="63"/>
              </w:numPr>
              <w:spacing w:afterLines="30"/>
              <w:ind w:left="1540" w:leftChars="550" w:hanging="330" w:hangingChars="150"/>
              <w:jc w:val="both"/>
            </w:pPr>
            <w:r>
              <w:t>A fiança bancária será apresentada com firma devidamente reconhecida em cartório, exceto no caso de documento emitido por via digital, cuja autenticidade pode ser aferida junto aos certificadores digitais devida e legalmente autorizados.</w:t>
            </w:r>
          </w:p>
          <w:p w14:paraId="12FE7167">
            <w:pPr>
              <w:numPr>
                <w:ilvl w:val="0"/>
                <w:numId w:val="63"/>
              </w:numPr>
              <w:spacing w:afterLines="30"/>
              <w:ind w:left="1540" w:leftChars="550" w:hanging="330" w:hangingChars="150"/>
              <w:jc w:val="both"/>
            </w:pPr>
            <w:r>
              <w:t>A fiança bancária deverá ter prazo de validade correspondente ao período de vigência deste contrato, acrescido de 90 (noventa) dias para apuração de eventual inadimplemento da CONTRATADA — ocorrido durante a vigência contratual — e para a comunicação do inadimplemento à instituição financeira.</w:t>
            </w:r>
          </w:p>
          <w:p w14:paraId="2CAAC882">
            <w:pPr>
              <w:numPr>
                <w:ilvl w:val="0"/>
                <w:numId w:val="63"/>
              </w:numPr>
              <w:spacing w:afterLines="30"/>
              <w:ind w:left="1540" w:leftChars="550" w:hanging="330" w:hangingChars="150"/>
              <w:jc w:val="both"/>
            </w:pPr>
            <w:r>
              <w:t>No instrumento de fiança bancária constará renúncia expressa do fiador ao beneficio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178C8830">
            <w:pPr>
              <w:numPr>
                <w:ilvl w:val="0"/>
                <w:numId w:val="63"/>
              </w:numPr>
              <w:spacing w:afterLines="30"/>
              <w:ind w:left="1540" w:leftChars="550" w:hanging="330" w:hangingChars="150"/>
              <w:jc w:val="both"/>
            </w:pPr>
            <w:r>
              <w:t>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6A37C4BE">
            <w:pPr>
              <w:numPr>
                <w:ilvl w:val="0"/>
                <w:numId w:val="63"/>
              </w:numPr>
              <w:spacing w:afterLines="30"/>
              <w:ind w:left="1540" w:leftChars="550" w:hanging="330" w:hangingChars="150"/>
              <w:jc w:val="both"/>
            </w:pPr>
            <w:r>
              <w:t>A garantia contratual só será liberada ou restituída com o integral cumprimento do Contrato, mediante ato liberatório da autoridade contratante</w:t>
            </w:r>
          </w:p>
          <w:p w14:paraId="615F825E">
            <w:pPr>
              <w:numPr>
                <w:ilvl w:val="0"/>
                <w:numId w:val="60"/>
              </w:numPr>
              <w:tabs>
                <w:tab w:val="left" w:pos="1680"/>
              </w:tabs>
              <w:spacing w:afterLines="50"/>
              <w:ind w:left="1540" w:leftChars="500" w:hanging="440" w:hangingChars="200"/>
              <w:jc w:val="both"/>
            </w:pPr>
            <w:r>
              <w:t>Caso seja utilizada garantia modalidade Caução Títulos Públicos (art. 96, § 1º, I, 2ª parte, da Lei Federal n.° 14.133/2021):</w:t>
            </w:r>
          </w:p>
          <w:p w14:paraId="07F8B901">
            <w:pPr>
              <w:numPr>
                <w:ilvl w:val="0"/>
                <w:numId w:val="64"/>
              </w:numPr>
              <w:tabs>
                <w:tab w:val="left" w:pos="1228"/>
                <w:tab w:val="clear" w:pos="425"/>
              </w:tabs>
              <w:spacing w:afterLines="30"/>
              <w:ind w:left="1511" w:hanging="283"/>
              <w:jc w:val="both"/>
            </w:pPr>
            <w:r>
              <w:t>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49EB147F">
            <w:pPr>
              <w:numPr>
                <w:ilvl w:val="0"/>
                <w:numId w:val="64"/>
              </w:numPr>
              <w:spacing w:afterLines="30"/>
              <w:ind w:left="1540" w:leftChars="550" w:hanging="330" w:hangingChars="150"/>
              <w:jc w:val="both"/>
            </w:pPr>
            <w:r>
              <w:t>Sempre que houver alteração do valor do Contrato, de acordo com o art. 124 da Lei Federal n.° 14.133/2021, a garantia será complementada no prazo de 7 (sete) dias úteis do recebimento, pela CONTRATADA, do correspondente aviso, sob pena de aplicação das sanções previstas neste Contrato.</w:t>
            </w:r>
          </w:p>
          <w:p w14:paraId="166A6E6E">
            <w:pPr>
              <w:numPr>
                <w:ilvl w:val="0"/>
                <w:numId w:val="64"/>
              </w:numPr>
              <w:spacing w:afterLines="30"/>
              <w:ind w:left="1540" w:leftChars="550" w:hanging="330" w:hangingChars="150"/>
              <w:jc w:val="both"/>
            </w:pPr>
            <w:r>
              <w:t>A garantia contratual só será liberada ou restituída com o integral cumprimento do Contrato, mediante ato liberatório da autoridade contratante.</w:t>
            </w:r>
          </w:p>
          <w:p w14:paraId="5FAAECF0">
            <w:pPr>
              <w:pStyle w:val="49"/>
              <w:numPr>
                <w:ilvl w:val="0"/>
                <w:numId w:val="59"/>
              </w:numPr>
              <w:tabs>
                <w:tab w:val="left" w:pos="425"/>
              </w:tabs>
              <w:spacing w:afterLines="50" w:line="240" w:lineRule="auto"/>
              <w:jc w:val="both"/>
            </w:pPr>
            <w:r>
              <w:t>Caso a convocada para assinar o contrato opte por realizar a caução da garantia de execução nos termos do inciso II, a mesma será concedido o prazo de 35 (trinta e cinco) dias para prestação da referida garantia. Esse prazo será contado da data da homologação da licitação até a data assinatura do contrato.</w:t>
            </w:r>
          </w:p>
          <w:p w14:paraId="46FF7C83">
            <w:pPr>
              <w:tabs>
                <w:tab w:val="left" w:pos="1133"/>
              </w:tabs>
              <w:spacing w:afterLines="25"/>
              <w:jc w:val="both"/>
            </w:pPr>
            <w:r>
              <w:t>Garantia Adicional</w:t>
            </w:r>
          </w:p>
          <w:p w14:paraId="3BA23CB2">
            <w:pPr>
              <w:numPr>
                <w:ilvl w:val="0"/>
                <w:numId w:val="65"/>
              </w:numPr>
              <w:tabs>
                <w:tab w:val="left" w:pos="1680"/>
                <w:tab w:val="clear" w:pos="425"/>
              </w:tabs>
              <w:spacing w:afterLines="50"/>
              <w:ind w:left="1653"/>
              <w:jc w:val="both"/>
            </w:pPr>
            <w:r>
              <w:t>A Contratada prestará, no caso do § 5º, art. 59 da Lei 14133/2021, no prazo máximo de 10 (dez) dias úteis após assinatura do contrato, garantia adicional da execução plena do objeto e fiel cumprimento dos termos do Contrato, no valor referente à diferença entre o valor constante no valor de referência estipulado pela Administração descrito no subitem e o valor de sua Proposta de Preços, observadas as condições estabelecidas no edital.</w:t>
            </w:r>
          </w:p>
          <w:p w14:paraId="6F083950">
            <w:pPr>
              <w:numPr>
                <w:ilvl w:val="0"/>
                <w:numId w:val="65"/>
              </w:numPr>
              <w:tabs>
                <w:tab w:val="left" w:pos="1680"/>
                <w:tab w:val="clear" w:pos="425"/>
              </w:tabs>
              <w:spacing w:afterLines="50"/>
              <w:ind w:left="1653"/>
              <w:jc w:val="both"/>
              <w:rPr>
                <w:bCs/>
                <w:iCs/>
              </w:rPr>
            </w:pPr>
            <w:r>
              <w:t>A Contratada poderá prestar a Garantia Adicional nas mesmas modalidades e regras da garantia.</w:t>
            </w:r>
          </w:p>
        </w:tc>
      </w:tr>
      <w:tr w14:paraId="773F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7F109C0D">
            <w:pPr>
              <w:spacing w:before="120" w:after="120"/>
              <w:jc w:val="both"/>
              <w:rPr>
                <w:b/>
                <w:iCs/>
              </w:rPr>
            </w:pPr>
            <w:r>
              <w:rPr>
                <w:b/>
                <w:bCs/>
                <w:iCs/>
                <w:lang w:val="es-BO"/>
              </w:rPr>
              <w:t>51.4</w:t>
            </w:r>
          </w:p>
        </w:tc>
        <w:tc>
          <w:tcPr>
            <w:tcW w:w="7655" w:type="dxa"/>
          </w:tcPr>
          <w:p w14:paraId="497BC490">
            <w:pPr>
              <w:spacing w:before="120" w:after="120"/>
              <w:jc w:val="both"/>
              <w:rPr>
                <w:b/>
                <w:bCs/>
                <w:iCs/>
              </w:rPr>
            </w:pPr>
            <w:r>
              <w:rPr>
                <w:b/>
                <w:bCs/>
                <w:iCs/>
              </w:rPr>
              <w:t>Inclusão de Novos Serviços</w:t>
            </w:r>
          </w:p>
          <w:p w14:paraId="05152A5C">
            <w:pPr>
              <w:pStyle w:val="49"/>
              <w:numPr>
                <w:ilvl w:val="0"/>
                <w:numId w:val="66"/>
              </w:numPr>
              <w:spacing w:afterLines="45" w:line="240" w:lineRule="auto"/>
              <w:jc w:val="both"/>
              <w:rPr>
                <w:rFonts w:eastAsia="SimSun" w:cs="Times New Roman"/>
              </w:rPr>
            </w:pPr>
            <w:r>
              <w:rPr>
                <w:rFonts w:eastAsia="SimSun" w:cs="Times New Roman"/>
              </w:rPr>
              <w:t>O presente Contrato poderá ser alterado para ajuste de condições supervenientes que impliquem em modificações, com as devidas justificativas, nos seguintes casos:</w:t>
            </w:r>
          </w:p>
          <w:p w14:paraId="2F1A1FEC">
            <w:pPr>
              <w:pStyle w:val="49"/>
              <w:numPr>
                <w:ilvl w:val="0"/>
                <w:numId w:val="67"/>
              </w:numPr>
              <w:spacing w:afterLines="45" w:line="240" w:lineRule="auto"/>
              <w:jc w:val="both"/>
              <w:rPr>
                <w:rFonts w:eastAsia="SimSun" w:cs="Times New Roman"/>
              </w:rPr>
            </w:pPr>
            <w:r>
              <w:rPr>
                <w:rFonts w:eastAsia="SimSun" w:cs="Times New Roman"/>
              </w:rPr>
              <w:t>Quando houver modificação do projeto ou das especificações para melhor adequação técnica aos seus objetivos;</w:t>
            </w:r>
          </w:p>
          <w:p w14:paraId="5FB5D358">
            <w:pPr>
              <w:pStyle w:val="49"/>
              <w:numPr>
                <w:ilvl w:val="0"/>
                <w:numId w:val="67"/>
              </w:numPr>
              <w:snapToGrid w:val="0"/>
              <w:spacing w:afterLines="50" w:line="240" w:lineRule="auto"/>
              <w:jc w:val="both"/>
              <w:rPr>
                <w:rFonts w:eastAsia="SimSun" w:cs="Times New Roman"/>
              </w:rPr>
            </w:pPr>
            <w:r>
              <w:rPr>
                <w:rFonts w:eastAsia="SimSun" w:cs="Times New Roman"/>
              </w:rPr>
              <w:t xml:space="preserve">Quando necessária a modificação do valor contratual em decorrência de acréscimo ou diminuição quantitativa do objeto contratual. </w:t>
            </w:r>
          </w:p>
          <w:p w14:paraId="38C70D39">
            <w:pPr>
              <w:pStyle w:val="49"/>
              <w:numPr>
                <w:ilvl w:val="0"/>
                <w:numId w:val="67"/>
              </w:numPr>
              <w:snapToGrid w:val="0"/>
              <w:spacing w:afterLines="50" w:line="240" w:lineRule="auto"/>
              <w:jc w:val="both"/>
              <w:rPr>
                <w:rFonts w:eastAsia="SimSun" w:cs="Times New Roman"/>
              </w:rPr>
            </w:pPr>
            <w:r>
              <w:rPr>
                <w:rFonts w:eastAsia="SimSun" w:cs="Times New Roman"/>
              </w:rPr>
              <w:t>Quando necessária a modificação do regime de execução da obra ou serviço, bem como do modo de fornecimento, em face de verificação técnica da inaplicabilidade dos termos contratuais originários;</w:t>
            </w:r>
          </w:p>
          <w:p w14:paraId="44DB1B60">
            <w:pPr>
              <w:pStyle w:val="49"/>
              <w:numPr>
                <w:ilvl w:val="0"/>
                <w:numId w:val="67"/>
              </w:numPr>
              <w:snapToGrid w:val="0"/>
              <w:spacing w:afterLines="50" w:line="240" w:lineRule="auto"/>
              <w:jc w:val="both"/>
              <w:rPr>
                <w:rFonts w:eastAsia="SimSun" w:cs="Times New Roman"/>
              </w:rPr>
            </w:pPr>
            <w:r>
              <w:rPr>
                <w:rFonts w:eastAsia="SimSun" w:cs="Times New Roman"/>
              </w:rPr>
              <w:t>Quando necessária a modificação da forma de pagamento por imposição de circunstâncias supervenientes, mantido o valor inicial atualizado, vedada a antecipação de pagamento, com relação ao cronograma fixado, sem a correspondente contraprestação de execução dos serviços.</w:t>
            </w:r>
          </w:p>
          <w:p w14:paraId="18988E8A">
            <w:pPr>
              <w:pStyle w:val="49"/>
              <w:numPr>
                <w:ilvl w:val="0"/>
                <w:numId w:val="66"/>
              </w:numPr>
              <w:spacing w:afterLines="45" w:line="240" w:lineRule="auto"/>
              <w:jc w:val="both"/>
              <w:rPr>
                <w:rFonts w:eastAsia="SimSun" w:cs="Times New Roman"/>
              </w:rPr>
            </w:pPr>
            <w:r>
              <w:rPr>
                <w:rFonts w:eastAsia="SimSun" w:cs="Times New Roman"/>
              </w:rPr>
              <w:t>Qualquer alteração nas condições ora estipuladas neste Contrato deverá ser feita através de Termo Aditivo, devidamente assinado pelos representantes legais das partes.</w:t>
            </w:r>
          </w:p>
          <w:p w14:paraId="582B6BF8">
            <w:pPr>
              <w:pStyle w:val="49"/>
              <w:numPr>
                <w:ilvl w:val="0"/>
                <w:numId w:val="66"/>
              </w:numPr>
              <w:spacing w:afterLines="45" w:line="240" w:lineRule="auto"/>
              <w:jc w:val="both"/>
              <w:rPr>
                <w:rFonts w:eastAsia="SimSun" w:cs="Times New Roman"/>
              </w:rPr>
            </w:pPr>
            <w:r>
              <w:rPr>
                <w:rFonts w:eastAsia="SimSun" w:cs="Times New Roman"/>
              </w:rPr>
              <w:t xml:space="preserve">Qualquer aumento ou supressão de quantitativos, em relação aos previstos na proposta, deverá ser previamente justificado pela fiscalização e aprovado pela autoridade competente, devendo inclusive proceder a readequação do cronograma físico-financeiro. </w:t>
            </w:r>
          </w:p>
          <w:p w14:paraId="286BAA92">
            <w:pPr>
              <w:pStyle w:val="49"/>
              <w:numPr>
                <w:ilvl w:val="0"/>
                <w:numId w:val="66"/>
              </w:numPr>
              <w:spacing w:afterLines="45" w:line="240" w:lineRule="auto"/>
              <w:jc w:val="both"/>
              <w:rPr>
                <w:rFonts w:eastAsia="SimSun" w:cs="Times New Roman"/>
              </w:rPr>
            </w:pPr>
            <w:r>
              <w:rPr>
                <w:rFonts w:eastAsia="SimSun" w:cs="Times New Roman"/>
              </w:rPr>
              <w:t>Quaisquer tributos ou encargos legais criados, alterados ou extintos, bem como a superveniência de disposições legais, quando ocorrido após a data da apresentação da proposta, de comprovada repercussão nos preços contratados, implicarão a revisão destes para mais ou para menos, conforme o caso.</w:t>
            </w:r>
          </w:p>
          <w:p w14:paraId="60317B84">
            <w:pPr>
              <w:pStyle w:val="49"/>
              <w:numPr>
                <w:ilvl w:val="0"/>
                <w:numId w:val="66"/>
              </w:numPr>
              <w:spacing w:afterLines="45" w:line="240" w:lineRule="auto"/>
              <w:jc w:val="both"/>
              <w:rPr>
                <w:rFonts w:eastAsia="SimSun" w:cs="Times New Roman"/>
              </w:rPr>
            </w:pPr>
            <w:r>
              <w:rPr>
                <w:rFonts w:eastAsia="SimSun" w:cs="Times New Roman"/>
              </w:rPr>
              <w:t>Ocorrendo a necessidade de adicionar itens ao Contrato e se na proposta não houver sido estabelecido preços unitários para esses itens, os mesmos serão fixados de acordo com os preços de referência (SINAPI, AGESUL e composições), acrescidos do BDI proposto e, respeitadas as condições estabelecidas no Contrato. Os referidos valores serão retroagidos a data da proposta base do orçamento da Administração e serão, ainda, decrescidos do montante oferecidos pela Contratada quando da licitação.</w:t>
            </w:r>
          </w:p>
          <w:p w14:paraId="3113DEC2">
            <w:pPr>
              <w:pStyle w:val="49"/>
              <w:numPr>
                <w:ilvl w:val="0"/>
                <w:numId w:val="66"/>
              </w:numPr>
              <w:spacing w:afterLines="45" w:line="240" w:lineRule="auto"/>
              <w:jc w:val="both"/>
              <w:rPr>
                <w:rFonts w:eastAsia="SimSun" w:cs="Times New Roman"/>
              </w:rPr>
            </w:pPr>
            <w:r>
              <w:rPr>
                <w:rFonts w:eastAsia="SimSun" w:cs="Times New Roman"/>
              </w:rPr>
              <w:t>Nenhum acréscimo ou supressão poderá exceder os limites estabelecidos na Lei Federal nº 14.133/2021.</w:t>
            </w:r>
          </w:p>
          <w:p w14:paraId="597D323A">
            <w:pPr>
              <w:pStyle w:val="49"/>
              <w:numPr>
                <w:ilvl w:val="0"/>
                <w:numId w:val="66"/>
              </w:numPr>
              <w:spacing w:afterLines="45" w:line="240" w:lineRule="auto"/>
              <w:jc w:val="both"/>
              <w:rPr>
                <w:rFonts w:cs="Times New Roman"/>
              </w:rPr>
            </w:pPr>
            <w:r>
              <w:rPr>
                <w:rFonts w:eastAsia="SimSun" w:cs="Times New Roman"/>
              </w:rPr>
              <w:t>Verificando em qualquer momento, até o término do Contrato, incoerências ou divergências de qualquer natureza nas definições dos preços unitários dos serviços, será adotada a correção que resultar no menor preço.</w:t>
            </w:r>
          </w:p>
        </w:tc>
      </w:tr>
      <w:tr w14:paraId="10F8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9077" w:type="dxa"/>
            <w:gridSpan w:val="2"/>
            <w:shd w:val="clear" w:color="auto" w:fill="F1F1F1" w:themeFill="background1" w:themeFillShade="F2"/>
          </w:tcPr>
          <w:p w14:paraId="1D08F4F4">
            <w:pPr>
              <w:spacing w:before="120" w:after="120"/>
              <w:jc w:val="center"/>
              <w:rPr>
                <w:b/>
                <w:iCs/>
              </w:rPr>
            </w:pPr>
            <w:r>
              <w:rPr>
                <w:b/>
                <w:iCs/>
              </w:rPr>
              <w:t>E - ENCERRAMENTO DO CONTRATO</w:t>
            </w:r>
          </w:p>
        </w:tc>
      </w:tr>
      <w:tr w14:paraId="1C75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4234D86B">
            <w:pPr>
              <w:spacing w:before="120" w:after="120"/>
              <w:jc w:val="both"/>
              <w:rPr>
                <w:b/>
                <w:iCs/>
                <w:lang w:val="pt-PT"/>
              </w:rPr>
            </w:pPr>
            <w:r>
              <w:rPr>
                <w:b/>
                <w:iCs/>
                <w:lang w:val="pt-PT"/>
              </w:rPr>
              <w:t>53.4</w:t>
            </w:r>
          </w:p>
        </w:tc>
        <w:tc>
          <w:tcPr>
            <w:tcW w:w="7655" w:type="dxa"/>
          </w:tcPr>
          <w:p w14:paraId="5A32A5B6">
            <w:pPr>
              <w:spacing w:before="120" w:after="120"/>
              <w:jc w:val="both"/>
              <w:rPr>
                <w:b/>
                <w:bCs/>
                <w:iCs/>
              </w:rPr>
            </w:pPr>
            <w:r>
              <w:rPr>
                <w:b/>
                <w:bCs/>
                <w:iCs/>
              </w:rPr>
              <w:t>Término</w:t>
            </w:r>
          </w:p>
          <w:p w14:paraId="01600D24">
            <w:pPr>
              <w:spacing w:before="120" w:after="120"/>
              <w:jc w:val="both"/>
              <w:rPr>
                <w:b/>
                <w:bCs/>
                <w:iCs/>
              </w:rPr>
            </w:pPr>
            <w:r>
              <w:rPr>
                <w:b/>
                <w:iCs/>
              </w:rPr>
              <w:t>Outros procedimentos</w:t>
            </w:r>
            <w:r>
              <w:rPr>
                <w:b/>
                <w:bCs/>
                <w:iCs/>
              </w:rPr>
              <w:t xml:space="preserve"> para o recebimento definitivo das Obras</w:t>
            </w:r>
          </w:p>
          <w:p w14:paraId="3B347FBB">
            <w:pPr>
              <w:pStyle w:val="49"/>
              <w:widowControl w:val="0"/>
              <w:autoSpaceDE w:val="0"/>
              <w:autoSpaceDN w:val="0"/>
              <w:ind w:left="0" w:right="-1"/>
              <w:contextualSpacing w:val="0"/>
              <w:jc w:val="both"/>
            </w:pPr>
            <w:r>
              <w:t xml:space="preserve"> Os serviços executados serão recebidos definitivamente no prazo de 90 dias, contados do recebimento provisório, por servidor ou comissão designada pelo </w:t>
            </w:r>
            <w:r>
              <w:rPr>
                <w:rStyle w:val="92"/>
              </w:rPr>
              <w:t>Contratante</w:t>
            </w:r>
            <w:r>
              <w:t>, após a verificação da qualidade e quantidade do serviço e consequente aceitação mediante termo detalhado, obedecendo os seguintes procedimentos:</w:t>
            </w:r>
          </w:p>
          <w:p w14:paraId="4515EC65">
            <w:pPr>
              <w:spacing w:before="120" w:after="120"/>
              <w:ind w:left="496" w:hanging="283"/>
              <w:rPr>
                <w:rFonts w:cs="Times New Roman"/>
              </w:rPr>
            </w:pPr>
            <w:r>
              <w:rPr>
                <w:rFonts w:cs="Times New Roman"/>
              </w:rPr>
              <w:t>(a) Emissão de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4DC2E190">
            <w:pPr>
              <w:spacing w:before="120" w:after="120"/>
              <w:ind w:left="496" w:hanging="283"/>
              <w:rPr>
                <w:rFonts w:cs="Times New Roman"/>
              </w:rPr>
            </w:pPr>
            <w:r>
              <w:rPr>
                <w:rFonts w:cs="Times New Roman"/>
              </w:rPr>
              <w:t>(b) Realização de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DA250E3">
            <w:pPr>
              <w:spacing w:before="120" w:after="120"/>
              <w:ind w:left="496" w:hanging="283"/>
              <w:rPr>
                <w:rFonts w:cs="Times New Roman"/>
              </w:rPr>
            </w:pPr>
            <w:r>
              <w:rPr>
                <w:rFonts w:cs="Times New Roman"/>
              </w:rPr>
              <w:t xml:space="preserve">(c) Emissão do Termo de Recebimento Definitivo (TRD) das Obras para efeito de recebimento definitivo dos serviços prestados, com base nos relatórios e documentações apresentadas; </w:t>
            </w:r>
          </w:p>
          <w:p w14:paraId="31024C82">
            <w:pPr>
              <w:spacing w:before="120" w:after="120"/>
              <w:ind w:left="496" w:hanging="283"/>
              <w:rPr>
                <w:rFonts w:cs="Times New Roman"/>
              </w:rPr>
            </w:pPr>
            <w:r>
              <w:rPr>
                <w:rFonts w:cs="Times New Roman"/>
              </w:rPr>
              <w:t>(d) Comunicação ao Contratado para que emita a Nota Fiscal ou Fatura, com o valor exato dimensionado pela Fiscalização; e</w:t>
            </w:r>
          </w:p>
          <w:p w14:paraId="6F6A016F">
            <w:pPr>
              <w:spacing w:before="120" w:after="120"/>
              <w:ind w:left="496" w:hanging="283"/>
              <w:rPr>
                <w:rFonts w:cs="Times New Roman"/>
              </w:rPr>
            </w:pPr>
            <w:r>
              <w:rPr>
                <w:rFonts w:cs="Times New Roman"/>
              </w:rPr>
              <w:t>(e) Envio da documentação pertinente ao setor de contratos para a formalização dos procedimentos de liquidação e pagamento, no valor dimensionado pela Fiscalização e gestão.</w:t>
            </w:r>
          </w:p>
        </w:tc>
      </w:tr>
      <w:tr w14:paraId="1B7C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tcPr>
          <w:p w14:paraId="3304CAF1">
            <w:pPr>
              <w:spacing w:before="120" w:after="120"/>
              <w:jc w:val="both"/>
              <w:rPr>
                <w:b/>
                <w:iCs/>
                <w:lang w:val="pt-PT"/>
              </w:rPr>
            </w:pPr>
            <w:r>
              <w:rPr>
                <w:b/>
                <w:iCs/>
                <w:lang w:val="pt-PT"/>
              </w:rPr>
              <w:t>56.1</w:t>
            </w:r>
          </w:p>
        </w:tc>
        <w:tc>
          <w:tcPr>
            <w:tcW w:w="7655" w:type="dxa"/>
          </w:tcPr>
          <w:p w14:paraId="012BEFA4">
            <w:pPr>
              <w:spacing w:before="120" w:after="120"/>
              <w:jc w:val="both"/>
              <w:rPr>
                <w:b/>
                <w:bCs/>
                <w:iCs/>
              </w:rPr>
            </w:pPr>
            <w:r>
              <w:rPr>
                <w:b/>
                <w:bCs/>
                <w:iCs/>
              </w:rPr>
              <w:t>Manuais de operação e manutenção e desenhos de como construído (</w:t>
            </w:r>
            <w:r>
              <w:rPr>
                <w:b/>
                <w:bCs/>
                <w:i/>
                <w:iCs/>
              </w:rPr>
              <w:t>as built</w:t>
            </w:r>
            <w:r>
              <w:rPr>
                <w:b/>
                <w:bCs/>
                <w:iCs/>
              </w:rPr>
              <w:t>)</w:t>
            </w:r>
          </w:p>
          <w:p w14:paraId="71DE48E4">
            <w:pPr>
              <w:rPr>
                <w:szCs w:val="24"/>
              </w:rPr>
            </w:pPr>
            <w:r>
              <w:rPr>
                <w:szCs w:val="24"/>
              </w:rPr>
              <w:t>A data de entrega dos Manuais de Operação e Manutenção é: 10 (dez) dias antes da medição final.</w:t>
            </w:r>
          </w:p>
          <w:p w14:paraId="647651CB">
            <w:pPr>
              <w:spacing w:before="120" w:after="120"/>
              <w:jc w:val="both"/>
              <w:rPr>
                <w:bCs/>
                <w:iCs/>
              </w:rPr>
            </w:pPr>
            <w:r>
              <w:t>A data de entrega dos Desenhos de Como Construído (As Built) é: 10 (dez) dias antes da medição final.</w:t>
            </w:r>
          </w:p>
        </w:tc>
      </w:tr>
      <w:tr w14:paraId="20A2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47B59312">
            <w:pPr>
              <w:spacing w:before="120" w:after="120"/>
              <w:jc w:val="both"/>
              <w:rPr>
                <w:b/>
                <w:iCs/>
                <w:lang w:val="pt-PT"/>
              </w:rPr>
            </w:pPr>
            <w:r>
              <w:rPr>
                <w:b/>
                <w:iCs/>
                <w:lang w:val="pt-PT"/>
              </w:rPr>
              <w:t xml:space="preserve">57.2 </w:t>
            </w:r>
          </w:p>
        </w:tc>
        <w:tc>
          <w:tcPr>
            <w:tcW w:w="7655" w:type="dxa"/>
            <w:shd w:val="clear" w:color="auto" w:fill="auto"/>
          </w:tcPr>
          <w:p w14:paraId="24512B13">
            <w:pPr>
              <w:spacing w:before="120" w:after="120"/>
              <w:jc w:val="both"/>
              <w:rPr>
                <w:b/>
                <w:bCs/>
                <w:iCs/>
              </w:rPr>
            </w:pPr>
            <w:r>
              <w:rPr>
                <w:b/>
                <w:bCs/>
                <w:iCs/>
              </w:rPr>
              <w:t>Rescisão</w:t>
            </w:r>
          </w:p>
          <w:p w14:paraId="23BB4FE3">
            <w:pPr>
              <w:tabs>
                <w:tab w:val="left" w:pos="-1600"/>
              </w:tabs>
              <w:spacing w:afterLines="35" w:line="240" w:lineRule="auto"/>
              <w:jc w:val="both"/>
              <w:rPr>
                <w:rFonts w:cs="Times New Roman"/>
              </w:rPr>
            </w:pPr>
            <w:r>
              <w:rPr>
                <w:rFonts w:cs="Times New Roman"/>
              </w:rPr>
              <w:t>O</w:t>
            </w:r>
            <w:r>
              <w:rPr>
                <w:rFonts w:cs="Times New Roman"/>
                <w:spacing w:val="-11"/>
              </w:rPr>
              <w:t xml:space="preserve"> </w:t>
            </w:r>
            <w:r>
              <w:rPr>
                <w:rFonts w:cs="Times New Roman"/>
                <w:spacing w:val="-2"/>
              </w:rPr>
              <w:t xml:space="preserve">Contratante </w:t>
            </w:r>
            <w:r>
              <w:rPr>
                <w:rFonts w:cs="Times New Roman"/>
              </w:rPr>
              <w:t>poderá</w:t>
            </w:r>
            <w:r>
              <w:rPr>
                <w:rFonts w:cs="Times New Roman"/>
                <w:spacing w:val="-10"/>
              </w:rPr>
              <w:t xml:space="preserve"> </w:t>
            </w:r>
            <w:r>
              <w:rPr>
                <w:rFonts w:cs="Times New Roman"/>
              </w:rPr>
              <w:t>extinguir</w:t>
            </w:r>
            <w:r>
              <w:rPr>
                <w:rFonts w:cs="Times New Roman"/>
                <w:spacing w:val="-11"/>
              </w:rPr>
              <w:t xml:space="preserve"> </w:t>
            </w:r>
            <w:r>
              <w:rPr>
                <w:rFonts w:cs="Times New Roman"/>
              </w:rPr>
              <w:t>administrativamente</w:t>
            </w:r>
            <w:r>
              <w:rPr>
                <w:rFonts w:cs="Times New Roman"/>
                <w:spacing w:val="-12"/>
              </w:rPr>
              <w:t xml:space="preserve"> </w:t>
            </w:r>
            <w:r>
              <w:rPr>
                <w:rFonts w:cs="Times New Roman"/>
              </w:rPr>
              <w:t>o</w:t>
            </w:r>
            <w:r>
              <w:rPr>
                <w:rFonts w:cs="Times New Roman"/>
                <w:spacing w:val="-9"/>
              </w:rPr>
              <w:t xml:space="preserve"> </w:t>
            </w:r>
            <w:r>
              <w:rPr>
                <w:rFonts w:cs="Times New Roman"/>
              </w:rPr>
              <w:t>Contrato,</w:t>
            </w:r>
            <w:r>
              <w:rPr>
                <w:rFonts w:cs="Times New Roman"/>
                <w:spacing w:val="-10"/>
              </w:rPr>
              <w:t xml:space="preserve"> </w:t>
            </w:r>
            <w:r>
              <w:rPr>
                <w:rFonts w:cs="Times New Roman"/>
              </w:rPr>
              <w:t>por</w:t>
            </w:r>
            <w:r>
              <w:rPr>
                <w:rFonts w:cs="Times New Roman"/>
                <w:spacing w:val="-7"/>
              </w:rPr>
              <w:t xml:space="preserve"> </w:t>
            </w:r>
            <w:r>
              <w:rPr>
                <w:rFonts w:cs="Times New Roman"/>
              </w:rPr>
              <w:t>ato</w:t>
            </w:r>
            <w:r>
              <w:rPr>
                <w:rFonts w:cs="Times New Roman"/>
                <w:spacing w:val="-10"/>
              </w:rPr>
              <w:t xml:space="preserve"> </w:t>
            </w:r>
            <w:r>
              <w:rPr>
                <w:rFonts w:cs="Times New Roman"/>
              </w:rPr>
              <w:t>unilateral,</w:t>
            </w:r>
            <w:r>
              <w:rPr>
                <w:rFonts w:cs="Times New Roman"/>
                <w:spacing w:val="-8"/>
              </w:rPr>
              <w:t xml:space="preserve"> </w:t>
            </w:r>
            <w:r>
              <w:rPr>
                <w:rFonts w:cs="Times New Roman"/>
              </w:rPr>
              <w:t>na ocorrência</w:t>
            </w:r>
            <w:r>
              <w:rPr>
                <w:rFonts w:cs="Times New Roman"/>
                <w:spacing w:val="-9"/>
              </w:rPr>
              <w:t xml:space="preserve"> </w:t>
            </w:r>
            <w:r>
              <w:rPr>
                <w:rFonts w:cs="Times New Roman"/>
              </w:rPr>
              <w:t>das</w:t>
            </w:r>
            <w:r>
              <w:rPr>
                <w:rFonts w:cs="Times New Roman"/>
                <w:spacing w:val="-8"/>
              </w:rPr>
              <w:t xml:space="preserve"> </w:t>
            </w:r>
            <w:r>
              <w:rPr>
                <w:rFonts w:cs="Times New Roman"/>
              </w:rPr>
              <w:t>hipóteses</w:t>
            </w:r>
            <w:r>
              <w:rPr>
                <w:rFonts w:cs="Times New Roman"/>
                <w:spacing w:val="-3"/>
              </w:rPr>
              <w:t xml:space="preserve"> </w:t>
            </w:r>
            <w:r>
              <w:rPr>
                <w:rFonts w:cs="Times New Roman"/>
              </w:rPr>
              <w:t>previstas</w:t>
            </w:r>
            <w:r>
              <w:rPr>
                <w:rFonts w:cs="Times New Roman"/>
                <w:spacing w:val="-8"/>
              </w:rPr>
              <w:t xml:space="preserve"> </w:t>
            </w:r>
            <w:r>
              <w:rPr>
                <w:rFonts w:cs="Times New Roman"/>
              </w:rPr>
              <w:t>no</w:t>
            </w:r>
            <w:r>
              <w:rPr>
                <w:rFonts w:cs="Times New Roman"/>
                <w:spacing w:val="-6"/>
              </w:rPr>
              <w:t xml:space="preserve"> </w:t>
            </w:r>
            <w:r>
              <w:rPr>
                <w:rFonts w:cs="Times New Roman"/>
              </w:rPr>
              <w:t>art.</w:t>
            </w:r>
            <w:r>
              <w:rPr>
                <w:rFonts w:cs="Times New Roman"/>
                <w:spacing w:val="-9"/>
              </w:rPr>
              <w:t xml:space="preserve"> </w:t>
            </w:r>
            <w:r>
              <w:rPr>
                <w:rFonts w:cs="Times New Roman"/>
              </w:rPr>
              <w:t>137,</w:t>
            </w:r>
            <w:r>
              <w:rPr>
                <w:rFonts w:cs="Times New Roman"/>
                <w:spacing w:val="-6"/>
              </w:rPr>
              <w:t xml:space="preserve"> </w:t>
            </w:r>
            <w:r>
              <w:rPr>
                <w:rFonts w:cs="Times New Roman"/>
              </w:rPr>
              <w:t>incisos</w:t>
            </w:r>
            <w:r>
              <w:rPr>
                <w:rFonts w:cs="Times New Roman"/>
                <w:spacing w:val="-5"/>
              </w:rPr>
              <w:t xml:space="preserve"> </w:t>
            </w:r>
            <w:r>
              <w:rPr>
                <w:rFonts w:cs="Times New Roman"/>
              </w:rPr>
              <w:t>I</w:t>
            </w:r>
            <w:r>
              <w:rPr>
                <w:rFonts w:cs="Times New Roman"/>
                <w:spacing w:val="-11"/>
              </w:rPr>
              <w:t xml:space="preserve"> </w:t>
            </w:r>
            <w:r>
              <w:rPr>
                <w:rFonts w:cs="Times New Roman"/>
              </w:rPr>
              <w:t>a</w:t>
            </w:r>
            <w:r>
              <w:rPr>
                <w:rFonts w:cs="Times New Roman"/>
                <w:spacing w:val="-5"/>
              </w:rPr>
              <w:t xml:space="preserve"> </w:t>
            </w:r>
            <w:r>
              <w:rPr>
                <w:rFonts w:cs="Times New Roman"/>
              </w:rPr>
              <w:t>IX,</w:t>
            </w:r>
            <w:r>
              <w:rPr>
                <w:rFonts w:cs="Times New Roman"/>
                <w:spacing w:val="-7"/>
              </w:rPr>
              <w:t xml:space="preserve"> </w:t>
            </w:r>
            <w:r>
              <w:rPr>
                <w:rFonts w:cs="Times New Roman"/>
              </w:rPr>
              <w:t>da</w:t>
            </w:r>
            <w:r>
              <w:rPr>
                <w:rFonts w:cs="Times New Roman"/>
                <w:spacing w:val="-7"/>
              </w:rPr>
              <w:t xml:space="preserve"> </w:t>
            </w:r>
            <w:r>
              <w:rPr>
                <w:rFonts w:cs="Times New Roman"/>
              </w:rPr>
              <w:t>Lei</w:t>
            </w:r>
            <w:r>
              <w:rPr>
                <w:rFonts w:cs="Times New Roman"/>
                <w:spacing w:val="-5"/>
              </w:rPr>
              <w:t xml:space="preserve"> </w:t>
            </w:r>
            <w:r>
              <w:rPr>
                <w:rFonts w:cs="Times New Roman"/>
              </w:rPr>
              <w:t>Federal</w:t>
            </w:r>
            <w:r>
              <w:rPr>
                <w:rFonts w:cs="Times New Roman"/>
                <w:spacing w:val="-6"/>
              </w:rPr>
              <w:t xml:space="preserve"> </w:t>
            </w:r>
            <w:r>
              <w:rPr>
                <w:rFonts w:cs="Times New Roman"/>
              </w:rPr>
              <w:t>nº</w:t>
            </w:r>
            <w:r>
              <w:rPr>
                <w:rFonts w:cs="Times New Roman"/>
                <w:spacing w:val="-8"/>
              </w:rPr>
              <w:t xml:space="preserve"> </w:t>
            </w:r>
            <w:r>
              <w:rPr>
                <w:rFonts w:cs="Times New Roman"/>
              </w:rPr>
              <w:t>14.133/2021, mediante</w:t>
            </w:r>
            <w:r>
              <w:rPr>
                <w:rFonts w:cs="Times New Roman"/>
                <w:spacing w:val="-9"/>
              </w:rPr>
              <w:t xml:space="preserve"> </w:t>
            </w:r>
            <w:r>
              <w:rPr>
                <w:rFonts w:cs="Times New Roman"/>
              </w:rPr>
              <w:t>decisão</w:t>
            </w:r>
            <w:r>
              <w:rPr>
                <w:rFonts w:cs="Times New Roman"/>
                <w:spacing w:val="-9"/>
              </w:rPr>
              <w:t xml:space="preserve"> </w:t>
            </w:r>
            <w:r>
              <w:rPr>
                <w:rFonts w:cs="Times New Roman"/>
              </w:rPr>
              <w:t>fundamentada,</w:t>
            </w:r>
            <w:r>
              <w:rPr>
                <w:rFonts w:cs="Times New Roman"/>
                <w:spacing w:val="-8"/>
              </w:rPr>
              <w:t xml:space="preserve"> </w:t>
            </w:r>
            <w:r>
              <w:rPr>
                <w:rFonts w:cs="Times New Roman"/>
              </w:rPr>
              <w:t>assegurado</w:t>
            </w:r>
            <w:r>
              <w:rPr>
                <w:rFonts w:cs="Times New Roman"/>
                <w:spacing w:val="-8"/>
              </w:rPr>
              <w:t xml:space="preserve"> </w:t>
            </w:r>
            <w:r>
              <w:rPr>
                <w:rFonts w:cs="Times New Roman"/>
              </w:rPr>
              <w:t>o</w:t>
            </w:r>
            <w:r>
              <w:rPr>
                <w:rFonts w:cs="Times New Roman"/>
                <w:spacing w:val="-8"/>
              </w:rPr>
              <w:t xml:space="preserve"> </w:t>
            </w:r>
            <w:r>
              <w:rPr>
                <w:rFonts w:cs="Times New Roman"/>
              </w:rPr>
              <w:t>contraditório</w:t>
            </w:r>
            <w:r>
              <w:rPr>
                <w:rFonts w:cs="Times New Roman"/>
                <w:spacing w:val="-8"/>
              </w:rPr>
              <w:t xml:space="preserve"> </w:t>
            </w:r>
            <w:r>
              <w:rPr>
                <w:rFonts w:cs="Times New Roman"/>
              </w:rPr>
              <w:t>e</w:t>
            </w:r>
            <w:r>
              <w:rPr>
                <w:rFonts w:cs="Times New Roman"/>
                <w:spacing w:val="-9"/>
              </w:rPr>
              <w:t xml:space="preserve"> </w:t>
            </w:r>
            <w:r>
              <w:rPr>
                <w:rFonts w:cs="Times New Roman"/>
              </w:rPr>
              <w:t>a</w:t>
            </w:r>
            <w:r>
              <w:rPr>
                <w:rFonts w:cs="Times New Roman"/>
                <w:spacing w:val="-9"/>
              </w:rPr>
              <w:t xml:space="preserve"> </w:t>
            </w:r>
            <w:r>
              <w:rPr>
                <w:rFonts w:cs="Times New Roman"/>
              </w:rPr>
              <w:t>ampla</w:t>
            </w:r>
            <w:r>
              <w:rPr>
                <w:rFonts w:cs="Times New Roman"/>
                <w:spacing w:val="-9"/>
              </w:rPr>
              <w:t xml:space="preserve"> </w:t>
            </w:r>
            <w:r>
              <w:rPr>
                <w:rFonts w:cs="Times New Roman"/>
              </w:rPr>
              <w:t>defesa,</w:t>
            </w:r>
            <w:r>
              <w:rPr>
                <w:rFonts w:cs="Times New Roman"/>
                <w:spacing w:val="-8"/>
              </w:rPr>
              <w:t xml:space="preserve"> </w:t>
            </w:r>
            <w:r>
              <w:rPr>
                <w:rFonts w:cs="Times New Roman"/>
              </w:rPr>
              <w:t>e</w:t>
            </w:r>
            <w:r>
              <w:rPr>
                <w:rFonts w:cs="Times New Roman"/>
                <w:spacing w:val="-9"/>
              </w:rPr>
              <w:t xml:space="preserve"> </w:t>
            </w:r>
            <w:r>
              <w:rPr>
                <w:rFonts w:cs="Times New Roman"/>
              </w:rPr>
              <w:t>observado</w:t>
            </w:r>
            <w:r>
              <w:rPr>
                <w:rFonts w:cs="Times New Roman"/>
                <w:spacing w:val="-8"/>
              </w:rPr>
              <w:t xml:space="preserve"> </w:t>
            </w:r>
            <w:r>
              <w:rPr>
                <w:rFonts w:cs="Times New Roman"/>
              </w:rPr>
              <w:t>o art. 138, § 2º, da Lei Federal nº 14.133/2021.</w:t>
            </w:r>
          </w:p>
          <w:p w14:paraId="07C808C0">
            <w:pPr>
              <w:tabs>
                <w:tab w:val="left" w:pos="-1600"/>
              </w:tabs>
              <w:spacing w:afterLines="35" w:line="240" w:lineRule="auto"/>
              <w:jc w:val="both"/>
              <w:rPr>
                <w:rFonts w:cs="Times New Roman"/>
              </w:rPr>
            </w:pPr>
            <w:r>
              <w:rPr>
                <w:rFonts w:cs="Times New Roman"/>
              </w:rPr>
              <w:t>A extinção operará seus efeitos a partir da publicação do ato administrativo no</w:t>
            </w:r>
            <w:r>
              <w:rPr>
                <w:rFonts w:cs="Times New Roman"/>
                <w:spacing w:val="40"/>
              </w:rPr>
              <w:t xml:space="preserve"> </w:t>
            </w:r>
            <w:r>
              <w:rPr>
                <w:rFonts w:cs="Times New Roman"/>
              </w:rPr>
              <w:t>Portal Nacional de Contratações Públicas (PNCP).</w:t>
            </w:r>
          </w:p>
          <w:p w14:paraId="3B2C7739">
            <w:pPr>
              <w:tabs>
                <w:tab w:val="left" w:pos="-1600"/>
              </w:tabs>
              <w:spacing w:afterLines="35" w:line="240" w:lineRule="auto"/>
              <w:jc w:val="both"/>
              <w:rPr>
                <w:rFonts w:cs="Times New Roman"/>
              </w:rPr>
            </w:pPr>
            <w:r>
              <w:rPr>
                <w:rFonts w:cs="Times New Roman"/>
              </w:rPr>
              <w:t xml:space="preserve">Extinto o Contrato, o </w:t>
            </w:r>
            <w:r>
              <w:rPr>
                <w:rFonts w:cs="Times New Roman"/>
                <w:spacing w:val="-2"/>
              </w:rPr>
              <w:t>Contratante</w:t>
            </w:r>
            <w:r>
              <w:rPr>
                <w:rFonts w:cs="Times New Roman"/>
              </w:rPr>
              <w:t xml:space="preserve"> assumirá imediatamente o seu objeto no local e no estado em que a sua execução se encontrar.</w:t>
            </w:r>
          </w:p>
          <w:p w14:paraId="057F29E0">
            <w:pPr>
              <w:tabs>
                <w:tab w:val="left" w:pos="-1600"/>
              </w:tabs>
              <w:spacing w:afterLines="35" w:line="240" w:lineRule="auto"/>
              <w:jc w:val="both"/>
              <w:rPr>
                <w:rFonts w:cs="Times New Roman"/>
              </w:rPr>
            </w:pPr>
            <w:r>
              <w:rPr>
                <w:rFonts w:cs="Times New Roman"/>
              </w:rPr>
              <w:t>Na</w:t>
            </w:r>
            <w:r>
              <w:rPr>
                <w:rFonts w:cs="Times New Roman"/>
                <w:spacing w:val="-7"/>
              </w:rPr>
              <w:t xml:space="preserve"> </w:t>
            </w:r>
            <w:r>
              <w:rPr>
                <w:rFonts w:cs="Times New Roman"/>
              </w:rPr>
              <w:t>hipótese</w:t>
            </w:r>
            <w:r>
              <w:rPr>
                <w:rFonts w:cs="Times New Roman"/>
                <w:spacing w:val="-7"/>
              </w:rPr>
              <w:t xml:space="preserve"> </w:t>
            </w:r>
            <w:r>
              <w:rPr>
                <w:rFonts w:cs="Times New Roman"/>
              </w:rPr>
              <w:t>de</w:t>
            </w:r>
            <w:r>
              <w:rPr>
                <w:rFonts w:cs="Times New Roman"/>
                <w:spacing w:val="-7"/>
              </w:rPr>
              <w:t xml:space="preserve"> </w:t>
            </w:r>
            <w:r>
              <w:rPr>
                <w:rFonts w:cs="Times New Roman"/>
              </w:rPr>
              <w:t>extinção</w:t>
            </w:r>
            <w:r>
              <w:rPr>
                <w:rFonts w:cs="Times New Roman"/>
                <w:spacing w:val="-6"/>
              </w:rPr>
              <w:t xml:space="preserve"> </w:t>
            </w:r>
            <w:r>
              <w:rPr>
                <w:rFonts w:cs="Times New Roman"/>
              </w:rPr>
              <w:t>por</w:t>
            </w:r>
            <w:r>
              <w:rPr>
                <w:rFonts w:cs="Times New Roman"/>
                <w:spacing w:val="-7"/>
              </w:rPr>
              <w:t xml:space="preserve"> </w:t>
            </w:r>
            <w:r>
              <w:rPr>
                <w:rFonts w:cs="Times New Roman"/>
              </w:rPr>
              <w:t>culpa</w:t>
            </w:r>
            <w:r>
              <w:rPr>
                <w:rFonts w:cs="Times New Roman"/>
                <w:spacing w:val="-6"/>
              </w:rPr>
              <w:t xml:space="preserve"> </w:t>
            </w:r>
            <w:r>
              <w:rPr>
                <w:rFonts w:cs="Times New Roman"/>
              </w:rPr>
              <w:t>da</w:t>
            </w:r>
            <w:r>
              <w:rPr>
                <w:rFonts w:cs="Times New Roman"/>
                <w:spacing w:val="-7"/>
              </w:rPr>
              <w:t xml:space="preserve"> </w:t>
            </w:r>
            <w:r>
              <w:rPr>
                <w:rFonts w:cs="Times New Roman"/>
              </w:rPr>
              <w:t xml:space="preserve">Contratada, a ela, além das demais sanções cabíveis, ficará sujeita à </w:t>
            </w:r>
            <w:r>
              <w:rPr>
                <w:rFonts w:cs="Times New Roman"/>
                <w:b/>
              </w:rPr>
              <w:t xml:space="preserve">multa </w:t>
            </w:r>
            <w:r>
              <w:rPr>
                <w:rFonts w:cs="Times New Roman"/>
              </w:rPr>
              <w:t>de até 30% (trinta por centos) calculada sobre o saldo reajustado do Contrato, ou, ainda, sobre o valor do Contrato, conforme o caso.</w:t>
            </w:r>
          </w:p>
          <w:p w14:paraId="1B95AEA2">
            <w:pPr>
              <w:tabs>
                <w:tab w:val="left" w:pos="-1600"/>
              </w:tabs>
              <w:spacing w:afterLines="35" w:line="240" w:lineRule="auto"/>
              <w:jc w:val="both"/>
              <w:rPr>
                <w:rFonts w:cs="Times New Roman"/>
              </w:rPr>
            </w:pPr>
            <w:r>
              <w:rPr>
                <w:rFonts w:cs="Times New Roman"/>
              </w:rPr>
              <w:t>A</w:t>
            </w:r>
            <w:r>
              <w:rPr>
                <w:rFonts w:cs="Times New Roman"/>
                <w:spacing w:val="-4"/>
              </w:rPr>
              <w:t xml:space="preserve"> </w:t>
            </w:r>
            <w:r>
              <w:rPr>
                <w:rFonts w:cs="Times New Roman"/>
              </w:rPr>
              <w:t>multa referida</w:t>
            </w:r>
            <w:r>
              <w:rPr>
                <w:rFonts w:cs="Times New Roman"/>
                <w:spacing w:val="-7"/>
              </w:rPr>
              <w:t xml:space="preserve"> </w:t>
            </w:r>
            <w:r>
              <w:rPr>
                <w:rFonts w:cs="Times New Roman"/>
              </w:rPr>
              <w:t>no</w:t>
            </w:r>
            <w:r>
              <w:rPr>
                <w:rFonts w:cs="Times New Roman"/>
                <w:spacing w:val="-6"/>
              </w:rPr>
              <w:t xml:space="preserve"> </w:t>
            </w:r>
            <w:r>
              <w:rPr>
                <w:rFonts w:cs="Times New Roman"/>
              </w:rPr>
              <w:t>item</w:t>
            </w:r>
            <w:r>
              <w:rPr>
                <w:rFonts w:cs="Times New Roman"/>
                <w:spacing w:val="-7"/>
              </w:rPr>
              <w:t xml:space="preserve"> </w:t>
            </w:r>
            <w:r>
              <w:rPr>
                <w:rFonts w:cs="Times New Roman"/>
              </w:rPr>
              <w:t>anterior</w:t>
            </w:r>
            <w:r>
              <w:rPr>
                <w:rFonts w:cs="Times New Roman"/>
                <w:spacing w:val="-6"/>
              </w:rPr>
              <w:t xml:space="preserve"> </w:t>
            </w:r>
            <w:r>
              <w:rPr>
                <w:rFonts w:cs="Times New Roman"/>
              </w:rPr>
              <w:t>não</w:t>
            </w:r>
            <w:r>
              <w:rPr>
                <w:rFonts w:cs="Times New Roman"/>
                <w:spacing w:val="-6"/>
              </w:rPr>
              <w:t xml:space="preserve"> </w:t>
            </w:r>
            <w:r>
              <w:rPr>
                <w:rFonts w:cs="Times New Roman"/>
              </w:rPr>
              <w:t>tem</w:t>
            </w:r>
            <w:r>
              <w:rPr>
                <w:rFonts w:cs="Times New Roman"/>
                <w:spacing w:val="-6"/>
              </w:rPr>
              <w:t xml:space="preserve"> </w:t>
            </w:r>
            <w:r>
              <w:rPr>
                <w:rFonts w:cs="Times New Roman"/>
              </w:rPr>
              <w:t>caráter</w:t>
            </w:r>
            <w:r>
              <w:rPr>
                <w:rFonts w:cs="Times New Roman"/>
                <w:spacing w:val="-7"/>
              </w:rPr>
              <w:t xml:space="preserve"> </w:t>
            </w:r>
            <w:r>
              <w:rPr>
                <w:rFonts w:cs="Times New Roman"/>
              </w:rPr>
              <w:t>compensatório e</w:t>
            </w:r>
            <w:r>
              <w:rPr>
                <w:rFonts w:cs="Times New Roman"/>
                <w:spacing w:val="-8"/>
              </w:rPr>
              <w:t xml:space="preserve"> </w:t>
            </w:r>
            <w:r>
              <w:rPr>
                <w:rFonts w:cs="Times New Roman"/>
              </w:rPr>
              <w:t>será</w:t>
            </w:r>
            <w:r>
              <w:rPr>
                <w:rFonts w:cs="Times New Roman"/>
                <w:spacing w:val="-7"/>
              </w:rPr>
              <w:t xml:space="preserve"> </w:t>
            </w:r>
            <w:r>
              <w:rPr>
                <w:rFonts w:cs="Times New Roman"/>
              </w:rPr>
              <w:t>descontada</w:t>
            </w:r>
            <w:r>
              <w:rPr>
                <w:rFonts w:cs="Times New Roman"/>
                <w:spacing w:val="-6"/>
              </w:rPr>
              <w:t xml:space="preserve"> </w:t>
            </w:r>
            <w:r>
              <w:rPr>
                <w:rFonts w:cs="Times New Roman"/>
              </w:rPr>
              <w:t>do</w:t>
            </w:r>
            <w:r>
              <w:rPr>
                <w:rFonts w:cs="Times New Roman"/>
                <w:spacing w:val="-5"/>
              </w:rPr>
              <w:t xml:space="preserve"> </w:t>
            </w:r>
            <w:r>
              <w:rPr>
                <w:rFonts w:cs="Times New Roman"/>
              </w:rPr>
              <w:t>valor</w:t>
            </w:r>
            <w:r>
              <w:rPr>
                <w:rFonts w:cs="Times New Roman"/>
                <w:spacing w:val="-5"/>
              </w:rPr>
              <w:t xml:space="preserve"> </w:t>
            </w:r>
            <w:r>
              <w:rPr>
                <w:rFonts w:cs="Times New Roman"/>
              </w:rPr>
              <w:t>da</w:t>
            </w:r>
            <w:r>
              <w:rPr>
                <w:rFonts w:cs="Times New Roman"/>
                <w:spacing w:val="-6"/>
              </w:rPr>
              <w:t xml:space="preserve"> </w:t>
            </w:r>
            <w:r>
              <w:rPr>
                <w:rFonts w:cs="Times New Roman"/>
              </w:rPr>
              <w:t>garantia adicional.</w:t>
            </w:r>
            <w:r>
              <w:rPr>
                <w:rFonts w:cs="Times New Roman"/>
                <w:spacing w:val="-5"/>
              </w:rPr>
              <w:t xml:space="preserve"> </w:t>
            </w:r>
            <w:r>
              <w:rPr>
                <w:rFonts w:cs="Times New Roman"/>
              </w:rPr>
              <w:t>Se</w:t>
            </w:r>
            <w:r>
              <w:rPr>
                <w:rFonts w:cs="Times New Roman"/>
                <w:spacing w:val="-6"/>
              </w:rPr>
              <w:t xml:space="preserve"> </w:t>
            </w:r>
            <w:r>
              <w:rPr>
                <w:rFonts w:cs="Times New Roman"/>
              </w:rPr>
              <w:t>a</w:t>
            </w:r>
            <w:r>
              <w:rPr>
                <w:rFonts w:cs="Times New Roman"/>
                <w:spacing w:val="-6"/>
              </w:rPr>
              <w:t xml:space="preserve"> </w:t>
            </w:r>
            <w:r>
              <w:rPr>
                <w:rFonts w:cs="Times New Roman"/>
              </w:rPr>
              <w:t>garantia</w:t>
            </w:r>
            <w:r>
              <w:rPr>
                <w:rFonts w:cs="Times New Roman"/>
                <w:spacing w:val="-5"/>
              </w:rPr>
              <w:t xml:space="preserve"> </w:t>
            </w:r>
            <w:r>
              <w:rPr>
                <w:rFonts w:cs="Times New Roman"/>
              </w:rPr>
              <w:t>for</w:t>
            </w:r>
            <w:r>
              <w:rPr>
                <w:rFonts w:cs="Times New Roman"/>
                <w:spacing w:val="-7"/>
              </w:rPr>
              <w:t xml:space="preserve"> </w:t>
            </w:r>
            <w:r>
              <w:rPr>
                <w:rFonts w:cs="Times New Roman"/>
              </w:rPr>
              <w:t>insuficiente,</w:t>
            </w:r>
            <w:r>
              <w:rPr>
                <w:rFonts w:cs="Times New Roman"/>
                <w:spacing w:val="-5"/>
              </w:rPr>
              <w:t xml:space="preserve"> </w:t>
            </w:r>
            <w:r>
              <w:rPr>
                <w:rFonts w:cs="Times New Roman"/>
              </w:rPr>
              <w:t>o</w:t>
            </w:r>
            <w:r>
              <w:rPr>
                <w:rFonts w:cs="Times New Roman"/>
                <w:spacing w:val="-5"/>
              </w:rPr>
              <w:t xml:space="preserve"> </w:t>
            </w:r>
            <w:r>
              <w:rPr>
                <w:rFonts w:cs="Times New Roman"/>
              </w:rPr>
              <w:t>débito</w:t>
            </w:r>
            <w:r>
              <w:rPr>
                <w:rFonts w:cs="Times New Roman"/>
                <w:spacing w:val="-4"/>
              </w:rPr>
              <w:t xml:space="preserve"> </w:t>
            </w:r>
            <w:r>
              <w:rPr>
                <w:rFonts w:cs="Times New Roman"/>
                <w:spacing w:val="-2"/>
              </w:rPr>
              <w:t xml:space="preserve">remanescente, </w:t>
            </w:r>
            <w:r>
              <w:rPr>
                <w:rFonts w:cs="Times New Roman"/>
              </w:rPr>
              <w:t>inclusive</w:t>
            </w:r>
            <w:r>
              <w:rPr>
                <w:rFonts w:cs="Times New Roman"/>
                <w:spacing w:val="-5"/>
              </w:rPr>
              <w:t xml:space="preserve"> </w:t>
            </w:r>
            <w:r>
              <w:rPr>
                <w:rFonts w:cs="Times New Roman"/>
              </w:rPr>
              <w:t>o</w:t>
            </w:r>
            <w:r>
              <w:rPr>
                <w:rFonts w:cs="Times New Roman"/>
                <w:spacing w:val="-4"/>
              </w:rPr>
              <w:t xml:space="preserve"> </w:t>
            </w:r>
            <w:r>
              <w:rPr>
                <w:rFonts w:cs="Times New Roman"/>
              </w:rPr>
              <w:t>decorrente</w:t>
            </w:r>
            <w:r>
              <w:rPr>
                <w:rFonts w:cs="Times New Roman"/>
                <w:spacing w:val="-4"/>
              </w:rPr>
              <w:t xml:space="preserve"> </w:t>
            </w:r>
            <w:r>
              <w:rPr>
                <w:rFonts w:cs="Times New Roman"/>
              </w:rPr>
              <w:t>de</w:t>
            </w:r>
            <w:r>
              <w:rPr>
                <w:rFonts w:cs="Times New Roman"/>
                <w:spacing w:val="-4"/>
              </w:rPr>
              <w:t xml:space="preserve"> </w:t>
            </w:r>
            <w:r>
              <w:rPr>
                <w:rFonts w:cs="Times New Roman"/>
              </w:rPr>
              <w:t>penalidades</w:t>
            </w:r>
            <w:r>
              <w:rPr>
                <w:rFonts w:cs="Times New Roman"/>
                <w:spacing w:val="-4"/>
              </w:rPr>
              <w:t xml:space="preserve"> </w:t>
            </w:r>
            <w:r>
              <w:rPr>
                <w:rFonts w:cs="Times New Roman"/>
              </w:rPr>
              <w:t>anteriormente</w:t>
            </w:r>
            <w:r>
              <w:rPr>
                <w:rFonts w:cs="Times New Roman"/>
                <w:spacing w:val="-4"/>
              </w:rPr>
              <w:t xml:space="preserve"> </w:t>
            </w:r>
            <w:r>
              <w:rPr>
                <w:rFonts w:cs="Times New Roman"/>
              </w:rPr>
              <w:t>aplicadas,</w:t>
            </w:r>
            <w:r>
              <w:rPr>
                <w:rFonts w:cs="Times New Roman"/>
                <w:spacing w:val="-4"/>
              </w:rPr>
              <w:t xml:space="preserve"> </w:t>
            </w:r>
            <w:r>
              <w:rPr>
                <w:rFonts w:cs="Times New Roman"/>
              </w:rPr>
              <w:t>poderá</w:t>
            </w:r>
            <w:r>
              <w:rPr>
                <w:rFonts w:cs="Times New Roman"/>
                <w:spacing w:val="-6"/>
              </w:rPr>
              <w:t xml:space="preserve"> </w:t>
            </w:r>
            <w:r>
              <w:rPr>
                <w:rFonts w:cs="Times New Roman"/>
              </w:rPr>
              <w:t>ser</w:t>
            </w:r>
            <w:r>
              <w:rPr>
                <w:rFonts w:cs="Times New Roman"/>
                <w:spacing w:val="-4"/>
              </w:rPr>
              <w:t xml:space="preserve"> </w:t>
            </w:r>
            <w:r>
              <w:rPr>
                <w:rFonts w:cs="Times New Roman"/>
              </w:rPr>
              <w:t>compensado</w:t>
            </w:r>
            <w:r>
              <w:rPr>
                <w:rFonts w:cs="Times New Roman"/>
                <w:spacing w:val="-4"/>
              </w:rPr>
              <w:t xml:space="preserve"> </w:t>
            </w:r>
            <w:r>
              <w:rPr>
                <w:rFonts w:cs="Times New Roman"/>
              </w:rPr>
              <w:t xml:space="preserve">com eventuais créditos devidos pelo </w:t>
            </w:r>
            <w:r>
              <w:rPr>
                <w:rFonts w:cs="Times New Roman"/>
                <w:spacing w:val="-2"/>
              </w:rPr>
              <w:t>Contratante</w:t>
            </w:r>
            <w:r>
              <w:rPr>
                <w:rFonts w:cs="Times New Roman"/>
              </w:rPr>
              <w:t>.</w:t>
            </w:r>
          </w:p>
          <w:p w14:paraId="099BD36A">
            <w:pPr>
              <w:tabs>
                <w:tab w:val="left" w:pos="-1600"/>
              </w:tabs>
              <w:spacing w:afterLines="35" w:line="240" w:lineRule="auto"/>
              <w:jc w:val="both"/>
              <w:rPr>
                <w:rFonts w:cs="Times New Roman"/>
              </w:rPr>
            </w:pPr>
            <w:r>
              <w:rPr>
                <w:rFonts w:cs="Times New Roman"/>
              </w:rPr>
              <w:t>Nos</w:t>
            </w:r>
            <w:r>
              <w:rPr>
                <w:rFonts w:cs="Times New Roman"/>
                <w:spacing w:val="32"/>
              </w:rPr>
              <w:t xml:space="preserve"> </w:t>
            </w:r>
            <w:r>
              <w:rPr>
                <w:rFonts w:cs="Times New Roman"/>
              </w:rPr>
              <w:t>casos de</w:t>
            </w:r>
            <w:r>
              <w:rPr>
                <w:rFonts w:cs="Times New Roman"/>
                <w:spacing w:val="31"/>
              </w:rPr>
              <w:t xml:space="preserve"> </w:t>
            </w:r>
            <w:r>
              <w:rPr>
                <w:rFonts w:cs="Times New Roman"/>
              </w:rPr>
              <w:t>extinção</w:t>
            </w:r>
            <w:r>
              <w:rPr>
                <w:rFonts w:cs="Times New Roman"/>
                <w:spacing w:val="34"/>
              </w:rPr>
              <w:t xml:space="preserve"> </w:t>
            </w:r>
            <w:r>
              <w:rPr>
                <w:rFonts w:cs="Times New Roman"/>
              </w:rPr>
              <w:t>com</w:t>
            </w:r>
            <w:r>
              <w:rPr>
                <w:rFonts w:cs="Times New Roman"/>
                <w:spacing w:val="33"/>
              </w:rPr>
              <w:t xml:space="preserve"> </w:t>
            </w:r>
            <w:r>
              <w:rPr>
                <w:rFonts w:cs="Times New Roman"/>
              </w:rPr>
              <w:t>culpa</w:t>
            </w:r>
            <w:r>
              <w:rPr>
                <w:rFonts w:cs="Times New Roman"/>
                <w:spacing w:val="32"/>
              </w:rPr>
              <w:t xml:space="preserve"> </w:t>
            </w:r>
            <w:r>
              <w:rPr>
                <w:rFonts w:cs="Times New Roman"/>
              </w:rPr>
              <w:t>exclusiva</w:t>
            </w:r>
            <w:r>
              <w:rPr>
                <w:rFonts w:cs="Times New Roman"/>
                <w:spacing w:val="31"/>
              </w:rPr>
              <w:t xml:space="preserve"> </w:t>
            </w:r>
            <w:r>
              <w:rPr>
                <w:rFonts w:cs="Times New Roman"/>
              </w:rPr>
              <w:t xml:space="preserve">do </w:t>
            </w:r>
            <w:r>
              <w:rPr>
                <w:rFonts w:cs="Times New Roman"/>
                <w:spacing w:val="-2"/>
              </w:rPr>
              <w:t>Contratante</w:t>
            </w:r>
            <w:r>
              <w:rPr>
                <w:rFonts w:cs="Times New Roman"/>
              </w:rPr>
              <w:t>, deverão ser promovidos:</w:t>
            </w:r>
          </w:p>
          <w:p w14:paraId="6DD4EE70">
            <w:pPr>
              <w:numPr>
                <w:ilvl w:val="0"/>
                <w:numId w:val="68"/>
              </w:numPr>
              <w:tabs>
                <w:tab w:val="clear" w:pos="425"/>
              </w:tabs>
              <w:snapToGrid w:val="0"/>
              <w:spacing w:afterLines="35" w:line="240" w:lineRule="auto"/>
              <w:ind w:left="1100"/>
              <w:jc w:val="both"/>
              <w:rPr>
                <w:rFonts w:cs="Times New Roman"/>
              </w:rPr>
            </w:pPr>
            <w:r>
              <w:rPr>
                <w:rFonts w:cs="Times New Roman"/>
              </w:rPr>
              <w:t>a</w:t>
            </w:r>
            <w:r>
              <w:rPr>
                <w:rFonts w:cs="Times New Roman"/>
                <w:spacing w:val="-2"/>
              </w:rPr>
              <w:t xml:space="preserve"> </w:t>
            </w:r>
            <w:r>
              <w:rPr>
                <w:rFonts w:cs="Times New Roman"/>
              </w:rPr>
              <w:t>devolução da</w:t>
            </w:r>
            <w:r>
              <w:rPr>
                <w:rFonts w:cs="Times New Roman"/>
                <w:spacing w:val="2"/>
              </w:rPr>
              <w:t xml:space="preserve"> </w:t>
            </w:r>
            <w:r>
              <w:rPr>
                <w:rFonts w:cs="Times New Roman"/>
                <w:spacing w:val="-2"/>
              </w:rPr>
              <w:t>garantia, se for o caso;</w:t>
            </w:r>
          </w:p>
          <w:p w14:paraId="0018A496">
            <w:pPr>
              <w:numPr>
                <w:ilvl w:val="0"/>
                <w:numId w:val="68"/>
              </w:numPr>
              <w:tabs>
                <w:tab w:val="clear" w:pos="425"/>
              </w:tabs>
              <w:snapToGrid w:val="0"/>
              <w:spacing w:afterLines="35" w:line="240" w:lineRule="auto"/>
              <w:ind w:left="1100"/>
              <w:jc w:val="both"/>
              <w:rPr>
                <w:rFonts w:cs="Times New Roman"/>
              </w:rPr>
            </w:pPr>
            <w:r>
              <w:rPr>
                <w:rFonts w:cs="Times New Roman"/>
              </w:rPr>
              <w:t>os</w:t>
            </w:r>
            <w:r>
              <w:rPr>
                <w:rFonts w:cs="Times New Roman"/>
                <w:spacing w:val="-1"/>
              </w:rPr>
              <w:t xml:space="preserve"> </w:t>
            </w:r>
            <w:r>
              <w:rPr>
                <w:rFonts w:cs="Times New Roman"/>
              </w:rPr>
              <w:t>pagamentos</w:t>
            </w:r>
            <w:r>
              <w:rPr>
                <w:rFonts w:cs="Times New Roman"/>
                <w:spacing w:val="-1"/>
              </w:rPr>
              <w:t xml:space="preserve"> </w:t>
            </w:r>
            <w:r>
              <w:rPr>
                <w:rFonts w:cs="Times New Roman"/>
              </w:rPr>
              <w:t>devidos pela</w:t>
            </w:r>
            <w:r>
              <w:rPr>
                <w:rFonts w:cs="Times New Roman"/>
                <w:spacing w:val="-1"/>
              </w:rPr>
              <w:t xml:space="preserve"> </w:t>
            </w:r>
            <w:r>
              <w:rPr>
                <w:rFonts w:cs="Times New Roman"/>
              </w:rPr>
              <w:t>execução do</w:t>
            </w:r>
            <w:r>
              <w:rPr>
                <w:rFonts w:cs="Times New Roman"/>
                <w:spacing w:val="-1"/>
              </w:rPr>
              <w:t xml:space="preserve"> </w:t>
            </w:r>
            <w:r>
              <w:rPr>
                <w:rFonts w:cs="Times New Roman"/>
              </w:rPr>
              <w:t>Contrato</w:t>
            </w:r>
            <w:r>
              <w:rPr>
                <w:rFonts w:cs="Times New Roman"/>
                <w:spacing w:val="2"/>
              </w:rPr>
              <w:t xml:space="preserve"> </w:t>
            </w:r>
            <w:r>
              <w:rPr>
                <w:rFonts w:cs="Times New Roman"/>
              </w:rPr>
              <w:t>até</w:t>
            </w:r>
            <w:r>
              <w:rPr>
                <w:rFonts w:cs="Times New Roman"/>
                <w:spacing w:val="-1"/>
              </w:rPr>
              <w:t xml:space="preserve"> </w:t>
            </w:r>
            <w:r>
              <w:rPr>
                <w:rFonts w:cs="Times New Roman"/>
              </w:rPr>
              <w:t>a</w:t>
            </w:r>
            <w:r>
              <w:rPr>
                <w:rFonts w:cs="Times New Roman"/>
                <w:spacing w:val="-2"/>
              </w:rPr>
              <w:t xml:space="preserve"> </w:t>
            </w:r>
            <w:r>
              <w:rPr>
                <w:rFonts w:cs="Times New Roman"/>
              </w:rPr>
              <w:t>data</w:t>
            </w:r>
            <w:r>
              <w:rPr>
                <w:rFonts w:cs="Times New Roman"/>
                <w:spacing w:val="-2"/>
              </w:rPr>
              <w:t xml:space="preserve"> </w:t>
            </w:r>
            <w:r>
              <w:rPr>
                <w:rFonts w:cs="Times New Roman"/>
              </w:rPr>
              <w:t>da</w:t>
            </w:r>
            <w:r>
              <w:rPr>
                <w:rFonts w:cs="Times New Roman"/>
                <w:spacing w:val="-5"/>
              </w:rPr>
              <w:t xml:space="preserve"> </w:t>
            </w:r>
            <w:r>
              <w:rPr>
                <w:rFonts w:cs="Times New Roman"/>
                <w:spacing w:val="-2"/>
              </w:rPr>
              <w:t>extinção;</w:t>
            </w:r>
          </w:p>
          <w:p w14:paraId="349F05EA">
            <w:pPr>
              <w:numPr>
                <w:ilvl w:val="0"/>
                <w:numId w:val="68"/>
              </w:numPr>
              <w:tabs>
                <w:tab w:val="clear" w:pos="425"/>
              </w:tabs>
              <w:snapToGrid w:val="0"/>
              <w:spacing w:afterLines="35" w:line="240" w:lineRule="auto"/>
              <w:ind w:left="1100"/>
              <w:jc w:val="both"/>
              <w:rPr>
                <w:rFonts w:cs="Times New Roman"/>
              </w:rPr>
            </w:pPr>
            <w:r>
              <w:rPr>
                <w:rFonts w:cs="Times New Roman"/>
              </w:rPr>
              <w:t>o</w:t>
            </w:r>
            <w:r>
              <w:rPr>
                <w:rFonts w:cs="Times New Roman"/>
                <w:spacing w:val="-2"/>
              </w:rPr>
              <w:t xml:space="preserve"> </w:t>
            </w:r>
            <w:r>
              <w:rPr>
                <w:rFonts w:cs="Times New Roman"/>
              </w:rPr>
              <w:t>pagamento</w:t>
            </w:r>
            <w:r>
              <w:rPr>
                <w:rFonts w:cs="Times New Roman"/>
                <w:spacing w:val="-1"/>
              </w:rPr>
              <w:t xml:space="preserve"> </w:t>
            </w:r>
            <w:r>
              <w:rPr>
                <w:rFonts w:cs="Times New Roman"/>
              </w:rPr>
              <w:t>do</w:t>
            </w:r>
            <w:r>
              <w:rPr>
                <w:rFonts w:cs="Times New Roman"/>
                <w:spacing w:val="-1"/>
              </w:rPr>
              <w:t xml:space="preserve"> </w:t>
            </w:r>
            <w:r>
              <w:rPr>
                <w:rFonts w:cs="Times New Roman"/>
              </w:rPr>
              <w:t>custo</w:t>
            </w:r>
            <w:r>
              <w:rPr>
                <w:rFonts w:cs="Times New Roman"/>
                <w:spacing w:val="-1"/>
              </w:rPr>
              <w:t xml:space="preserve"> </w:t>
            </w:r>
            <w:r>
              <w:rPr>
                <w:rFonts w:cs="Times New Roman"/>
              </w:rPr>
              <w:t>de desmobilização,</w:t>
            </w:r>
            <w:r>
              <w:rPr>
                <w:rFonts w:cs="Times New Roman"/>
                <w:spacing w:val="-1"/>
              </w:rPr>
              <w:t xml:space="preserve"> </w:t>
            </w:r>
            <w:r>
              <w:rPr>
                <w:rFonts w:cs="Times New Roman"/>
              </w:rPr>
              <w:t>caso</w:t>
            </w:r>
            <w:r>
              <w:rPr>
                <w:rFonts w:cs="Times New Roman"/>
                <w:spacing w:val="-1"/>
              </w:rPr>
              <w:t xml:space="preserve"> </w:t>
            </w:r>
            <w:r>
              <w:rPr>
                <w:rFonts w:cs="Times New Roman"/>
                <w:spacing w:val="-2"/>
              </w:rPr>
              <w:t>haja;</w:t>
            </w:r>
          </w:p>
          <w:p w14:paraId="46CAA2DF">
            <w:pPr>
              <w:numPr>
                <w:ilvl w:val="0"/>
                <w:numId w:val="68"/>
              </w:numPr>
              <w:tabs>
                <w:tab w:val="clear" w:pos="425"/>
              </w:tabs>
              <w:snapToGrid w:val="0"/>
              <w:spacing w:afterLines="35" w:line="240" w:lineRule="auto"/>
              <w:ind w:left="1100"/>
              <w:jc w:val="both"/>
              <w:rPr>
                <w:rFonts w:cs="Times New Roman"/>
              </w:rPr>
            </w:pPr>
            <w:r>
              <w:rPr>
                <w:rFonts w:cs="Times New Roman"/>
              </w:rPr>
              <w:t>o</w:t>
            </w:r>
            <w:r>
              <w:rPr>
                <w:rFonts w:cs="Times New Roman"/>
                <w:spacing w:val="-2"/>
              </w:rPr>
              <w:t xml:space="preserve"> </w:t>
            </w:r>
            <w:r>
              <w:rPr>
                <w:rFonts w:cs="Times New Roman"/>
              </w:rPr>
              <w:t>ressarcimento</w:t>
            </w:r>
            <w:r>
              <w:rPr>
                <w:rFonts w:cs="Times New Roman"/>
                <w:spacing w:val="-2"/>
              </w:rPr>
              <w:t xml:space="preserve"> </w:t>
            </w:r>
            <w:r>
              <w:rPr>
                <w:rFonts w:cs="Times New Roman"/>
              </w:rPr>
              <w:t>dos</w:t>
            </w:r>
            <w:r>
              <w:rPr>
                <w:rFonts w:cs="Times New Roman"/>
                <w:spacing w:val="-1"/>
              </w:rPr>
              <w:t xml:space="preserve"> </w:t>
            </w:r>
            <w:r>
              <w:rPr>
                <w:rFonts w:cs="Times New Roman"/>
              </w:rPr>
              <w:t>prejuízos</w:t>
            </w:r>
            <w:r>
              <w:rPr>
                <w:rFonts w:cs="Times New Roman"/>
                <w:spacing w:val="-2"/>
              </w:rPr>
              <w:t xml:space="preserve"> </w:t>
            </w:r>
            <w:r>
              <w:rPr>
                <w:rFonts w:cs="Times New Roman"/>
              </w:rPr>
              <w:t>comprovadamente</w:t>
            </w:r>
            <w:r>
              <w:rPr>
                <w:rFonts w:cs="Times New Roman"/>
                <w:spacing w:val="1"/>
              </w:rPr>
              <w:t xml:space="preserve"> </w:t>
            </w:r>
            <w:r>
              <w:rPr>
                <w:rFonts w:cs="Times New Roman"/>
                <w:spacing w:val="-2"/>
              </w:rPr>
              <w:t>sofridos.</w:t>
            </w:r>
          </w:p>
          <w:p w14:paraId="0F99482E">
            <w:pPr>
              <w:tabs>
                <w:tab w:val="left" w:pos="-1600"/>
              </w:tabs>
              <w:spacing w:afterLines="35" w:line="240" w:lineRule="auto"/>
              <w:jc w:val="both"/>
              <w:rPr>
                <w:rFonts w:cs="Times New Roman"/>
              </w:rPr>
            </w:pPr>
            <w:r>
              <w:rPr>
                <w:rFonts w:cs="Times New Roman"/>
              </w:rPr>
              <w:t>Na</w:t>
            </w:r>
            <w:r>
              <w:rPr>
                <w:rFonts w:cs="Times New Roman"/>
                <w:spacing w:val="-9"/>
              </w:rPr>
              <w:t xml:space="preserve"> </w:t>
            </w:r>
            <w:r>
              <w:rPr>
                <w:rFonts w:cs="Times New Roman"/>
              </w:rPr>
              <w:t>hipótese de</w:t>
            </w:r>
            <w:r>
              <w:rPr>
                <w:rFonts w:cs="Times New Roman"/>
                <w:spacing w:val="-8"/>
              </w:rPr>
              <w:t xml:space="preserve"> </w:t>
            </w:r>
            <w:r>
              <w:rPr>
                <w:rFonts w:cs="Times New Roman"/>
              </w:rPr>
              <w:t>extinção</w:t>
            </w:r>
            <w:r>
              <w:rPr>
                <w:rFonts w:cs="Times New Roman"/>
                <w:spacing w:val="-7"/>
              </w:rPr>
              <w:t xml:space="preserve"> </w:t>
            </w:r>
            <w:r>
              <w:rPr>
                <w:rFonts w:cs="Times New Roman"/>
              </w:rPr>
              <w:t>do</w:t>
            </w:r>
            <w:r>
              <w:rPr>
                <w:rFonts w:cs="Times New Roman"/>
                <w:spacing w:val="-7"/>
              </w:rPr>
              <w:t xml:space="preserve"> </w:t>
            </w:r>
            <w:r>
              <w:rPr>
                <w:rFonts w:cs="Times New Roman"/>
              </w:rPr>
              <w:t>Contrato</w:t>
            </w:r>
            <w:r>
              <w:rPr>
                <w:rFonts w:cs="Times New Roman"/>
                <w:spacing w:val="-7"/>
              </w:rPr>
              <w:t xml:space="preserve"> </w:t>
            </w:r>
            <w:r>
              <w:rPr>
                <w:rFonts w:cs="Times New Roman"/>
              </w:rPr>
              <w:t>por</w:t>
            </w:r>
            <w:r>
              <w:rPr>
                <w:rFonts w:cs="Times New Roman"/>
                <w:spacing w:val="-8"/>
              </w:rPr>
              <w:t xml:space="preserve"> </w:t>
            </w:r>
            <w:r>
              <w:rPr>
                <w:rFonts w:cs="Times New Roman"/>
              </w:rPr>
              <w:t>culpa</w:t>
            </w:r>
            <w:r>
              <w:rPr>
                <w:rFonts w:cs="Times New Roman"/>
                <w:spacing w:val="-8"/>
              </w:rPr>
              <w:t xml:space="preserve"> </w:t>
            </w:r>
            <w:r>
              <w:rPr>
                <w:rFonts w:cs="Times New Roman"/>
              </w:rPr>
              <w:t>da</w:t>
            </w:r>
            <w:r>
              <w:rPr>
                <w:rFonts w:cs="Times New Roman"/>
                <w:spacing w:val="-8"/>
              </w:rPr>
              <w:t xml:space="preserve"> </w:t>
            </w:r>
            <w:r>
              <w:rPr>
                <w:rFonts w:cs="Times New Roman"/>
              </w:rPr>
              <w:t>Contratada,</w:t>
            </w:r>
            <w:r>
              <w:rPr>
                <w:rFonts w:cs="Times New Roman"/>
                <w:spacing w:val="-7"/>
              </w:rPr>
              <w:t xml:space="preserve"> </w:t>
            </w:r>
            <w:r>
              <w:rPr>
                <w:rFonts w:cs="Times New Roman"/>
              </w:rPr>
              <w:t>esta somente terá direito ao valor das faturas relativas às parcelas do objeto efetivamente adimplidas até a data da rescisão do Contrato, após a compensação prevista na cláusula anterior</w:t>
            </w:r>
          </w:p>
          <w:p w14:paraId="55789414">
            <w:pPr>
              <w:tabs>
                <w:tab w:val="left" w:pos="-1600"/>
              </w:tabs>
              <w:spacing w:afterLines="35" w:line="240" w:lineRule="auto"/>
              <w:jc w:val="both"/>
              <w:rPr>
                <w:rFonts w:cs="Times New Roman"/>
              </w:rPr>
            </w:pPr>
            <w:r>
              <w:rPr>
                <w:rFonts w:cs="Times New Roman"/>
              </w:rPr>
              <w:t>No caso de extinção amigável, esta será reduzida a termo, tendo a Contratada direito aos pagamentos devidos pela execução do Contrato, conforme atestado em laudo da comissão especial designada para esse fim e à devolução da garantia.</w:t>
            </w:r>
          </w:p>
          <w:p w14:paraId="7FA800D4">
            <w:pPr>
              <w:tabs>
                <w:tab w:val="left" w:pos="-1600"/>
              </w:tabs>
              <w:spacing w:afterLines="35" w:line="240" w:lineRule="auto"/>
              <w:jc w:val="both"/>
              <w:rPr>
                <w:rFonts w:cs="Times New Roman"/>
              </w:rPr>
            </w:pPr>
            <w:r>
              <w:rPr>
                <w:rFonts w:cs="Times New Roman"/>
                <w:bCs/>
                <w:iCs/>
              </w:rPr>
              <w:t xml:space="preserve">Os casos de rescisão contratual serão formalmente motivados, assegurando-se à </w:t>
            </w:r>
            <w:r>
              <w:rPr>
                <w:rFonts w:cs="Times New Roman"/>
                <w:b/>
                <w:bCs/>
                <w:iCs/>
              </w:rPr>
              <w:t>Contratada</w:t>
            </w:r>
            <w:r>
              <w:rPr>
                <w:rFonts w:cs="Times New Roman"/>
                <w:bCs/>
                <w:iCs/>
              </w:rPr>
              <w:t xml:space="preserve"> o direito à prévia e ampla defesa.</w:t>
            </w:r>
          </w:p>
          <w:p w14:paraId="2BED1355">
            <w:pPr>
              <w:tabs>
                <w:tab w:val="left" w:pos="-1600"/>
              </w:tabs>
              <w:spacing w:afterLines="35" w:line="240" w:lineRule="auto"/>
              <w:jc w:val="both"/>
              <w:rPr>
                <w:rFonts w:cs="Times New Roman"/>
                <w:bCs/>
                <w:iCs/>
              </w:rPr>
            </w:pPr>
            <w:r>
              <w:rPr>
                <w:rFonts w:cs="Times New Roman"/>
                <w:bCs/>
                <w:iCs/>
              </w:rPr>
              <w:t xml:space="preserve">Em caso algum o </w:t>
            </w:r>
            <w:r>
              <w:rPr>
                <w:rFonts w:cs="Times New Roman"/>
                <w:b/>
                <w:bCs/>
                <w:iCs/>
                <w:lang w:val="pt-PT"/>
              </w:rPr>
              <w:t xml:space="preserve">Contratante </w:t>
            </w:r>
            <w:r>
              <w:rPr>
                <w:rFonts w:cs="Times New Roman"/>
                <w:bCs/>
                <w:iCs/>
              </w:rPr>
              <w:t xml:space="preserve">pagará indenização à </w:t>
            </w:r>
            <w:r>
              <w:rPr>
                <w:rFonts w:cs="Times New Roman"/>
                <w:b/>
                <w:bCs/>
                <w:iCs/>
              </w:rPr>
              <w:t>Contratada</w:t>
            </w:r>
            <w:r>
              <w:rPr>
                <w:rFonts w:cs="Times New Roman"/>
                <w:bCs/>
                <w:iCs/>
              </w:rPr>
              <w:t xml:space="preserve"> por encargos resultantes da Legislação Trabalhista Previdenciária, Fiscal e Comercial, bem como aqueles resultantes de atos ilícitos praticados pela </w:t>
            </w:r>
            <w:r>
              <w:rPr>
                <w:rFonts w:cs="Times New Roman"/>
                <w:b/>
                <w:bCs/>
                <w:iCs/>
              </w:rPr>
              <w:t>Contratada</w:t>
            </w:r>
            <w:r>
              <w:rPr>
                <w:rFonts w:cs="Times New Roman"/>
                <w:bCs/>
                <w:iCs/>
              </w:rPr>
              <w:t xml:space="preserve"> e seus prepostos a terceiros</w:t>
            </w:r>
          </w:p>
          <w:p w14:paraId="12B4B963">
            <w:pPr>
              <w:spacing w:before="120" w:after="120"/>
              <w:jc w:val="both"/>
              <w:rPr>
                <w:iCs/>
              </w:rPr>
            </w:pPr>
            <w:r>
              <w:rPr>
                <w:iCs/>
              </w:rPr>
              <w:t>O Contratado terá o prazo de 03 (três) dias úteis para interpor recurso, contados a partir da data de intimação ou da lavratura da ata, em face da rescisão do contrato, nas hipóteses previstas no inciso I do art. 138 da Lei nº 14.133/2021.</w:t>
            </w:r>
          </w:p>
          <w:p w14:paraId="1915EFC4">
            <w:pPr>
              <w:tabs>
                <w:tab w:val="left" w:pos="-1600"/>
              </w:tabs>
              <w:spacing w:afterLines="35" w:line="240" w:lineRule="auto"/>
              <w:jc w:val="both"/>
            </w:pPr>
            <w:r>
              <w:rPr>
                <w:iCs/>
                <w:lang w:val="pt-PT"/>
              </w:rPr>
              <w:t>57.6.2</w:t>
            </w:r>
            <w:r>
              <w:rPr>
                <w:iCs/>
              </w:rPr>
              <w:t xml:space="preserve"> Na hipótese de ocorrer a rescisão administrativa, </w:t>
            </w:r>
            <w:r>
              <w:rPr>
                <w:iCs/>
                <w:lang w:val="pt-PT"/>
              </w:rPr>
              <w:t>ao</w:t>
            </w:r>
            <w:r>
              <w:rPr>
                <w:iCs/>
              </w:rPr>
              <w:t xml:space="preserve"> Contratante são assegurados os direitos previstos no art. 138, inciso I e II, §§ 1° e 2°, da Lei 14.133/2021</w:t>
            </w:r>
          </w:p>
        </w:tc>
      </w:tr>
      <w:tr w14:paraId="2DB8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422" w:type="dxa"/>
            <w:shd w:val="clear" w:color="auto" w:fill="auto"/>
          </w:tcPr>
          <w:p w14:paraId="7C9079ED">
            <w:pPr>
              <w:pStyle w:val="83"/>
            </w:pPr>
            <w:r>
              <w:t>62</w:t>
            </w:r>
          </w:p>
          <w:p w14:paraId="7D25E077">
            <w:pPr>
              <w:pStyle w:val="83"/>
            </w:pPr>
          </w:p>
        </w:tc>
        <w:tc>
          <w:tcPr>
            <w:tcW w:w="7655" w:type="dxa"/>
            <w:shd w:val="clear" w:color="auto" w:fill="auto"/>
          </w:tcPr>
          <w:p w14:paraId="780608D6">
            <w:pPr>
              <w:spacing w:before="120" w:after="120"/>
              <w:jc w:val="both"/>
              <w:rPr>
                <w:b/>
              </w:rPr>
            </w:pPr>
            <w:r>
              <w:rPr>
                <w:b/>
              </w:rPr>
              <w:t>Foro competente</w:t>
            </w:r>
          </w:p>
          <w:p w14:paraId="22CA14C7">
            <w:pPr>
              <w:spacing w:before="120" w:after="120"/>
              <w:jc w:val="both"/>
              <w:rPr>
                <w:bCs/>
                <w:iCs/>
              </w:rPr>
            </w:pPr>
            <w:r>
              <w:t>62.1 Fica eleito o Foro de Dourados-MS para dirimir quaisquer dúvidas oriundas do presente Contrato, renunciando as partes desde já a qualquer outro, por mais especial ou privilegiado que seja.</w:t>
            </w:r>
          </w:p>
        </w:tc>
      </w:tr>
    </w:tbl>
    <w:p w14:paraId="6E499587">
      <w:pPr>
        <w:jc w:val="both"/>
        <w:rPr>
          <w:bCs/>
          <w:iCs/>
          <w:sz w:val="20"/>
          <w:szCs w:val="20"/>
        </w:rPr>
      </w:pPr>
      <w:r>
        <w:rPr>
          <w:bCs/>
          <w:iCs/>
          <w:sz w:val="20"/>
          <w:szCs w:val="20"/>
        </w:rPr>
        <w:br w:type="page"/>
      </w:r>
    </w:p>
    <w:p w14:paraId="789DA939">
      <w:pPr>
        <w:jc w:val="center"/>
        <w:rPr>
          <w:b/>
          <w:bCs/>
          <w:iCs/>
          <w:sz w:val="20"/>
          <w:szCs w:val="20"/>
          <w:lang w:val="pt-PT"/>
        </w:rPr>
      </w:pPr>
      <w:r>
        <w:rPr>
          <w:b/>
          <w:bCs/>
          <w:iCs/>
          <w:sz w:val="20"/>
          <w:szCs w:val="20"/>
          <w:lang w:val="pt-PT"/>
        </w:rPr>
        <w:t>ANEXOS</w:t>
      </w:r>
    </w:p>
    <w:p w14:paraId="7CC85A72">
      <w:pPr>
        <w:jc w:val="both"/>
        <w:rPr>
          <w:bCs/>
          <w:i/>
          <w:iCs/>
          <w:sz w:val="20"/>
          <w:szCs w:val="20"/>
          <w:highlight w:val="yellow"/>
        </w:rPr>
      </w:pPr>
      <w:r>
        <w:rPr>
          <w:bCs/>
          <w:i/>
          <w:iCs/>
          <w:sz w:val="20"/>
          <w:szCs w:val="20"/>
          <w:highlight w:val="yellow"/>
        </w:rPr>
        <w:t>[Inserir]</w:t>
      </w:r>
    </w:p>
    <w:p w14:paraId="3D2557F3">
      <w:pPr>
        <w:jc w:val="both"/>
        <w:rPr>
          <w:bCs/>
          <w:i/>
          <w:iCs/>
          <w:sz w:val="20"/>
          <w:szCs w:val="20"/>
          <w:highlight w:val="yellow"/>
        </w:rPr>
      </w:pPr>
      <w:r>
        <w:rPr>
          <w:bCs/>
          <w:i/>
          <w:iCs/>
          <w:sz w:val="20"/>
          <w:szCs w:val="20"/>
          <w:highlight w:val="yellow"/>
        </w:rPr>
        <w:t>(a) Matriz de Riscos, caso aplicável;</w:t>
      </w:r>
    </w:p>
    <w:p w14:paraId="3424A9A1">
      <w:pPr>
        <w:jc w:val="both"/>
        <w:rPr>
          <w:bCs/>
          <w:i/>
          <w:iCs/>
          <w:sz w:val="20"/>
          <w:szCs w:val="20"/>
          <w:highlight w:val="yellow"/>
        </w:rPr>
      </w:pPr>
      <w:r>
        <w:rPr>
          <w:bCs/>
          <w:i/>
          <w:iCs/>
          <w:sz w:val="20"/>
          <w:szCs w:val="20"/>
          <w:highlight w:val="yellow"/>
        </w:rPr>
        <w:t>(b) Planilha de Quantidades e Cronograma de Atividades (Físico-Financeiro); e</w:t>
      </w:r>
    </w:p>
    <w:p w14:paraId="2430960D">
      <w:pPr>
        <w:jc w:val="both"/>
        <w:rPr>
          <w:bCs/>
          <w:i/>
          <w:iCs/>
          <w:sz w:val="20"/>
          <w:szCs w:val="20"/>
          <w:highlight w:val="yellow"/>
        </w:rPr>
      </w:pPr>
      <w:r>
        <w:rPr>
          <w:bCs/>
          <w:i/>
          <w:iCs/>
          <w:sz w:val="20"/>
          <w:szCs w:val="20"/>
          <w:highlight w:val="yellow"/>
        </w:rPr>
        <w:t>(c) Apólices de Seguro;</w:t>
      </w:r>
    </w:p>
    <w:p w14:paraId="5BEFCB69">
      <w:pPr>
        <w:jc w:val="both"/>
        <w:rPr>
          <w:bCs/>
          <w:i/>
          <w:iCs/>
          <w:sz w:val="20"/>
          <w:szCs w:val="20"/>
          <w:highlight w:val="yellow"/>
        </w:rPr>
      </w:pPr>
      <w:r>
        <w:rPr>
          <w:bCs/>
          <w:i/>
          <w:iCs/>
          <w:sz w:val="20"/>
          <w:szCs w:val="20"/>
          <w:highlight w:val="yellow"/>
        </w:rPr>
        <w:t xml:space="preserve">(d) Garantia de Execução; </w:t>
      </w:r>
    </w:p>
    <w:p w14:paraId="6794DB2F">
      <w:pPr>
        <w:jc w:val="both"/>
        <w:rPr>
          <w:bCs/>
          <w:i/>
          <w:iCs/>
          <w:sz w:val="20"/>
          <w:szCs w:val="20"/>
          <w:highlight w:val="yellow"/>
        </w:rPr>
      </w:pPr>
      <w:r>
        <w:rPr>
          <w:bCs/>
          <w:i/>
          <w:iCs/>
          <w:sz w:val="20"/>
          <w:szCs w:val="20"/>
          <w:highlight w:val="yellow"/>
        </w:rPr>
        <w:t>(e) Plano de Gestão Ambiental e Social (PGAS) aprovado pelo Contratante;</w:t>
      </w:r>
    </w:p>
    <w:p w14:paraId="58A5BCB0">
      <w:pPr>
        <w:jc w:val="both"/>
        <w:rPr>
          <w:bCs/>
          <w:i/>
          <w:iCs/>
          <w:sz w:val="20"/>
          <w:szCs w:val="20"/>
          <w:highlight w:val="yellow"/>
        </w:rPr>
      </w:pPr>
      <w:r>
        <w:rPr>
          <w:bCs/>
          <w:i/>
          <w:iCs/>
          <w:sz w:val="20"/>
          <w:szCs w:val="20"/>
          <w:highlight w:val="yellow"/>
        </w:rPr>
        <w:t>(f) Código de Conduta do Contratado; e</w:t>
      </w:r>
    </w:p>
    <w:p w14:paraId="531E9F6D">
      <w:pPr>
        <w:jc w:val="both"/>
        <w:rPr>
          <w:bCs/>
          <w:i/>
          <w:iCs/>
          <w:sz w:val="20"/>
          <w:szCs w:val="20"/>
        </w:rPr>
      </w:pPr>
      <w:r>
        <w:rPr>
          <w:bCs/>
          <w:i/>
          <w:iCs/>
          <w:sz w:val="20"/>
          <w:szCs w:val="20"/>
          <w:highlight w:val="yellow"/>
        </w:rPr>
        <w:t>(c) qualquer documento relacionado como parte integrante do Contrato.</w:t>
      </w:r>
    </w:p>
    <w:p w14:paraId="663C6EA2">
      <w:pPr>
        <w:jc w:val="both"/>
        <w:rPr>
          <w:bCs/>
          <w:i/>
          <w:iCs/>
          <w:sz w:val="20"/>
          <w:szCs w:val="20"/>
        </w:rPr>
      </w:pPr>
    </w:p>
    <w:p w14:paraId="555AC942">
      <w:pPr>
        <w:jc w:val="both"/>
        <w:rPr>
          <w:bCs/>
          <w:i/>
          <w:iCs/>
          <w:sz w:val="20"/>
          <w:szCs w:val="20"/>
        </w:rPr>
      </w:pPr>
    </w:p>
    <w:p w14:paraId="6C2A60E1">
      <w:pPr>
        <w:jc w:val="both"/>
        <w:rPr>
          <w:bCs/>
          <w:i/>
          <w:iCs/>
          <w:sz w:val="20"/>
          <w:szCs w:val="20"/>
        </w:rPr>
      </w:pPr>
    </w:p>
    <w:p w14:paraId="5F9961C5">
      <w:pPr>
        <w:jc w:val="both"/>
        <w:rPr>
          <w:bCs/>
          <w:i/>
          <w:iCs/>
          <w:sz w:val="20"/>
          <w:szCs w:val="20"/>
        </w:rPr>
      </w:pPr>
    </w:p>
    <w:p w14:paraId="504F5C06">
      <w:pPr>
        <w:jc w:val="both"/>
        <w:rPr>
          <w:bCs/>
          <w:i/>
          <w:iCs/>
          <w:sz w:val="20"/>
          <w:szCs w:val="20"/>
        </w:rPr>
      </w:pPr>
    </w:p>
    <w:p w14:paraId="03A87CAF">
      <w:pPr>
        <w:jc w:val="both"/>
        <w:rPr>
          <w:bCs/>
          <w:i/>
          <w:iCs/>
          <w:sz w:val="20"/>
          <w:szCs w:val="20"/>
        </w:rPr>
      </w:pPr>
    </w:p>
    <w:p w14:paraId="6B878B2C">
      <w:pPr>
        <w:jc w:val="both"/>
        <w:rPr>
          <w:bCs/>
          <w:i/>
          <w:iCs/>
          <w:sz w:val="20"/>
          <w:szCs w:val="20"/>
        </w:rPr>
      </w:pPr>
    </w:p>
    <w:p w14:paraId="6F65EB40">
      <w:pPr>
        <w:jc w:val="both"/>
        <w:rPr>
          <w:bCs/>
          <w:i/>
          <w:iCs/>
          <w:sz w:val="20"/>
          <w:szCs w:val="20"/>
        </w:rPr>
      </w:pPr>
    </w:p>
    <w:p w14:paraId="190817E9">
      <w:pPr>
        <w:jc w:val="both"/>
        <w:rPr>
          <w:bCs/>
          <w:i/>
          <w:iCs/>
          <w:sz w:val="20"/>
          <w:szCs w:val="20"/>
        </w:rPr>
      </w:pPr>
    </w:p>
    <w:p w14:paraId="30E57418">
      <w:pPr>
        <w:jc w:val="both"/>
        <w:rPr>
          <w:bCs/>
          <w:i/>
          <w:iCs/>
          <w:sz w:val="20"/>
          <w:szCs w:val="20"/>
        </w:rPr>
      </w:pPr>
    </w:p>
    <w:p w14:paraId="5C6818B3">
      <w:pPr>
        <w:jc w:val="both"/>
        <w:rPr>
          <w:bCs/>
          <w:i/>
          <w:iCs/>
          <w:sz w:val="20"/>
          <w:szCs w:val="20"/>
        </w:rPr>
      </w:pPr>
    </w:p>
    <w:p w14:paraId="3420D2D4">
      <w:pPr>
        <w:jc w:val="both"/>
        <w:rPr>
          <w:bCs/>
          <w:i/>
          <w:iCs/>
          <w:sz w:val="20"/>
          <w:szCs w:val="20"/>
        </w:rPr>
      </w:pPr>
    </w:p>
    <w:p w14:paraId="0B3D2734">
      <w:pPr>
        <w:jc w:val="both"/>
        <w:rPr>
          <w:bCs/>
          <w:i/>
          <w:iCs/>
          <w:sz w:val="20"/>
          <w:szCs w:val="20"/>
        </w:rPr>
      </w:pPr>
    </w:p>
    <w:p w14:paraId="079EDCA1">
      <w:pPr>
        <w:jc w:val="both"/>
        <w:rPr>
          <w:bCs/>
          <w:i/>
          <w:iCs/>
          <w:sz w:val="20"/>
          <w:szCs w:val="20"/>
        </w:rPr>
      </w:pPr>
    </w:p>
    <w:p w14:paraId="595ADB66">
      <w:pPr>
        <w:jc w:val="both"/>
        <w:rPr>
          <w:bCs/>
          <w:i/>
          <w:iCs/>
          <w:sz w:val="20"/>
          <w:szCs w:val="20"/>
        </w:rPr>
      </w:pPr>
    </w:p>
    <w:p w14:paraId="477229B1">
      <w:pPr>
        <w:jc w:val="both"/>
        <w:rPr>
          <w:bCs/>
          <w:i/>
          <w:iCs/>
          <w:sz w:val="20"/>
          <w:szCs w:val="20"/>
        </w:rPr>
      </w:pPr>
    </w:p>
    <w:p w14:paraId="6E66A184">
      <w:pPr>
        <w:jc w:val="both"/>
        <w:rPr>
          <w:bCs/>
          <w:i/>
          <w:iCs/>
          <w:sz w:val="20"/>
          <w:szCs w:val="20"/>
        </w:rPr>
      </w:pPr>
    </w:p>
    <w:p w14:paraId="7C757DA1">
      <w:pPr>
        <w:jc w:val="both"/>
        <w:rPr>
          <w:bCs/>
          <w:i/>
          <w:iCs/>
          <w:sz w:val="20"/>
          <w:szCs w:val="20"/>
        </w:rPr>
      </w:pPr>
    </w:p>
    <w:p w14:paraId="6A4CB1E2">
      <w:pPr>
        <w:jc w:val="both"/>
        <w:rPr>
          <w:bCs/>
          <w:i/>
          <w:iCs/>
          <w:sz w:val="20"/>
          <w:szCs w:val="20"/>
        </w:rPr>
      </w:pPr>
    </w:p>
    <w:p w14:paraId="7F4B3D64">
      <w:pPr>
        <w:jc w:val="both"/>
        <w:rPr>
          <w:bCs/>
          <w:i/>
          <w:iCs/>
          <w:sz w:val="20"/>
          <w:szCs w:val="20"/>
        </w:rPr>
      </w:pPr>
    </w:p>
    <w:p w14:paraId="6D05AFD8">
      <w:pPr>
        <w:jc w:val="both"/>
        <w:rPr>
          <w:bCs/>
          <w:i/>
          <w:iCs/>
          <w:sz w:val="20"/>
          <w:szCs w:val="20"/>
        </w:rPr>
      </w:pPr>
    </w:p>
    <w:p w14:paraId="7AEFF559">
      <w:pPr>
        <w:jc w:val="both"/>
        <w:rPr>
          <w:bCs/>
          <w:i/>
          <w:iCs/>
          <w:sz w:val="20"/>
          <w:szCs w:val="20"/>
        </w:rPr>
      </w:pPr>
    </w:p>
    <w:p w14:paraId="0166A6E6">
      <w:pPr>
        <w:jc w:val="both"/>
        <w:rPr>
          <w:bCs/>
          <w:i/>
          <w:iCs/>
          <w:sz w:val="20"/>
          <w:szCs w:val="20"/>
        </w:rPr>
      </w:pPr>
    </w:p>
    <w:p w14:paraId="16851E56">
      <w:pPr>
        <w:jc w:val="both"/>
        <w:rPr>
          <w:bCs/>
          <w:i/>
          <w:iCs/>
          <w:sz w:val="20"/>
          <w:szCs w:val="20"/>
        </w:rPr>
      </w:pPr>
    </w:p>
    <w:p w14:paraId="0CD1BA5E">
      <w:pPr>
        <w:jc w:val="both"/>
        <w:rPr>
          <w:bCs/>
          <w:i/>
          <w:iCs/>
          <w:sz w:val="20"/>
          <w:szCs w:val="20"/>
        </w:rPr>
        <w:sectPr>
          <w:headerReference r:id="rId21"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6D520631">
      <w:pPr>
        <w:jc w:val="both"/>
        <w:rPr>
          <w:bCs/>
          <w:i/>
          <w:iCs/>
          <w:sz w:val="20"/>
          <w:szCs w:val="20"/>
        </w:rPr>
      </w:pPr>
    </w:p>
    <w:p w14:paraId="1A2074F3">
      <w:pPr>
        <w:pStyle w:val="87"/>
      </w:pPr>
      <w:r>
        <w:t>SEÇÃO 9 - FORMULÁRIOS DO CONTRATO</w:t>
      </w:r>
    </w:p>
    <w:p w14:paraId="6EAD2A71">
      <w:pPr>
        <w:jc w:val="center"/>
        <w:rPr>
          <w:b/>
          <w:bCs/>
          <w:sz w:val="20"/>
          <w:szCs w:val="20"/>
        </w:rPr>
      </w:pPr>
      <w:r>
        <w:rPr>
          <w:b/>
          <w:bCs/>
          <w:sz w:val="20"/>
          <w:szCs w:val="20"/>
        </w:rPr>
        <w:t>CONTEÚDO</w:t>
      </w:r>
    </w:p>
    <w:p w14:paraId="6EFEC812">
      <w:pPr>
        <w:pStyle w:val="23"/>
        <w:tabs>
          <w:tab w:val="right" w:leader="dot" w:pos="9062"/>
        </w:tabs>
        <w:rPr>
          <w:rFonts w:asciiTheme="minorHAnsi" w:hAnsiTheme="minorHAnsi" w:eastAsiaTheme="minorEastAsia"/>
          <w:sz w:val="24"/>
          <w:szCs w:val="24"/>
          <w:lang w:val="es-BO" w:eastAsia="es-BO"/>
        </w:rPr>
      </w:pPr>
      <w:r>
        <w:rPr>
          <w:b/>
          <w:bCs/>
          <w:sz w:val="20"/>
          <w:szCs w:val="20"/>
        </w:rPr>
        <w:fldChar w:fldCharType="begin"/>
      </w:r>
      <w:r>
        <w:rPr>
          <w:b/>
          <w:bCs/>
          <w:sz w:val="20"/>
          <w:szCs w:val="20"/>
        </w:rPr>
        <w:instrText xml:space="preserve"> TOC \h \z \t "Estilo55;4" </w:instrText>
      </w:r>
      <w:r>
        <w:rPr>
          <w:b/>
          <w:bCs/>
          <w:sz w:val="20"/>
          <w:szCs w:val="20"/>
        </w:rPr>
        <w:fldChar w:fldCharType="separate"/>
      </w:r>
      <w:r>
        <w:fldChar w:fldCharType="begin"/>
      </w:r>
      <w:r>
        <w:instrText xml:space="preserve"> HYPERLINK \l "_Toc174531482" </w:instrText>
      </w:r>
      <w:r>
        <w:fldChar w:fldCharType="separate"/>
      </w:r>
      <w:r>
        <w:rPr>
          <w:rStyle w:val="16"/>
        </w:rPr>
        <w:t>9.1 CARTA DE ACEITAÇÃO</w:t>
      </w:r>
      <w:r>
        <w:tab/>
      </w:r>
      <w:r>
        <w:fldChar w:fldCharType="begin"/>
      </w:r>
      <w:r>
        <w:instrText xml:space="preserve"> PAGEREF _Toc174531482 \h </w:instrText>
      </w:r>
      <w:r>
        <w:fldChar w:fldCharType="separate"/>
      </w:r>
      <w:r>
        <w:t>147</w:t>
      </w:r>
      <w:r>
        <w:fldChar w:fldCharType="end"/>
      </w:r>
      <w:r>
        <w:fldChar w:fldCharType="end"/>
      </w:r>
      <w:r>
        <w:t>9</w:t>
      </w:r>
    </w:p>
    <w:p w14:paraId="034F3825">
      <w:pPr>
        <w:pStyle w:val="23"/>
        <w:tabs>
          <w:tab w:val="right" w:leader="dot" w:pos="9062"/>
        </w:tabs>
        <w:rPr>
          <w:rFonts w:asciiTheme="minorHAnsi" w:hAnsiTheme="minorHAnsi" w:eastAsiaTheme="minorEastAsia"/>
          <w:sz w:val="24"/>
          <w:szCs w:val="24"/>
          <w:lang w:val="es-BO" w:eastAsia="es-BO"/>
        </w:rPr>
      </w:pPr>
      <w:r>
        <w:fldChar w:fldCharType="begin"/>
      </w:r>
      <w:r>
        <w:instrText xml:space="preserve"> HYPERLINK \l "_Toc174531483" </w:instrText>
      </w:r>
      <w:r>
        <w:fldChar w:fldCharType="separate"/>
      </w:r>
      <w:r>
        <w:rPr>
          <w:rStyle w:val="16"/>
        </w:rPr>
        <w:t>9.2 TERMO DE CONTRATO</w:t>
      </w:r>
      <w:r>
        <w:tab/>
      </w:r>
      <w:r>
        <w:fldChar w:fldCharType="begin"/>
      </w:r>
      <w:r>
        <w:instrText xml:space="preserve"> PAGEREF _Toc174531483 \h </w:instrText>
      </w:r>
      <w:r>
        <w:fldChar w:fldCharType="separate"/>
      </w:r>
      <w:r>
        <w:t>148</w:t>
      </w:r>
      <w:r>
        <w:fldChar w:fldCharType="end"/>
      </w:r>
      <w:r>
        <w:fldChar w:fldCharType="end"/>
      </w:r>
      <w:r>
        <w:t>0</w:t>
      </w:r>
    </w:p>
    <w:p w14:paraId="1A6143EF">
      <w:pPr>
        <w:rPr>
          <w:bCs/>
          <w:i/>
          <w:iCs/>
          <w:sz w:val="20"/>
          <w:szCs w:val="20"/>
        </w:rPr>
        <w:sectPr>
          <w:headerReference r:id="rId22"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r>
        <w:rPr>
          <w:b/>
          <w:bCs/>
          <w:sz w:val="20"/>
          <w:szCs w:val="20"/>
        </w:rPr>
        <w:fldChar w:fldCharType="end"/>
      </w:r>
      <w:r>
        <w:rPr>
          <w:b/>
          <w:bCs/>
          <w:sz w:val="20"/>
          <w:szCs w:val="20"/>
        </w:rPr>
        <w:br w:type="page"/>
      </w:r>
    </w:p>
    <w:p w14:paraId="5B85BE08">
      <w:pPr>
        <w:pStyle w:val="85"/>
      </w:pPr>
      <w:bookmarkStart w:id="672" w:name="_Toc174531482"/>
      <w:bookmarkStart w:id="673" w:name="_Toc400964556"/>
      <w:r>
        <w:t>9.1 CARTA DE ACEITAÇÃO</w:t>
      </w:r>
      <w:bookmarkEnd w:id="672"/>
    </w:p>
    <w:p w14:paraId="6ADF5398">
      <w:pPr>
        <w:rPr>
          <w:bCs/>
          <w:i/>
          <w:iCs/>
          <w:sz w:val="20"/>
          <w:szCs w:val="20"/>
        </w:rPr>
      </w:pPr>
      <w:r>
        <w:rPr>
          <w:bCs/>
          <w:i/>
          <w:iCs/>
          <w:sz w:val="20"/>
          <w:szCs w:val="20"/>
          <w:highlight w:val="yellow"/>
        </w:rPr>
        <w:t>[papel timbrado do Contratante]</w:t>
      </w:r>
    </w:p>
    <w:p w14:paraId="4638E522">
      <w:pPr>
        <w:rPr>
          <w:bCs/>
          <w:iCs/>
          <w:sz w:val="20"/>
          <w:szCs w:val="20"/>
        </w:rPr>
      </w:pPr>
      <w:r>
        <w:rPr>
          <w:bCs/>
          <w:iCs/>
          <w:sz w:val="20"/>
          <w:szCs w:val="20"/>
        </w:rPr>
        <w:t xml:space="preserve">___________________ </w:t>
      </w:r>
      <w:r>
        <w:rPr>
          <w:bCs/>
          <w:i/>
          <w:iCs/>
          <w:sz w:val="20"/>
          <w:szCs w:val="20"/>
          <w:highlight w:val="yellow"/>
        </w:rPr>
        <w:t>[data]</w:t>
      </w:r>
    </w:p>
    <w:p w14:paraId="7A4EE21F">
      <w:pPr>
        <w:rPr>
          <w:bCs/>
          <w:i/>
          <w:iCs/>
          <w:sz w:val="20"/>
          <w:szCs w:val="20"/>
        </w:rPr>
      </w:pPr>
      <w:r>
        <w:rPr>
          <w:bCs/>
          <w:iCs/>
          <w:sz w:val="20"/>
          <w:szCs w:val="20"/>
        </w:rPr>
        <w:t xml:space="preserve">À:_______________________________ </w:t>
      </w:r>
      <w:r>
        <w:rPr>
          <w:bCs/>
          <w:i/>
          <w:iCs/>
          <w:sz w:val="20"/>
          <w:szCs w:val="20"/>
          <w:highlight w:val="yellow"/>
        </w:rPr>
        <w:t>[nome e endereço do concorrente vencedor]</w:t>
      </w:r>
    </w:p>
    <w:p w14:paraId="727C7700">
      <w:pPr>
        <w:rPr>
          <w:bCs/>
          <w:iCs/>
          <w:sz w:val="20"/>
          <w:szCs w:val="20"/>
        </w:rPr>
      </w:pPr>
    </w:p>
    <w:p w14:paraId="7E525637">
      <w:pPr>
        <w:jc w:val="both"/>
        <w:rPr>
          <w:bCs/>
          <w:iCs/>
          <w:sz w:val="20"/>
          <w:szCs w:val="20"/>
        </w:rPr>
      </w:pPr>
      <w:r>
        <w:rPr>
          <w:bCs/>
          <w:iCs/>
          <w:sz w:val="20"/>
          <w:szCs w:val="20"/>
        </w:rPr>
        <w:t>Prezados Senhores,</w:t>
      </w:r>
    </w:p>
    <w:p w14:paraId="151ECACA">
      <w:pPr>
        <w:jc w:val="both"/>
        <w:rPr>
          <w:bCs/>
          <w:iCs/>
          <w:sz w:val="20"/>
          <w:szCs w:val="20"/>
        </w:rPr>
      </w:pPr>
      <w:r>
        <w:rPr>
          <w:bCs/>
          <w:iCs/>
          <w:sz w:val="20"/>
          <w:szCs w:val="20"/>
        </w:rPr>
        <w:t xml:space="preserve">Vimos pela presente notificá-los de que sua proposta datada de </w:t>
      </w:r>
      <w:r>
        <w:rPr>
          <w:bCs/>
          <w:i/>
          <w:sz w:val="20"/>
          <w:szCs w:val="20"/>
          <w:highlight w:val="yellow"/>
        </w:rPr>
        <w:t>[indicar]</w:t>
      </w:r>
      <w:r>
        <w:rPr>
          <w:bCs/>
          <w:iCs/>
          <w:sz w:val="20"/>
          <w:szCs w:val="20"/>
        </w:rPr>
        <w:t xml:space="preserve"> para a execução das Obras </w:t>
      </w:r>
      <w:r>
        <w:rPr>
          <w:bCs/>
          <w:i/>
          <w:iCs/>
          <w:sz w:val="20"/>
          <w:szCs w:val="20"/>
          <w:highlight w:val="yellow"/>
        </w:rPr>
        <w:t>[nome do projeto e da Obra específica, conforme mencionado nos Dados do Contrato]</w:t>
      </w:r>
      <w:r>
        <w:rPr>
          <w:bCs/>
          <w:iCs/>
          <w:sz w:val="20"/>
          <w:szCs w:val="20"/>
        </w:rPr>
        <w:t xml:space="preserve"> pelo preço de </w:t>
      </w:r>
      <w:r>
        <w:rPr>
          <w:bCs/>
          <w:i/>
          <w:iCs/>
          <w:sz w:val="20"/>
          <w:szCs w:val="20"/>
          <w:highlight w:val="yellow"/>
        </w:rPr>
        <w:t>[montante em números e por extenso]</w:t>
      </w:r>
      <w:r>
        <w:rPr>
          <w:bCs/>
          <w:iCs/>
          <w:sz w:val="20"/>
          <w:szCs w:val="20"/>
        </w:rPr>
        <w:t>, calculado segundo as Instruções aos Concorrentes (IAC) foi por nós aceita.</w:t>
      </w:r>
    </w:p>
    <w:p w14:paraId="4AB7BFCF">
      <w:pPr>
        <w:jc w:val="both"/>
        <w:rPr>
          <w:bCs/>
          <w:iCs/>
          <w:sz w:val="20"/>
          <w:szCs w:val="20"/>
        </w:rPr>
      </w:pPr>
      <w:r>
        <w:rPr>
          <w:bCs/>
          <w:iCs/>
          <w:sz w:val="20"/>
          <w:szCs w:val="20"/>
        </w:rPr>
        <w:t xml:space="preserve">A Licença de Instalação (LI) foi obtida pelo Contratante </w:t>
      </w:r>
      <w:r>
        <w:rPr>
          <w:bCs/>
          <w:i/>
          <w:iCs/>
          <w:sz w:val="20"/>
          <w:szCs w:val="20"/>
          <w:highlight w:val="yellow"/>
        </w:rPr>
        <w:t>[ou indicar a situação da mesma e de outras necessárias]</w:t>
      </w:r>
      <w:r>
        <w:rPr>
          <w:bCs/>
          <w:iCs/>
          <w:sz w:val="20"/>
          <w:szCs w:val="20"/>
        </w:rPr>
        <w:t>.</w:t>
      </w:r>
    </w:p>
    <w:p w14:paraId="0B505319">
      <w:pPr>
        <w:jc w:val="both"/>
        <w:rPr>
          <w:bCs/>
          <w:iCs/>
          <w:sz w:val="20"/>
          <w:szCs w:val="20"/>
        </w:rPr>
      </w:pPr>
      <w:bookmarkStart w:id="674" w:name="_Hlk520363567"/>
      <w:r>
        <w:rPr>
          <w:bCs/>
          <w:iCs/>
          <w:sz w:val="20"/>
          <w:szCs w:val="20"/>
        </w:rPr>
        <w:t>Informamos que deverão ser apresentados nas datas abaixo especificadas os seguintes documentos:</w:t>
      </w:r>
    </w:p>
    <w:bookmarkEnd w:id="674"/>
    <w:p w14:paraId="47AD6A37">
      <w:pPr>
        <w:ind w:left="426" w:hanging="284"/>
        <w:jc w:val="both"/>
        <w:rPr>
          <w:bCs/>
          <w:iCs/>
          <w:sz w:val="20"/>
          <w:szCs w:val="20"/>
        </w:rPr>
      </w:pPr>
      <w:r>
        <w:rPr>
          <w:bCs/>
          <w:iCs/>
          <w:sz w:val="20"/>
          <w:szCs w:val="20"/>
        </w:rPr>
        <w:t>(a)</w:t>
      </w:r>
      <w:r>
        <w:rPr>
          <w:sz w:val="20"/>
          <w:szCs w:val="20"/>
        </w:rPr>
        <w:tab/>
      </w:r>
      <w:r>
        <w:rPr>
          <w:bCs/>
          <w:iCs/>
          <w:sz w:val="20"/>
          <w:szCs w:val="20"/>
        </w:rPr>
        <w:t xml:space="preserve">o Seguro (cláusula 13 das CGC): </w:t>
      </w:r>
      <w:r>
        <w:rPr>
          <w:bCs/>
          <w:i/>
          <w:iCs/>
          <w:sz w:val="20"/>
          <w:szCs w:val="20"/>
          <w:highlight w:val="yellow"/>
        </w:rPr>
        <w:t>[indicar data de apresentação]</w:t>
      </w:r>
      <w:r>
        <w:rPr>
          <w:bCs/>
          <w:iCs/>
          <w:sz w:val="20"/>
          <w:szCs w:val="20"/>
        </w:rPr>
        <w:t>;</w:t>
      </w:r>
    </w:p>
    <w:p w14:paraId="7C59FB39">
      <w:pPr>
        <w:ind w:left="426" w:hanging="284"/>
        <w:jc w:val="both"/>
        <w:rPr>
          <w:bCs/>
          <w:iCs/>
          <w:sz w:val="20"/>
          <w:szCs w:val="20"/>
        </w:rPr>
      </w:pPr>
      <w:bookmarkStart w:id="675" w:name="_Hlk84583935"/>
      <w:r>
        <w:rPr>
          <w:bCs/>
          <w:iCs/>
          <w:sz w:val="20"/>
          <w:szCs w:val="20"/>
        </w:rPr>
        <w:t xml:space="preserve">(b) a Garantia de Execução (cláusula 50 das CGC): </w:t>
      </w:r>
      <w:r>
        <w:rPr>
          <w:bCs/>
          <w:i/>
          <w:sz w:val="20"/>
          <w:szCs w:val="20"/>
          <w:highlight w:val="yellow"/>
        </w:rPr>
        <w:t>[indicar data de apresentação, sendo um pré-requisito para a emissão da Ordem de Serviço (OS)]</w:t>
      </w:r>
      <w:r>
        <w:rPr>
          <w:bCs/>
          <w:iCs/>
          <w:sz w:val="20"/>
          <w:szCs w:val="20"/>
        </w:rPr>
        <w:t>;</w:t>
      </w:r>
    </w:p>
    <w:bookmarkEnd w:id="675"/>
    <w:p w14:paraId="0A14B391">
      <w:pPr>
        <w:ind w:left="426" w:hanging="284"/>
        <w:jc w:val="both"/>
        <w:rPr>
          <w:bCs/>
          <w:iCs/>
          <w:sz w:val="20"/>
          <w:szCs w:val="20"/>
        </w:rPr>
      </w:pPr>
      <w:r>
        <w:rPr>
          <w:bCs/>
          <w:iCs/>
          <w:sz w:val="20"/>
          <w:szCs w:val="20"/>
        </w:rPr>
        <w:t>(c) o Plano de Gestão Ambiental e Social (PGAS), em caráter preliminar (subcláusula 16.7 (a) das CGC):</w:t>
      </w:r>
      <w:r>
        <w:rPr>
          <w:bCs/>
          <w:i/>
          <w:iCs/>
          <w:sz w:val="20"/>
          <w:szCs w:val="20"/>
        </w:rPr>
        <w:t xml:space="preserve"> </w:t>
      </w:r>
      <w:r>
        <w:rPr>
          <w:bCs/>
          <w:i/>
          <w:iCs/>
          <w:sz w:val="20"/>
          <w:szCs w:val="20"/>
          <w:highlight w:val="yellow"/>
        </w:rPr>
        <w:t>[indicar data de apresentação]</w:t>
      </w:r>
      <w:r>
        <w:rPr>
          <w:bCs/>
          <w:i/>
          <w:iCs/>
          <w:sz w:val="20"/>
          <w:szCs w:val="20"/>
        </w:rPr>
        <w:t xml:space="preserve">; </w:t>
      </w:r>
      <w:r>
        <w:rPr>
          <w:bCs/>
          <w:iCs/>
          <w:sz w:val="20"/>
          <w:szCs w:val="20"/>
        </w:rPr>
        <w:t>e</w:t>
      </w:r>
    </w:p>
    <w:p w14:paraId="142CAAEC">
      <w:pPr>
        <w:ind w:left="426" w:hanging="284"/>
        <w:jc w:val="both"/>
        <w:rPr>
          <w:bCs/>
          <w:iCs/>
          <w:sz w:val="20"/>
          <w:szCs w:val="20"/>
        </w:rPr>
      </w:pPr>
      <w:r>
        <w:rPr>
          <w:bCs/>
          <w:iCs/>
          <w:sz w:val="20"/>
          <w:szCs w:val="20"/>
        </w:rPr>
        <w:t xml:space="preserve">(d) o Código de Conduta (subcláusula 16.9 das CGC): </w:t>
      </w:r>
      <w:r>
        <w:rPr>
          <w:bCs/>
          <w:i/>
          <w:iCs/>
          <w:sz w:val="20"/>
          <w:szCs w:val="20"/>
          <w:highlight w:val="yellow"/>
        </w:rPr>
        <w:t>[indicar data de apresentação]</w:t>
      </w:r>
      <w:r>
        <w:rPr>
          <w:bCs/>
          <w:i/>
          <w:iCs/>
          <w:sz w:val="20"/>
          <w:szCs w:val="20"/>
        </w:rPr>
        <w:t>.</w:t>
      </w:r>
    </w:p>
    <w:p w14:paraId="2044B391">
      <w:pPr>
        <w:jc w:val="both"/>
        <w:rPr>
          <w:bCs/>
          <w:iCs/>
          <w:sz w:val="20"/>
          <w:szCs w:val="20"/>
        </w:rPr>
      </w:pPr>
      <w:r>
        <w:rPr>
          <w:bCs/>
          <w:iCs/>
          <w:sz w:val="20"/>
          <w:szCs w:val="20"/>
        </w:rPr>
        <w:t>Solicitamos a V.S.</w:t>
      </w:r>
      <w:r>
        <w:rPr>
          <w:sz w:val="20"/>
          <w:szCs w:val="20"/>
        </w:rPr>
        <w:t xml:space="preserve">as </w:t>
      </w:r>
      <w:r>
        <w:rPr>
          <w:bCs/>
          <w:iCs/>
          <w:sz w:val="20"/>
          <w:szCs w:val="20"/>
        </w:rPr>
        <w:t>que assinem e devolvam os Documentos do Contrato anexados e que iniciem as referidas Obras, após a emissão da Ordem de Serviço (OS), de acordo com os documentos contratuais.</w:t>
      </w:r>
    </w:p>
    <w:p w14:paraId="645C3AA1">
      <w:pPr>
        <w:jc w:val="both"/>
        <w:rPr>
          <w:bCs/>
          <w:iCs/>
          <w:sz w:val="20"/>
          <w:szCs w:val="20"/>
        </w:rPr>
      </w:pPr>
      <w:r>
        <w:rPr>
          <w:bCs/>
          <w:iCs/>
          <w:sz w:val="20"/>
          <w:szCs w:val="20"/>
        </w:rPr>
        <w:t>Atenciosamente,</w:t>
      </w:r>
    </w:p>
    <w:p w14:paraId="5620E409">
      <w:pPr>
        <w:rPr>
          <w:bCs/>
          <w:iCs/>
          <w:sz w:val="20"/>
          <w:szCs w:val="20"/>
        </w:rPr>
      </w:pPr>
    </w:p>
    <w:p w14:paraId="2AB5F8FD">
      <w:pPr>
        <w:rPr>
          <w:bCs/>
          <w:iCs/>
          <w:sz w:val="20"/>
          <w:szCs w:val="20"/>
        </w:rPr>
      </w:pPr>
      <w:r>
        <w:rPr>
          <w:bCs/>
          <w:iCs/>
          <w:sz w:val="20"/>
          <w:szCs w:val="20"/>
        </w:rPr>
        <w:t>___________________________________________</w:t>
      </w:r>
    </w:p>
    <w:p w14:paraId="6EBFF359">
      <w:pPr>
        <w:rPr>
          <w:bCs/>
          <w:i/>
          <w:iCs/>
          <w:sz w:val="20"/>
          <w:szCs w:val="20"/>
        </w:rPr>
      </w:pPr>
      <w:r>
        <w:rPr>
          <w:bCs/>
          <w:i/>
          <w:iCs/>
          <w:sz w:val="20"/>
          <w:szCs w:val="20"/>
          <w:highlight w:val="yellow"/>
        </w:rPr>
        <w:t>[assinatura e título do signatário]</w:t>
      </w:r>
    </w:p>
    <w:p w14:paraId="4D5171D8">
      <w:pPr>
        <w:rPr>
          <w:bCs/>
          <w:iCs/>
          <w:sz w:val="20"/>
          <w:szCs w:val="20"/>
        </w:rPr>
      </w:pPr>
    </w:p>
    <w:p w14:paraId="2ABE2091">
      <w:pPr>
        <w:rPr>
          <w:bCs/>
          <w:iCs/>
          <w:sz w:val="20"/>
          <w:szCs w:val="20"/>
        </w:rPr>
      </w:pPr>
      <w:r>
        <w:rPr>
          <w:bCs/>
          <w:iCs/>
          <w:sz w:val="20"/>
          <w:szCs w:val="20"/>
        </w:rPr>
        <w:t>____________________________________________</w:t>
      </w:r>
    </w:p>
    <w:p w14:paraId="3698F724">
      <w:pPr>
        <w:rPr>
          <w:bCs/>
          <w:i/>
          <w:iCs/>
          <w:sz w:val="20"/>
          <w:szCs w:val="20"/>
        </w:rPr>
      </w:pPr>
      <w:r>
        <w:rPr>
          <w:bCs/>
          <w:i/>
          <w:iCs/>
          <w:sz w:val="20"/>
          <w:szCs w:val="20"/>
          <w:highlight w:val="yellow"/>
        </w:rPr>
        <w:t>[anexar o Contrato: (a) Termo do Contrato, (b) Condições Gerais do Contrato (CGC), (c) Dados do Contrato (DDC) e (d) Apêndices]</w:t>
      </w:r>
    </w:p>
    <w:p w14:paraId="7E93377D"/>
    <w:p w14:paraId="727F8193">
      <w:pPr>
        <w:jc w:val="center"/>
        <w:rPr>
          <w:b/>
          <w:bCs/>
          <w:sz w:val="20"/>
          <w:szCs w:val="20"/>
        </w:rPr>
      </w:pPr>
      <w:r>
        <w:rPr>
          <w:b/>
          <w:bCs/>
          <w:sz w:val="20"/>
          <w:szCs w:val="20"/>
        </w:rPr>
        <w:br w:type="page"/>
      </w:r>
    </w:p>
    <w:p w14:paraId="39F16D98">
      <w:pPr>
        <w:pStyle w:val="85"/>
      </w:pPr>
      <w:bookmarkStart w:id="676" w:name="_Toc174531483"/>
      <w:r>
        <w:t>9.2 TERMO DE CONTRATO</w:t>
      </w:r>
      <w:bookmarkEnd w:id="673"/>
      <w:bookmarkEnd w:id="676"/>
    </w:p>
    <w:p w14:paraId="21CAF873">
      <w:pPr>
        <w:jc w:val="both"/>
        <w:rPr>
          <w:bCs/>
          <w:i/>
          <w:iCs/>
          <w:sz w:val="20"/>
          <w:szCs w:val="20"/>
        </w:rPr>
      </w:pPr>
      <w:r>
        <w:rPr>
          <w:bCs/>
          <w:i/>
          <w:iCs/>
          <w:sz w:val="20"/>
          <w:szCs w:val="20"/>
          <w:highlight w:val="yellow"/>
        </w:rPr>
        <w:t>[o Contrato deverá incorporar qualquer correção ou modificação da proposta resultante da correção de erros (subcláusula 30.1 (a) das IAC), ajuste de preços durante o processo de avaliação (subcláusula 32.2 das IAC), descontos ou quaisquer outras mudanças mutuamente acordadas permitidas nas Condições do Contrato, como mudanças no pessoal da equipe chave, subempreiteiros, cronograma etc.]</w:t>
      </w:r>
    </w:p>
    <w:tbl>
      <w:tblPr>
        <w:tblStyle w:val="12"/>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4951"/>
        <w:gridCol w:w="3979"/>
      </w:tblGrid>
      <w:tr w14:paraId="7579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764" w:hRule="atLeast"/>
          <w:jc w:val="center"/>
        </w:trPr>
        <w:tc>
          <w:tcPr>
            <w:tcW w:w="4951" w:type="dxa"/>
            <w:tcBorders>
              <w:top w:val="single" w:color="auto" w:sz="4" w:space="0"/>
              <w:left w:val="single" w:color="auto" w:sz="4" w:space="0"/>
              <w:bottom w:val="single" w:color="auto" w:sz="4" w:space="0"/>
              <w:right w:val="single" w:color="auto" w:sz="4" w:space="0"/>
            </w:tcBorders>
          </w:tcPr>
          <w:p w14:paraId="11580DDC">
            <w:pPr>
              <w:spacing w:before="120" w:after="120"/>
              <w:jc w:val="both"/>
              <w:rPr>
                <w:bCs/>
                <w:i/>
                <w:iCs/>
                <w:sz w:val="20"/>
                <w:szCs w:val="20"/>
              </w:rPr>
            </w:pPr>
            <w:r>
              <w:rPr>
                <w:bCs/>
                <w:iCs/>
                <w:sz w:val="20"/>
                <w:szCs w:val="20"/>
              </w:rPr>
              <w:t>CONTRATO N</w:t>
            </w:r>
            <w:r>
              <w:rPr>
                <w:bCs/>
                <w:iCs/>
                <w:sz w:val="20"/>
                <w:szCs w:val="20"/>
                <w:u w:val="single"/>
                <w:vertAlign w:val="superscript"/>
              </w:rPr>
              <w:t>o</w:t>
            </w:r>
            <w:r>
              <w:rPr>
                <w:bCs/>
                <w:iCs/>
                <w:sz w:val="20"/>
                <w:szCs w:val="20"/>
              </w:rPr>
              <w:t xml:space="preserve"> </w:t>
            </w:r>
            <w:r>
              <w:rPr>
                <w:bCs/>
                <w:i/>
                <w:iCs/>
                <w:sz w:val="20"/>
                <w:szCs w:val="20"/>
                <w:highlight w:val="yellow"/>
              </w:rPr>
              <w:t>[inserir número do Contrato]</w:t>
            </w:r>
          </w:p>
        </w:tc>
        <w:tc>
          <w:tcPr>
            <w:tcW w:w="3979" w:type="dxa"/>
            <w:tcBorders>
              <w:top w:val="single" w:color="auto" w:sz="4" w:space="0"/>
              <w:left w:val="single" w:color="auto" w:sz="4" w:space="0"/>
              <w:bottom w:val="single" w:color="auto" w:sz="4" w:space="0"/>
              <w:right w:val="single" w:color="auto" w:sz="4" w:space="0"/>
            </w:tcBorders>
          </w:tcPr>
          <w:p w14:paraId="3E32571F">
            <w:pPr>
              <w:spacing w:before="120" w:after="120"/>
              <w:jc w:val="both"/>
              <w:rPr>
                <w:bCs/>
                <w:iCs/>
                <w:sz w:val="20"/>
                <w:szCs w:val="20"/>
              </w:rPr>
            </w:pPr>
            <w:r>
              <w:rPr>
                <w:bCs/>
                <w:iCs/>
                <w:sz w:val="20"/>
                <w:szCs w:val="20"/>
              </w:rPr>
              <w:t xml:space="preserve">DATA: </w:t>
            </w:r>
            <w:r>
              <w:rPr>
                <w:bCs/>
                <w:i/>
                <w:iCs/>
                <w:sz w:val="20"/>
                <w:szCs w:val="20"/>
                <w:highlight w:val="yellow"/>
              </w:rPr>
              <w:t>[inserir data do Contrato]</w:t>
            </w:r>
          </w:p>
        </w:tc>
      </w:tr>
      <w:tr w14:paraId="055B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12" w:hRule="atLeast"/>
          <w:jc w:val="center"/>
        </w:trPr>
        <w:tc>
          <w:tcPr>
            <w:tcW w:w="4951" w:type="dxa"/>
            <w:tcBorders>
              <w:top w:val="single" w:color="auto" w:sz="4" w:space="0"/>
              <w:left w:val="single" w:color="auto" w:sz="4" w:space="0"/>
              <w:bottom w:val="single" w:color="auto" w:sz="4" w:space="0"/>
              <w:right w:val="single" w:color="auto" w:sz="4" w:space="0"/>
            </w:tcBorders>
          </w:tcPr>
          <w:p w14:paraId="27F20B9E">
            <w:pPr>
              <w:spacing w:before="120" w:after="120"/>
              <w:jc w:val="both"/>
              <w:rPr>
                <w:bCs/>
                <w:iCs/>
                <w:sz w:val="20"/>
                <w:szCs w:val="20"/>
              </w:rPr>
            </w:pPr>
            <w:r>
              <w:rPr>
                <w:bCs/>
                <w:iCs/>
                <w:sz w:val="20"/>
                <w:szCs w:val="20"/>
              </w:rPr>
              <w:t>Processo N</w:t>
            </w:r>
            <w:r>
              <w:rPr>
                <w:bCs/>
                <w:iCs/>
                <w:sz w:val="20"/>
                <w:szCs w:val="20"/>
                <w:u w:val="single"/>
                <w:vertAlign w:val="superscript"/>
              </w:rPr>
              <w:t>o</w:t>
            </w:r>
            <w:r>
              <w:rPr>
                <w:bCs/>
                <w:iCs/>
                <w:sz w:val="20"/>
                <w:szCs w:val="20"/>
              </w:rPr>
              <w:t xml:space="preserve">: </w:t>
            </w:r>
            <w:r>
              <w:rPr>
                <w:bCs/>
                <w:iCs/>
                <w:sz w:val="20"/>
                <w:szCs w:val="20"/>
                <w:highlight w:val="yellow"/>
              </w:rPr>
              <w:t>[</w:t>
            </w:r>
            <w:r>
              <w:rPr>
                <w:bCs/>
                <w:i/>
                <w:iCs/>
                <w:sz w:val="20"/>
                <w:szCs w:val="20"/>
                <w:highlight w:val="yellow"/>
              </w:rPr>
              <w:t>inserir número]</w:t>
            </w:r>
            <w:r>
              <w:rPr>
                <w:bCs/>
                <w:i/>
                <w:iCs/>
                <w:sz w:val="20"/>
                <w:szCs w:val="20"/>
              </w:rPr>
              <w:t xml:space="preserve"> </w:t>
            </w:r>
            <w:r>
              <w:rPr>
                <w:bCs/>
                <w:iCs/>
                <w:sz w:val="20"/>
                <w:szCs w:val="20"/>
              </w:rPr>
              <w:t xml:space="preserve">de </w:t>
            </w:r>
            <w:r>
              <w:rPr>
                <w:bCs/>
                <w:i/>
                <w:iCs/>
                <w:sz w:val="20"/>
                <w:szCs w:val="20"/>
                <w:highlight w:val="yellow"/>
              </w:rPr>
              <w:t>[inserir data]</w:t>
            </w:r>
          </w:p>
        </w:tc>
        <w:tc>
          <w:tcPr>
            <w:tcW w:w="3979" w:type="dxa"/>
            <w:tcBorders>
              <w:top w:val="single" w:color="auto" w:sz="4" w:space="0"/>
              <w:left w:val="single" w:color="auto" w:sz="4" w:space="0"/>
              <w:bottom w:val="single" w:color="auto" w:sz="4" w:space="0"/>
              <w:right w:val="single" w:color="auto" w:sz="4" w:space="0"/>
            </w:tcBorders>
          </w:tcPr>
          <w:p w14:paraId="4F3862AF">
            <w:pPr>
              <w:spacing w:before="120" w:after="120"/>
              <w:jc w:val="both"/>
              <w:rPr>
                <w:bCs/>
                <w:iCs/>
                <w:sz w:val="20"/>
                <w:szCs w:val="20"/>
              </w:rPr>
            </w:pPr>
            <w:r>
              <w:rPr>
                <w:bCs/>
                <w:iCs/>
                <w:sz w:val="20"/>
                <w:szCs w:val="20"/>
              </w:rPr>
              <w:t>LPN N</w:t>
            </w:r>
            <w:r>
              <w:rPr>
                <w:bCs/>
                <w:iCs/>
                <w:sz w:val="20"/>
                <w:szCs w:val="20"/>
                <w:u w:val="single"/>
                <w:vertAlign w:val="superscript"/>
              </w:rPr>
              <w:t>o</w:t>
            </w:r>
            <w:r>
              <w:rPr>
                <w:bCs/>
                <w:iCs/>
                <w:sz w:val="20"/>
                <w:szCs w:val="20"/>
              </w:rPr>
              <w:t xml:space="preserve">: </w:t>
            </w:r>
            <w:r>
              <w:rPr>
                <w:bCs/>
                <w:i/>
                <w:iCs/>
                <w:sz w:val="20"/>
                <w:szCs w:val="20"/>
                <w:highlight w:val="yellow"/>
              </w:rPr>
              <w:t>[inserir número]</w:t>
            </w:r>
            <w:r>
              <w:rPr>
                <w:bCs/>
                <w:iCs/>
                <w:sz w:val="20"/>
                <w:szCs w:val="20"/>
              </w:rPr>
              <w:t xml:space="preserve"> de </w:t>
            </w:r>
            <w:r>
              <w:rPr>
                <w:bCs/>
                <w:i/>
                <w:iCs/>
                <w:sz w:val="20"/>
                <w:szCs w:val="20"/>
                <w:highlight w:val="yellow"/>
              </w:rPr>
              <w:t>[inserir data]</w:t>
            </w:r>
          </w:p>
          <w:p w14:paraId="1A8BFDA6">
            <w:pPr>
              <w:spacing w:before="120" w:after="120"/>
              <w:jc w:val="both"/>
              <w:rPr>
                <w:bCs/>
                <w:iCs/>
                <w:sz w:val="20"/>
                <w:szCs w:val="20"/>
              </w:rPr>
            </w:pPr>
            <w:r>
              <w:rPr>
                <w:bCs/>
                <w:iCs/>
                <w:sz w:val="20"/>
                <w:szCs w:val="20"/>
              </w:rPr>
              <w:t xml:space="preserve">Lote: </w:t>
            </w:r>
            <w:r>
              <w:rPr>
                <w:bCs/>
                <w:i/>
                <w:iCs/>
                <w:sz w:val="20"/>
                <w:szCs w:val="20"/>
                <w:highlight w:val="yellow"/>
              </w:rPr>
              <w:t>[inserir N</w:t>
            </w:r>
            <w:r>
              <w:rPr>
                <w:bCs/>
                <w:i/>
                <w:iCs/>
                <w:sz w:val="20"/>
                <w:szCs w:val="20"/>
                <w:highlight w:val="yellow"/>
                <w:u w:val="single"/>
                <w:vertAlign w:val="superscript"/>
              </w:rPr>
              <w:t>o</w:t>
            </w:r>
            <w:r>
              <w:rPr>
                <w:bCs/>
                <w:i/>
                <w:iCs/>
                <w:sz w:val="20"/>
                <w:szCs w:val="20"/>
                <w:highlight w:val="yellow"/>
              </w:rPr>
              <w:t xml:space="preserve"> do Lote ou “único” se for o caso]</w:t>
            </w:r>
          </w:p>
        </w:tc>
      </w:tr>
      <w:tr w14:paraId="5EE3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82" w:hRule="atLeast"/>
          <w:jc w:val="center"/>
        </w:trPr>
        <w:tc>
          <w:tcPr>
            <w:tcW w:w="8930" w:type="dxa"/>
            <w:gridSpan w:val="2"/>
            <w:tcBorders>
              <w:top w:val="single" w:color="auto" w:sz="4" w:space="0"/>
              <w:left w:val="single" w:color="auto" w:sz="4" w:space="0"/>
              <w:bottom w:val="single" w:color="auto" w:sz="4" w:space="0"/>
              <w:right w:val="single" w:color="auto" w:sz="4" w:space="0"/>
            </w:tcBorders>
          </w:tcPr>
          <w:p w14:paraId="0779D4A2">
            <w:pPr>
              <w:spacing w:before="120" w:after="120"/>
              <w:jc w:val="both"/>
              <w:rPr>
                <w:bCs/>
                <w:iCs/>
                <w:sz w:val="20"/>
                <w:szCs w:val="20"/>
              </w:rPr>
            </w:pPr>
            <w:r>
              <w:rPr>
                <w:bCs/>
                <w:iCs/>
                <w:sz w:val="20"/>
                <w:szCs w:val="20"/>
              </w:rPr>
              <w:t xml:space="preserve">Fundamentação Legal: Programa de </w:t>
            </w:r>
            <w:r>
              <w:rPr>
                <w:bCs/>
                <w:i/>
                <w:iCs/>
                <w:sz w:val="20"/>
                <w:szCs w:val="20"/>
                <w:highlight w:val="yellow"/>
              </w:rPr>
              <w:t>[indicar o nome do Programa]</w:t>
            </w:r>
            <w:r>
              <w:rPr>
                <w:bCs/>
                <w:i/>
                <w:iCs/>
                <w:sz w:val="20"/>
                <w:szCs w:val="20"/>
              </w:rPr>
              <w:t>,</w:t>
            </w:r>
            <w:r>
              <w:rPr>
                <w:bCs/>
                <w:iCs/>
                <w:sz w:val="20"/>
                <w:szCs w:val="20"/>
              </w:rPr>
              <w:t xml:space="preserve"> objeto do Contrato de Empréstimo BRA </w:t>
            </w:r>
            <w:r>
              <w:rPr>
                <w:bCs/>
                <w:i/>
                <w:iCs/>
                <w:sz w:val="20"/>
                <w:szCs w:val="20"/>
                <w:highlight w:val="yellow"/>
              </w:rPr>
              <w:t>[indicar]</w:t>
            </w:r>
            <w:r>
              <w:rPr>
                <w:bCs/>
                <w:iCs/>
                <w:sz w:val="20"/>
                <w:szCs w:val="20"/>
              </w:rPr>
              <w:t xml:space="preserve"> firmado em </w:t>
            </w:r>
            <w:r>
              <w:rPr>
                <w:bCs/>
                <w:i/>
                <w:iCs/>
                <w:sz w:val="20"/>
                <w:szCs w:val="20"/>
                <w:highlight w:val="yellow"/>
              </w:rPr>
              <w:t>[indicar]</w:t>
            </w:r>
            <w:r>
              <w:rPr>
                <w:bCs/>
                <w:iCs/>
                <w:sz w:val="20"/>
                <w:szCs w:val="20"/>
              </w:rPr>
              <w:t xml:space="preserve"> entre o Banco de Desenvolvimento  - FONPLATA e o </w:t>
            </w:r>
            <w:r>
              <w:rPr>
                <w:bCs/>
                <w:i/>
                <w:iCs/>
                <w:sz w:val="20"/>
                <w:szCs w:val="20"/>
                <w:highlight w:val="yellow"/>
              </w:rPr>
              <w:t>[indicar o Mutuário]</w:t>
            </w:r>
            <w:r>
              <w:rPr>
                <w:bCs/>
                <w:iCs/>
                <w:sz w:val="20"/>
                <w:szCs w:val="20"/>
              </w:rPr>
              <w:t>, tendo como fundamentação legal os procedimentos adotados adequados às normas do FONPLATA, conforme faculta o disposto no Art. 1º, parágrafo 3º da Lei Nº 14.133, de 01.04.21, bem como o citado Contrato de Empréstimo, a Política para a Aquisição de Bens, Obras e Serviços em Operações financiadas pelo FONPLATA - Resolução RD 1394/2017. Aplica-se subsidiariamente a Lei Nº 14.133/21 nos casos não previstos nas Políticas do Banco.</w:t>
            </w:r>
          </w:p>
          <w:p w14:paraId="620CD486">
            <w:pPr>
              <w:spacing w:before="120" w:after="120"/>
              <w:jc w:val="both"/>
              <w:rPr>
                <w:bCs/>
                <w:sz w:val="20"/>
                <w:szCs w:val="20"/>
              </w:rPr>
            </w:pPr>
            <w:r>
              <w:rPr>
                <w:bCs/>
                <w:iCs/>
                <w:sz w:val="20"/>
                <w:szCs w:val="20"/>
              </w:rPr>
              <w:t>No do ato que autorizou sua lavratura do contrato:</w:t>
            </w:r>
            <w:r>
              <w:rPr>
                <w:bCs/>
                <w:sz w:val="20"/>
                <w:szCs w:val="20"/>
              </w:rPr>
              <w:t xml:space="preserve"> </w:t>
            </w:r>
            <w:r>
              <w:rPr>
                <w:bCs/>
                <w:i/>
                <w:iCs/>
                <w:sz w:val="20"/>
                <w:szCs w:val="20"/>
                <w:highlight w:val="yellow"/>
              </w:rPr>
              <w:t>[indicar]</w:t>
            </w:r>
          </w:p>
        </w:tc>
      </w:tr>
      <w:tr w14:paraId="79CD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30" w:hRule="atLeast"/>
          <w:jc w:val="center"/>
        </w:trPr>
        <w:tc>
          <w:tcPr>
            <w:tcW w:w="8930" w:type="dxa"/>
            <w:gridSpan w:val="2"/>
            <w:tcBorders>
              <w:top w:val="single" w:color="auto" w:sz="4" w:space="0"/>
              <w:left w:val="single" w:color="auto" w:sz="4" w:space="0"/>
              <w:bottom w:val="single" w:color="auto" w:sz="4" w:space="0"/>
              <w:right w:val="single" w:color="auto" w:sz="4" w:space="0"/>
            </w:tcBorders>
          </w:tcPr>
          <w:p w14:paraId="1C14BF92">
            <w:pPr>
              <w:spacing w:before="120" w:after="120"/>
              <w:jc w:val="both"/>
              <w:rPr>
                <w:bCs/>
                <w:i/>
                <w:iCs/>
                <w:sz w:val="20"/>
                <w:szCs w:val="20"/>
              </w:rPr>
            </w:pPr>
            <w:r>
              <w:rPr>
                <w:bCs/>
                <w:iCs/>
                <w:sz w:val="20"/>
                <w:szCs w:val="20"/>
              </w:rPr>
              <w:t xml:space="preserve">Objeto: O objeto do Contrato é a execução de Obras de </w:t>
            </w:r>
            <w:r>
              <w:rPr>
                <w:bCs/>
                <w:i/>
                <w:iCs/>
                <w:sz w:val="20"/>
                <w:szCs w:val="20"/>
                <w:highlight w:val="yellow"/>
              </w:rPr>
              <w:t>[inserir a identificação das Obras objeto de execução pelo concorrente vencedor]</w:t>
            </w:r>
          </w:p>
        </w:tc>
      </w:tr>
      <w:tr w14:paraId="742C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267" w:hRule="atLeast"/>
          <w:jc w:val="center"/>
        </w:trPr>
        <w:tc>
          <w:tcPr>
            <w:tcW w:w="8930" w:type="dxa"/>
            <w:gridSpan w:val="2"/>
            <w:tcBorders>
              <w:top w:val="single" w:color="auto" w:sz="4" w:space="0"/>
              <w:left w:val="single" w:color="auto" w:sz="4" w:space="0"/>
              <w:bottom w:val="single" w:color="auto" w:sz="4" w:space="0"/>
              <w:right w:val="single" w:color="auto" w:sz="4" w:space="0"/>
            </w:tcBorders>
          </w:tcPr>
          <w:p w14:paraId="5766D4F7">
            <w:pPr>
              <w:spacing w:before="120" w:after="120"/>
              <w:jc w:val="both"/>
              <w:rPr>
                <w:bCs/>
                <w:iCs/>
                <w:sz w:val="20"/>
                <w:szCs w:val="20"/>
              </w:rPr>
            </w:pPr>
            <w:r>
              <w:rPr>
                <w:bCs/>
                <w:iCs/>
                <w:sz w:val="20"/>
                <w:szCs w:val="20"/>
              </w:rPr>
              <w:t>Período antecedente à expedição da Ordem de Serviço para verificação de pendências:</w:t>
            </w:r>
          </w:p>
          <w:p w14:paraId="70152E9C">
            <w:pPr>
              <w:spacing w:before="120" w:after="120"/>
              <w:jc w:val="both"/>
              <w:rPr>
                <w:bCs/>
                <w:i/>
                <w:iCs/>
                <w:sz w:val="20"/>
                <w:szCs w:val="20"/>
              </w:rPr>
            </w:pPr>
            <w:r>
              <w:rPr>
                <w:bCs/>
                <w:i/>
                <w:iCs/>
                <w:sz w:val="20"/>
                <w:szCs w:val="20"/>
                <w:highlight w:val="yellow"/>
              </w:rPr>
              <w:t>[indicar o prazo em dias para verificação de pendências, como a liberação de áreas ou adoção de outras providências cabíveis para a regularidade do início da sua execução]</w:t>
            </w:r>
          </w:p>
        </w:tc>
      </w:tr>
      <w:tr w14:paraId="64558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974" w:hRule="atLeast"/>
          <w:jc w:val="center"/>
        </w:trPr>
        <w:tc>
          <w:tcPr>
            <w:tcW w:w="8930" w:type="dxa"/>
            <w:gridSpan w:val="2"/>
            <w:tcBorders>
              <w:top w:val="single" w:color="auto" w:sz="4" w:space="0"/>
              <w:left w:val="single" w:color="auto" w:sz="4" w:space="0"/>
              <w:bottom w:val="single" w:color="auto" w:sz="4" w:space="0"/>
              <w:right w:val="single" w:color="auto" w:sz="4" w:space="0"/>
            </w:tcBorders>
          </w:tcPr>
          <w:p w14:paraId="6EF73470">
            <w:pPr>
              <w:spacing w:before="120" w:after="120"/>
              <w:jc w:val="both"/>
              <w:rPr>
                <w:bCs/>
                <w:iCs/>
                <w:sz w:val="20"/>
                <w:szCs w:val="20"/>
              </w:rPr>
            </w:pPr>
            <w:r>
              <w:rPr>
                <w:bCs/>
                <w:iCs/>
                <w:sz w:val="20"/>
                <w:szCs w:val="20"/>
              </w:rPr>
              <w:t>Valor do Contrato:</w:t>
            </w:r>
          </w:p>
          <w:p w14:paraId="172ACB70">
            <w:pPr>
              <w:spacing w:before="120" w:after="120"/>
              <w:jc w:val="both"/>
              <w:rPr>
                <w:bCs/>
                <w:iCs/>
                <w:sz w:val="20"/>
                <w:szCs w:val="20"/>
              </w:rPr>
            </w:pPr>
            <w:r>
              <w:rPr>
                <w:bCs/>
                <w:iCs/>
                <w:sz w:val="20"/>
                <w:szCs w:val="20"/>
              </w:rPr>
              <w:t xml:space="preserve">R$ __ (__) </w:t>
            </w:r>
            <w:r>
              <w:rPr>
                <w:bCs/>
                <w:i/>
                <w:sz w:val="20"/>
                <w:szCs w:val="20"/>
                <w:highlight w:val="yellow"/>
              </w:rPr>
              <w:t>__[inserir valor (total ou da parcela, conforme o caso) do Contrato em Reais, em algarismos e por extenso]</w:t>
            </w:r>
            <w:r>
              <w:rPr>
                <w:bCs/>
                <w:iCs/>
                <w:sz w:val="20"/>
                <w:szCs w:val="20"/>
              </w:rPr>
              <w:t>.</w:t>
            </w:r>
          </w:p>
        </w:tc>
      </w:tr>
      <w:tr w14:paraId="6EB6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974" w:hRule="atLeast"/>
          <w:jc w:val="center"/>
        </w:trPr>
        <w:tc>
          <w:tcPr>
            <w:tcW w:w="8930" w:type="dxa"/>
            <w:gridSpan w:val="2"/>
            <w:tcBorders>
              <w:top w:val="single" w:color="auto" w:sz="4" w:space="0"/>
              <w:left w:val="single" w:color="auto" w:sz="4" w:space="0"/>
              <w:bottom w:val="single" w:color="auto" w:sz="4" w:space="0"/>
              <w:right w:val="single" w:color="auto" w:sz="4" w:space="0"/>
            </w:tcBorders>
          </w:tcPr>
          <w:p w14:paraId="49CE8D82">
            <w:pPr>
              <w:spacing w:before="120" w:after="120"/>
              <w:jc w:val="both"/>
              <w:rPr>
                <w:bCs/>
                <w:iCs/>
                <w:sz w:val="20"/>
                <w:szCs w:val="20"/>
              </w:rPr>
            </w:pPr>
            <w:r>
              <w:rPr>
                <w:bCs/>
                <w:iCs/>
                <w:sz w:val="20"/>
                <w:szCs w:val="20"/>
              </w:rPr>
              <w:t>Prazos:</w:t>
            </w:r>
          </w:p>
          <w:p w14:paraId="2CC24ACA">
            <w:pPr>
              <w:spacing w:before="120" w:after="120"/>
              <w:jc w:val="both"/>
              <w:rPr>
                <w:bCs/>
                <w:iCs/>
                <w:sz w:val="20"/>
                <w:szCs w:val="20"/>
              </w:rPr>
            </w:pPr>
            <w:r>
              <w:rPr>
                <w:bCs/>
                <w:iCs/>
                <w:sz w:val="20"/>
                <w:szCs w:val="20"/>
              </w:rPr>
              <w:t xml:space="preserve">De conclusão das Obras: </w:t>
            </w:r>
            <w:r>
              <w:rPr>
                <w:bCs/>
                <w:i/>
                <w:iCs/>
                <w:sz w:val="20"/>
                <w:szCs w:val="20"/>
                <w:highlight w:val="yellow"/>
              </w:rPr>
              <w:t>[inserir]</w:t>
            </w:r>
            <w:r>
              <w:rPr>
                <w:bCs/>
                <w:i/>
                <w:iCs/>
                <w:sz w:val="20"/>
                <w:szCs w:val="20"/>
              </w:rPr>
              <w:t xml:space="preserve">; </w:t>
            </w:r>
            <w:r>
              <w:rPr>
                <w:bCs/>
                <w:iCs/>
                <w:sz w:val="20"/>
                <w:szCs w:val="20"/>
              </w:rPr>
              <w:t xml:space="preserve">De Vigência do Contrato: </w:t>
            </w:r>
            <w:r>
              <w:rPr>
                <w:bCs/>
                <w:i/>
                <w:iCs/>
                <w:sz w:val="20"/>
                <w:szCs w:val="20"/>
                <w:highlight w:val="yellow"/>
              </w:rPr>
              <w:t>[inserir]</w:t>
            </w:r>
            <w:r>
              <w:rPr>
                <w:bCs/>
                <w:i/>
                <w:iCs/>
                <w:sz w:val="20"/>
                <w:szCs w:val="20"/>
              </w:rPr>
              <w:t>.</w:t>
            </w:r>
          </w:p>
        </w:tc>
      </w:tr>
      <w:tr w14:paraId="4240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46" w:hRule="atLeast"/>
          <w:jc w:val="center"/>
        </w:trPr>
        <w:tc>
          <w:tcPr>
            <w:tcW w:w="8930" w:type="dxa"/>
            <w:gridSpan w:val="2"/>
            <w:tcBorders>
              <w:top w:val="single" w:color="auto" w:sz="4" w:space="0"/>
              <w:left w:val="single" w:color="auto" w:sz="4" w:space="0"/>
              <w:bottom w:val="single" w:color="auto" w:sz="4" w:space="0"/>
              <w:right w:val="single" w:color="auto" w:sz="4" w:space="0"/>
            </w:tcBorders>
          </w:tcPr>
          <w:p w14:paraId="0C4C34B5">
            <w:pPr>
              <w:spacing w:before="120" w:after="120"/>
              <w:jc w:val="both"/>
              <w:rPr>
                <w:bCs/>
                <w:iCs/>
                <w:sz w:val="20"/>
                <w:szCs w:val="20"/>
              </w:rPr>
            </w:pPr>
            <w:r>
              <w:rPr>
                <w:bCs/>
                <w:iCs/>
                <w:sz w:val="20"/>
                <w:szCs w:val="20"/>
              </w:rPr>
              <w:t xml:space="preserve">Dotação: A despesa decorrente deste Contrato correrá à conta do Elemento 00.00.00.00 – </w:t>
            </w:r>
            <w:r>
              <w:rPr>
                <w:bCs/>
                <w:i/>
                <w:iCs/>
                <w:sz w:val="20"/>
                <w:szCs w:val="20"/>
                <w:highlight w:val="yellow"/>
              </w:rPr>
              <w:t>[denominação]</w:t>
            </w:r>
            <w:r>
              <w:rPr>
                <w:bCs/>
                <w:i/>
                <w:iCs/>
                <w:sz w:val="20"/>
                <w:szCs w:val="20"/>
              </w:rPr>
              <w:t>,</w:t>
            </w:r>
            <w:r>
              <w:rPr>
                <w:bCs/>
                <w:iCs/>
                <w:sz w:val="20"/>
                <w:szCs w:val="20"/>
              </w:rPr>
              <w:t xml:space="preserve"> da Ação 00000.0000.0000 – </w:t>
            </w:r>
            <w:r>
              <w:rPr>
                <w:bCs/>
                <w:i/>
                <w:iCs/>
                <w:sz w:val="20"/>
                <w:szCs w:val="20"/>
                <w:highlight w:val="yellow"/>
              </w:rPr>
              <w:t>[denominação]</w:t>
            </w:r>
            <w:r>
              <w:rPr>
                <w:bCs/>
                <w:i/>
                <w:iCs/>
                <w:sz w:val="20"/>
                <w:szCs w:val="20"/>
              </w:rPr>
              <w:t>,</w:t>
            </w:r>
            <w:r>
              <w:rPr>
                <w:bCs/>
                <w:iCs/>
                <w:sz w:val="20"/>
                <w:szCs w:val="20"/>
              </w:rPr>
              <w:t xml:space="preserve"> Sub-ação 0000 – </w:t>
            </w:r>
            <w:r>
              <w:rPr>
                <w:bCs/>
                <w:i/>
                <w:iCs/>
                <w:sz w:val="20"/>
                <w:szCs w:val="20"/>
                <w:highlight w:val="yellow"/>
              </w:rPr>
              <w:t>[denominação]</w:t>
            </w:r>
            <w:r>
              <w:rPr>
                <w:bCs/>
                <w:i/>
                <w:iCs/>
                <w:sz w:val="20"/>
                <w:szCs w:val="20"/>
              </w:rPr>
              <w:t>,</w:t>
            </w:r>
            <w:r>
              <w:rPr>
                <w:bCs/>
                <w:iCs/>
                <w:sz w:val="20"/>
                <w:szCs w:val="20"/>
              </w:rPr>
              <w:t xml:space="preserve"> do Orçamento do </w:t>
            </w:r>
            <w:r>
              <w:rPr>
                <w:bCs/>
                <w:i/>
                <w:iCs/>
                <w:sz w:val="20"/>
                <w:szCs w:val="20"/>
                <w:highlight w:val="yellow"/>
              </w:rPr>
              <w:t>[sigla]</w:t>
            </w:r>
            <w:r>
              <w:rPr>
                <w:bCs/>
                <w:i/>
                <w:iCs/>
                <w:sz w:val="20"/>
                <w:szCs w:val="20"/>
              </w:rPr>
              <w:t>.</w:t>
            </w:r>
          </w:p>
        </w:tc>
      </w:tr>
    </w:tbl>
    <w:p w14:paraId="399E6824">
      <w:pPr>
        <w:spacing w:before="120" w:after="120"/>
        <w:jc w:val="both"/>
        <w:rPr>
          <w:bCs/>
          <w:iCs/>
          <w:sz w:val="20"/>
          <w:szCs w:val="20"/>
        </w:rPr>
      </w:pPr>
      <w:r>
        <w:rPr>
          <w:bCs/>
          <w:iCs/>
          <w:sz w:val="20"/>
          <w:szCs w:val="20"/>
        </w:rPr>
        <w:t xml:space="preserve">Aos </w:t>
      </w:r>
      <w:r>
        <w:rPr>
          <w:bCs/>
          <w:i/>
          <w:iCs/>
          <w:sz w:val="20"/>
          <w:szCs w:val="20"/>
          <w:highlight w:val="yellow"/>
        </w:rPr>
        <w:t>[indicar]</w:t>
      </w:r>
      <w:r>
        <w:rPr>
          <w:bCs/>
          <w:iCs/>
          <w:sz w:val="20"/>
          <w:szCs w:val="20"/>
        </w:rPr>
        <w:t xml:space="preserve"> dias do mês de </w:t>
      </w:r>
      <w:r>
        <w:rPr>
          <w:bCs/>
          <w:i/>
          <w:iCs/>
          <w:sz w:val="20"/>
          <w:szCs w:val="20"/>
          <w:highlight w:val="yellow"/>
        </w:rPr>
        <w:t>[indicar]</w:t>
      </w:r>
      <w:r>
        <w:rPr>
          <w:bCs/>
          <w:iCs/>
          <w:sz w:val="20"/>
          <w:szCs w:val="20"/>
        </w:rPr>
        <w:t xml:space="preserve"> de </w:t>
      </w:r>
      <w:r>
        <w:rPr>
          <w:bCs/>
          <w:i/>
          <w:iCs/>
          <w:sz w:val="20"/>
          <w:szCs w:val="20"/>
          <w:highlight w:val="yellow"/>
        </w:rPr>
        <w:t>[indicar]</w:t>
      </w:r>
      <w:r>
        <w:rPr>
          <w:bCs/>
          <w:iCs/>
          <w:sz w:val="20"/>
          <w:szCs w:val="20"/>
        </w:rPr>
        <w:t xml:space="preserve">, </w:t>
      </w:r>
      <w:r>
        <w:rPr>
          <w:bCs/>
          <w:i/>
          <w:iCs/>
          <w:sz w:val="20"/>
          <w:szCs w:val="20"/>
          <w:highlight w:val="yellow"/>
        </w:rPr>
        <w:t>[qualificar Contratante]</w:t>
      </w:r>
      <w:r>
        <w:rPr>
          <w:bCs/>
          <w:iCs/>
          <w:sz w:val="20"/>
          <w:szCs w:val="20"/>
        </w:rPr>
        <w:t xml:space="preserve"> doravante denominado "Contratante", de um lado, e </w:t>
      </w:r>
      <w:r>
        <w:rPr>
          <w:bCs/>
          <w:i/>
          <w:iCs/>
          <w:sz w:val="20"/>
          <w:szCs w:val="20"/>
          <w:highlight w:val="yellow"/>
        </w:rPr>
        <w:t>[qualificar concorrente vencedor]</w:t>
      </w:r>
      <w:r>
        <w:rPr>
          <w:bCs/>
          <w:iCs/>
          <w:sz w:val="20"/>
          <w:szCs w:val="20"/>
        </w:rPr>
        <w:t>, doravante denominado "Contratado", de outro lado.</w:t>
      </w:r>
    </w:p>
    <w:p w14:paraId="412BDE9E">
      <w:pPr>
        <w:jc w:val="both"/>
        <w:rPr>
          <w:bCs/>
          <w:iCs/>
          <w:sz w:val="20"/>
          <w:szCs w:val="20"/>
        </w:rPr>
      </w:pPr>
      <w:r>
        <w:rPr>
          <w:bCs/>
          <w:iCs/>
          <w:sz w:val="20"/>
          <w:szCs w:val="20"/>
        </w:rPr>
        <w:t>CONSIDERANDO que o Contratante deseja que a Obra seja executada; e</w:t>
      </w:r>
    </w:p>
    <w:p w14:paraId="3197AE4F">
      <w:pPr>
        <w:jc w:val="both"/>
        <w:rPr>
          <w:bCs/>
          <w:iCs/>
          <w:sz w:val="20"/>
          <w:szCs w:val="20"/>
        </w:rPr>
      </w:pPr>
      <w:r>
        <w:rPr>
          <w:bCs/>
          <w:iCs/>
          <w:sz w:val="20"/>
          <w:szCs w:val="20"/>
        </w:rPr>
        <w:t xml:space="preserve">CONSIDERANDO que, nos termos da Carta de Aceitação datada de </w:t>
      </w:r>
      <w:r>
        <w:rPr>
          <w:bCs/>
          <w:i/>
          <w:iCs/>
          <w:sz w:val="20"/>
          <w:szCs w:val="20"/>
          <w:highlight w:val="yellow"/>
        </w:rPr>
        <w:t>[data]</w:t>
      </w:r>
      <w:r>
        <w:rPr>
          <w:bCs/>
          <w:iCs/>
          <w:sz w:val="20"/>
          <w:szCs w:val="20"/>
        </w:rPr>
        <w:t>, aceita a Proposta do Contratado;</w:t>
      </w:r>
    </w:p>
    <w:p w14:paraId="6078CAAC">
      <w:pPr>
        <w:jc w:val="both"/>
        <w:rPr>
          <w:bCs/>
          <w:iCs/>
          <w:sz w:val="20"/>
          <w:szCs w:val="20"/>
        </w:rPr>
      </w:pPr>
      <w:r>
        <w:rPr>
          <w:bCs/>
          <w:iCs/>
          <w:sz w:val="20"/>
          <w:szCs w:val="20"/>
        </w:rPr>
        <w:t>RESOLVEM celebrar o presente contrato, regido pelas seguintes cláusulas:</w:t>
      </w:r>
    </w:p>
    <w:p w14:paraId="56E06D58">
      <w:pPr>
        <w:jc w:val="both"/>
        <w:rPr>
          <w:b/>
          <w:bCs/>
          <w:sz w:val="20"/>
          <w:szCs w:val="20"/>
        </w:rPr>
      </w:pPr>
      <w:r>
        <w:rPr>
          <w:b/>
          <w:bCs/>
          <w:sz w:val="20"/>
          <w:szCs w:val="20"/>
        </w:rPr>
        <w:t>1 Objeto</w:t>
      </w:r>
    </w:p>
    <w:p w14:paraId="62AC73F4">
      <w:pPr>
        <w:jc w:val="both"/>
        <w:rPr>
          <w:bCs/>
          <w:iCs/>
          <w:sz w:val="20"/>
          <w:szCs w:val="20"/>
        </w:rPr>
      </w:pPr>
      <w:r>
        <w:rPr>
          <w:bCs/>
          <w:iCs/>
          <w:sz w:val="20"/>
          <w:szCs w:val="20"/>
        </w:rPr>
        <w:t xml:space="preserve">Este Contrato tem por objeto a execução da Obra </w:t>
      </w:r>
      <w:r>
        <w:rPr>
          <w:bCs/>
          <w:i/>
          <w:iCs/>
          <w:sz w:val="20"/>
          <w:szCs w:val="20"/>
          <w:highlight w:val="yellow"/>
        </w:rPr>
        <w:t>[inserir breve descrição da Obra, conforme os DDL da Seção 2 do edital]</w:t>
      </w:r>
      <w:r>
        <w:rPr>
          <w:bCs/>
          <w:i/>
          <w:iCs/>
          <w:sz w:val="20"/>
          <w:szCs w:val="20"/>
        </w:rPr>
        <w:t>.</w:t>
      </w:r>
    </w:p>
    <w:p w14:paraId="45C86682">
      <w:pPr>
        <w:jc w:val="both"/>
        <w:rPr>
          <w:b/>
          <w:bCs/>
          <w:sz w:val="20"/>
          <w:szCs w:val="20"/>
        </w:rPr>
      </w:pPr>
      <w:r>
        <w:rPr>
          <w:b/>
          <w:bCs/>
          <w:sz w:val="20"/>
          <w:szCs w:val="20"/>
        </w:rPr>
        <w:t xml:space="preserve">2 </w:t>
      </w:r>
      <w:r>
        <w:rPr>
          <w:b/>
          <w:bCs/>
          <w:iCs/>
          <w:sz w:val="20"/>
          <w:szCs w:val="20"/>
        </w:rPr>
        <w:t>Preço do Contrato</w:t>
      </w:r>
    </w:p>
    <w:p w14:paraId="5EB6311A">
      <w:pPr>
        <w:jc w:val="both"/>
        <w:rPr>
          <w:bCs/>
          <w:iCs/>
          <w:sz w:val="20"/>
          <w:szCs w:val="20"/>
        </w:rPr>
      </w:pPr>
      <w:r>
        <w:rPr>
          <w:bCs/>
          <w:iCs/>
          <w:sz w:val="20"/>
          <w:szCs w:val="20"/>
        </w:rPr>
        <w:t xml:space="preserve">2.1. Pela execução das Obras pelo Contratado, o Contratante se dispõe a fazer pagamentos que não excedam o preço de </w:t>
      </w:r>
      <w:r>
        <w:rPr>
          <w:bCs/>
          <w:i/>
          <w:iCs/>
          <w:sz w:val="20"/>
          <w:szCs w:val="20"/>
          <w:highlight w:val="yellow"/>
        </w:rPr>
        <w:t>[inserir Preço do Contrato em reais, em algarismos e por extenso]</w:t>
      </w:r>
      <w:r>
        <w:rPr>
          <w:bCs/>
          <w:iCs/>
          <w:sz w:val="20"/>
          <w:szCs w:val="20"/>
        </w:rPr>
        <w:t>, de acordo com as cláusulas constantes das Condições Gerais do Contrato (CGC) e dos Dados do Contrato (DDC).</w:t>
      </w:r>
    </w:p>
    <w:p w14:paraId="6220B992">
      <w:pPr>
        <w:jc w:val="both"/>
        <w:rPr>
          <w:b/>
          <w:bCs/>
          <w:sz w:val="20"/>
          <w:szCs w:val="20"/>
        </w:rPr>
      </w:pPr>
      <w:r>
        <w:rPr>
          <w:b/>
          <w:bCs/>
          <w:sz w:val="20"/>
          <w:szCs w:val="20"/>
        </w:rPr>
        <w:t>3 Documentos do Contrato</w:t>
      </w:r>
    </w:p>
    <w:p w14:paraId="4457B568">
      <w:pPr>
        <w:jc w:val="both"/>
        <w:rPr>
          <w:bCs/>
          <w:iCs/>
          <w:sz w:val="20"/>
          <w:szCs w:val="20"/>
        </w:rPr>
      </w:pPr>
      <w:r>
        <w:rPr>
          <w:bCs/>
          <w:iCs/>
          <w:sz w:val="20"/>
          <w:szCs w:val="20"/>
        </w:rPr>
        <w:t>3.1 Fazem parte integrante deste Termo de Contrato os seguintes documentos:</w:t>
      </w:r>
    </w:p>
    <w:p w14:paraId="7422CBDE">
      <w:pPr>
        <w:jc w:val="both"/>
        <w:rPr>
          <w:bCs/>
          <w:iCs/>
          <w:sz w:val="20"/>
          <w:szCs w:val="20"/>
        </w:rPr>
      </w:pPr>
      <w:r>
        <w:rPr>
          <w:bCs/>
          <w:iCs/>
          <w:sz w:val="20"/>
          <w:szCs w:val="20"/>
        </w:rPr>
        <w:t>(a) a Carta de Aceitação;</w:t>
      </w:r>
    </w:p>
    <w:p w14:paraId="58E71446">
      <w:pPr>
        <w:jc w:val="both"/>
        <w:rPr>
          <w:bCs/>
          <w:iCs/>
          <w:sz w:val="20"/>
          <w:szCs w:val="20"/>
        </w:rPr>
      </w:pPr>
      <w:r>
        <w:rPr>
          <w:bCs/>
          <w:iCs/>
          <w:sz w:val="20"/>
          <w:szCs w:val="20"/>
        </w:rPr>
        <w:t>(b) a Proposta do Contratado;</w:t>
      </w:r>
    </w:p>
    <w:p w14:paraId="5F12D25E">
      <w:pPr>
        <w:jc w:val="both"/>
        <w:rPr>
          <w:bCs/>
          <w:iCs/>
          <w:sz w:val="20"/>
          <w:szCs w:val="20"/>
        </w:rPr>
      </w:pPr>
      <w:r>
        <w:rPr>
          <w:bCs/>
          <w:iCs/>
          <w:sz w:val="20"/>
          <w:szCs w:val="20"/>
        </w:rPr>
        <w:t>(c) as Condições Gerais do Contrato (CGC);</w:t>
      </w:r>
    </w:p>
    <w:p w14:paraId="39B96636">
      <w:pPr>
        <w:jc w:val="both"/>
        <w:rPr>
          <w:bCs/>
          <w:iCs/>
          <w:sz w:val="20"/>
          <w:szCs w:val="20"/>
        </w:rPr>
      </w:pPr>
      <w:r>
        <w:rPr>
          <w:bCs/>
          <w:iCs/>
          <w:sz w:val="20"/>
          <w:szCs w:val="20"/>
        </w:rPr>
        <w:t>(d) os Dados do Contrato (DDC);</w:t>
      </w:r>
    </w:p>
    <w:p w14:paraId="0A24BFD0">
      <w:pPr>
        <w:jc w:val="both"/>
        <w:rPr>
          <w:bCs/>
          <w:iCs/>
          <w:sz w:val="20"/>
          <w:szCs w:val="20"/>
        </w:rPr>
      </w:pPr>
      <w:r>
        <w:rPr>
          <w:bCs/>
          <w:iCs/>
          <w:sz w:val="20"/>
          <w:szCs w:val="20"/>
        </w:rPr>
        <w:t>(e) as Especificações Técnicas;</w:t>
      </w:r>
    </w:p>
    <w:p w14:paraId="754B9C9B">
      <w:pPr>
        <w:jc w:val="both"/>
        <w:rPr>
          <w:bCs/>
          <w:iCs/>
          <w:sz w:val="20"/>
          <w:szCs w:val="20"/>
        </w:rPr>
      </w:pPr>
      <w:r>
        <w:rPr>
          <w:bCs/>
          <w:iCs/>
          <w:sz w:val="20"/>
          <w:szCs w:val="20"/>
        </w:rPr>
        <w:t>(f) as Plantas e os Desenhos;</w:t>
      </w:r>
    </w:p>
    <w:p w14:paraId="6F21FF55">
      <w:pPr>
        <w:jc w:val="both"/>
        <w:rPr>
          <w:bCs/>
          <w:iCs/>
          <w:sz w:val="20"/>
          <w:szCs w:val="20"/>
        </w:rPr>
      </w:pPr>
      <w:r>
        <w:rPr>
          <w:bCs/>
          <w:iCs/>
          <w:sz w:val="20"/>
          <w:szCs w:val="20"/>
        </w:rPr>
        <w:t>(g) as Planilhas de Quantidades;</w:t>
      </w:r>
    </w:p>
    <w:p w14:paraId="6E3D3E50">
      <w:pPr>
        <w:jc w:val="both"/>
        <w:rPr>
          <w:bCs/>
          <w:iCs/>
          <w:sz w:val="20"/>
          <w:szCs w:val="20"/>
        </w:rPr>
      </w:pPr>
      <w:r>
        <w:rPr>
          <w:bCs/>
          <w:iCs/>
          <w:sz w:val="20"/>
          <w:szCs w:val="20"/>
        </w:rPr>
        <w:t>(h) o Plano de Gestão Ambiental e Social (PGAS) aprovado pelo Contratante;</w:t>
      </w:r>
    </w:p>
    <w:p w14:paraId="56002CFC">
      <w:pPr>
        <w:jc w:val="both"/>
        <w:rPr>
          <w:bCs/>
          <w:iCs/>
          <w:sz w:val="20"/>
          <w:szCs w:val="20"/>
        </w:rPr>
      </w:pPr>
      <w:r>
        <w:rPr>
          <w:bCs/>
          <w:iCs/>
          <w:sz w:val="20"/>
          <w:szCs w:val="20"/>
        </w:rPr>
        <w:t>(i) o Código de Conduta do Contratado; e</w:t>
      </w:r>
    </w:p>
    <w:p w14:paraId="1637FE9A">
      <w:pPr>
        <w:jc w:val="both"/>
        <w:rPr>
          <w:bCs/>
          <w:iCs/>
          <w:sz w:val="20"/>
          <w:szCs w:val="20"/>
        </w:rPr>
      </w:pPr>
      <w:r>
        <w:rPr>
          <w:bCs/>
          <w:iCs/>
          <w:sz w:val="20"/>
          <w:szCs w:val="20"/>
        </w:rPr>
        <w:t xml:space="preserve">(j) </w:t>
      </w:r>
      <w:r>
        <w:rPr>
          <w:bCs/>
          <w:i/>
          <w:sz w:val="20"/>
          <w:szCs w:val="20"/>
          <w:highlight w:val="yellow"/>
        </w:rPr>
        <w:t>[outros documentos, conforme listados (indicar a Seção em que foram solicitados)]</w:t>
      </w:r>
      <w:r>
        <w:rPr>
          <w:bCs/>
          <w:iCs/>
          <w:sz w:val="20"/>
          <w:szCs w:val="20"/>
        </w:rPr>
        <w:t>.</w:t>
      </w:r>
    </w:p>
    <w:p w14:paraId="03F9C224">
      <w:pPr>
        <w:jc w:val="both"/>
        <w:rPr>
          <w:bCs/>
          <w:iCs/>
          <w:sz w:val="20"/>
          <w:szCs w:val="20"/>
        </w:rPr>
      </w:pPr>
      <w:r>
        <w:rPr>
          <w:bCs/>
          <w:iCs/>
          <w:sz w:val="20"/>
          <w:szCs w:val="20"/>
        </w:rPr>
        <w:t>E POR SE ACHAREM JUSTOS E ACORDADOS, FIRMAM O PRESENTE EM DUAS VIAS DE IGUAL TEOR PERANTE AS TESTEMUNHAS AO FINAL IDENTIFICADAS.</w:t>
      </w:r>
      <w:bookmarkStart w:id="677" w:name="_Hlk139191764"/>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6"/>
        <w:gridCol w:w="4606"/>
      </w:tblGrid>
      <w:tr w14:paraId="4CFC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06" w:type="dxa"/>
          </w:tcPr>
          <w:p w14:paraId="0F3FBDDD">
            <w:pPr>
              <w:spacing w:before="120" w:after="120" w:line="240" w:lineRule="auto"/>
              <w:jc w:val="center"/>
              <w:rPr>
                <w:bCs/>
                <w:i/>
                <w:sz w:val="20"/>
                <w:szCs w:val="20"/>
                <w:highlight w:val="yellow"/>
              </w:rPr>
            </w:pPr>
            <w:r>
              <w:rPr>
                <w:bCs/>
                <w:i/>
                <w:sz w:val="20"/>
                <w:szCs w:val="20"/>
                <w:highlight w:val="yellow"/>
              </w:rPr>
              <w:t>[pelo Contratante]</w:t>
            </w:r>
          </w:p>
        </w:tc>
        <w:tc>
          <w:tcPr>
            <w:tcW w:w="4606" w:type="dxa"/>
          </w:tcPr>
          <w:p w14:paraId="3A97B359">
            <w:pPr>
              <w:spacing w:before="120" w:after="120" w:line="240" w:lineRule="auto"/>
              <w:jc w:val="center"/>
              <w:rPr>
                <w:bCs/>
                <w:i/>
                <w:sz w:val="20"/>
                <w:szCs w:val="20"/>
                <w:highlight w:val="yellow"/>
              </w:rPr>
            </w:pPr>
            <w:r>
              <w:rPr>
                <w:bCs/>
                <w:i/>
                <w:sz w:val="20"/>
                <w:szCs w:val="20"/>
                <w:highlight w:val="yellow"/>
              </w:rPr>
              <w:t>[pelo Contratado]</w:t>
            </w:r>
          </w:p>
        </w:tc>
      </w:tr>
      <w:tr w14:paraId="6847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06" w:type="dxa"/>
          </w:tcPr>
          <w:p w14:paraId="44F8B986">
            <w:pPr>
              <w:spacing w:before="120" w:after="120" w:line="240" w:lineRule="auto"/>
              <w:jc w:val="both"/>
              <w:rPr>
                <w:bCs/>
                <w:iCs/>
                <w:sz w:val="20"/>
                <w:szCs w:val="20"/>
              </w:rPr>
            </w:pPr>
            <w:r>
              <w:rPr>
                <w:bCs/>
                <w:iCs/>
                <w:sz w:val="20"/>
                <w:szCs w:val="20"/>
              </w:rPr>
              <w:t>Testemunha:</w:t>
            </w:r>
          </w:p>
        </w:tc>
        <w:tc>
          <w:tcPr>
            <w:tcW w:w="4606" w:type="dxa"/>
          </w:tcPr>
          <w:p w14:paraId="7D86ADB1">
            <w:pPr>
              <w:spacing w:before="120" w:after="120" w:line="240" w:lineRule="auto"/>
              <w:jc w:val="both"/>
              <w:rPr>
                <w:bCs/>
                <w:iCs/>
                <w:sz w:val="20"/>
                <w:szCs w:val="20"/>
              </w:rPr>
            </w:pPr>
            <w:r>
              <w:rPr>
                <w:bCs/>
                <w:iCs/>
                <w:sz w:val="20"/>
                <w:szCs w:val="20"/>
              </w:rPr>
              <w:t>Testemunha:</w:t>
            </w:r>
          </w:p>
        </w:tc>
      </w:tr>
      <w:bookmarkEnd w:id="677"/>
    </w:tbl>
    <w:p w14:paraId="0CFFBC4E">
      <w:pPr>
        <w:jc w:val="both"/>
        <w:rPr>
          <w:bCs/>
          <w:i/>
          <w:iCs/>
          <w:sz w:val="20"/>
          <w:szCs w:val="20"/>
        </w:rPr>
        <w:sectPr>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r>
        <w:rPr>
          <w:bCs/>
          <w:i/>
          <w:iCs/>
          <w:sz w:val="20"/>
          <w:szCs w:val="20"/>
        </w:rPr>
        <w:br w:type="page"/>
      </w:r>
    </w:p>
    <w:p w14:paraId="2006C970">
      <w:pPr>
        <w:jc w:val="both"/>
        <w:rPr>
          <w:bCs/>
          <w:i/>
          <w:iCs/>
          <w:sz w:val="20"/>
          <w:szCs w:val="20"/>
        </w:rPr>
      </w:pPr>
    </w:p>
    <w:p w14:paraId="306634FE">
      <w:pPr>
        <w:pStyle w:val="87"/>
      </w:pPr>
      <w:bookmarkStart w:id="678" w:name="_Toc174536847"/>
      <w:bookmarkStart w:id="679" w:name="_Toc168130220"/>
      <w:r>
        <w:t>PARTE 4 – ORÇAMENTO</w:t>
      </w:r>
      <w:bookmarkEnd w:id="678"/>
    </w:p>
    <w:p w14:paraId="339D1F06">
      <w:pPr>
        <w:rPr>
          <w:b/>
          <w:bCs/>
          <w:sz w:val="20"/>
          <w:szCs w:val="20"/>
        </w:rPr>
      </w:pPr>
    </w:p>
    <w:p w14:paraId="654E03B3">
      <w:pPr>
        <w:rPr>
          <w:b/>
          <w:bCs/>
          <w:sz w:val="20"/>
          <w:szCs w:val="20"/>
        </w:rPr>
      </w:pPr>
    </w:p>
    <w:p w14:paraId="2641E132">
      <w:pPr>
        <w:rPr>
          <w:b/>
          <w:bCs/>
          <w:sz w:val="20"/>
          <w:szCs w:val="20"/>
        </w:rPr>
      </w:pPr>
    </w:p>
    <w:p w14:paraId="7917CF64">
      <w:pPr>
        <w:rPr>
          <w:b/>
          <w:bCs/>
          <w:sz w:val="20"/>
          <w:szCs w:val="20"/>
        </w:rPr>
      </w:pPr>
    </w:p>
    <w:p w14:paraId="18E475C7">
      <w:pPr>
        <w:rPr>
          <w:b/>
          <w:bCs/>
          <w:sz w:val="20"/>
          <w:szCs w:val="20"/>
        </w:rPr>
      </w:pPr>
    </w:p>
    <w:p w14:paraId="7BE3E93A">
      <w:pPr>
        <w:rPr>
          <w:b/>
          <w:bCs/>
          <w:sz w:val="20"/>
          <w:szCs w:val="20"/>
        </w:rPr>
      </w:pPr>
    </w:p>
    <w:p w14:paraId="2D6FEB72">
      <w:pPr>
        <w:rPr>
          <w:b/>
          <w:bCs/>
          <w:sz w:val="20"/>
          <w:szCs w:val="20"/>
        </w:rPr>
      </w:pPr>
    </w:p>
    <w:p w14:paraId="3A3C058E">
      <w:pPr>
        <w:rPr>
          <w:b/>
          <w:bCs/>
          <w:sz w:val="20"/>
          <w:szCs w:val="20"/>
        </w:rPr>
      </w:pPr>
    </w:p>
    <w:p w14:paraId="51EE92E5">
      <w:pPr>
        <w:rPr>
          <w:b/>
          <w:bCs/>
          <w:sz w:val="20"/>
          <w:szCs w:val="20"/>
        </w:rPr>
      </w:pPr>
    </w:p>
    <w:p w14:paraId="249530B4">
      <w:pPr>
        <w:rPr>
          <w:b/>
          <w:bCs/>
          <w:sz w:val="20"/>
          <w:szCs w:val="20"/>
        </w:rPr>
      </w:pPr>
    </w:p>
    <w:p w14:paraId="019CD400">
      <w:pPr>
        <w:rPr>
          <w:b/>
          <w:bCs/>
          <w:sz w:val="20"/>
          <w:szCs w:val="20"/>
        </w:rPr>
      </w:pPr>
    </w:p>
    <w:p w14:paraId="7D7BACB4">
      <w:pPr>
        <w:rPr>
          <w:b/>
          <w:bCs/>
          <w:sz w:val="20"/>
          <w:szCs w:val="20"/>
        </w:rPr>
      </w:pPr>
    </w:p>
    <w:p w14:paraId="6A99BBD5">
      <w:pPr>
        <w:rPr>
          <w:b/>
          <w:bCs/>
          <w:sz w:val="20"/>
          <w:szCs w:val="20"/>
        </w:rPr>
      </w:pPr>
    </w:p>
    <w:p w14:paraId="3B119F84">
      <w:pPr>
        <w:rPr>
          <w:b/>
          <w:bCs/>
          <w:sz w:val="20"/>
          <w:szCs w:val="20"/>
        </w:rPr>
      </w:pPr>
    </w:p>
    <w:p w14:paraId="5972BD4D">
      <w:pPr>
        <w:rPr>
          <w:b/>
          <w:bCs/>
          <w:sz w:val="20"/>
          <w:szCs w:val="20"/>
        </w:rPr>
      </w:pPr>
    </w:p>
    <w:p w14:paraId="604DF4EE">
      <w:pPr>
        <w:rPr>
          <w:b/>
          <w:bCs/>
          <w:sz w:val="20"/>
          <w:szCs w:val="20"/>
        </w:rPr>
      </w:pPr>
    </w:p>
    <w:p w14:paraId="3AB0D981">
      <w:pPr>
        <w:rPr>
          <w:b/>
          <w:bCs/>
          <w:sz w:val="20"/>
          <w:szCs w:val="20"/>
        </w:rPr>
      </w:pPr>
    </w:p>
    <w:p w14:paraId="33E6B56A">
      <w:pPr>
        <w:rPr>
          <w:b/>
          <w:bCs/>
          <w:sz w:val="20"/>
          <w:szCs w:val="20"/>
        </w:rPr>
      </w:pPr>
    </w:p>
    <w:p w14:paraId="6E9D7B0B">
      <w:pPr>
        <w:rPr>
          <w:b/>
          <w:bCs/>
          <w:sz w:val="20"/>
          <w:szCs w:val="20"/>
        </w:rPr>
      </w:pPr>
    </w:p>
    <w:p w14:paraId="064960B6">
      <w:pPr>
        <w:rPr>
          <w:b/>
          <w:bCs/>
          <w:sz w:val="20"/>
          <w:szCs w:val="20"/>
        </w:rPr>
      </w:pPr>
    </w:p>
    <w:p w14:paraId="224BA09F">
      <w:pPr>
        <w:rPr>
          <w:b/>
          <w:bCs/>
          <w:sz w:val="20"/>
          <w:szCs w:val="20"/>
        </w:rPr>
      </w:pPr>
    </w:p>
    <w:p w14:paraId="56C17B6B">
      <w:pPr>
        <w:rPr>
          <w:b/>
          <w:bCs/>
          <w:sz w:val="20"/>
          <w:szCs w:val="20"/>
        </w:rPr>
      </w:pPr>
    </w:p>
    <w:p w14:paraId="4B7F0C0B">
      <w:pPr>
        <w:rPr>
          <w:b/>
          <w:bCs/>
          <w:sz w:val="20"/>
          <w:szCs w:val="20"/>
        </w:rPr>
      </w:pPr>
    </w:p>
    <w:p w14:paraId="3BAE3494">
      <w:pPr>
        <w:rPr>
          <w:b/>
          <w:bCs/>
          <w:sz w:val="20"/>
          <w:szCs w:val="20"/>
        </w:rPr>
      </w:pPr>
    </w:p>
    <w:p w14:paraId="4FEFE20D">
      <w:pPr>
        <w:rPr>
          <w:b/>
          <w:bCs/>
          <w:sz w:val="20"/>
          <w:szCs w:val="20"/>
        </w:rPr>
      </w:pPr>
    </w:p>
    <w:p w14:paraId="52A2F812">
      <w:pPr>
        <w:rPr>
          <w:b/>
          <w:bCs/>
          <w:sz w:val="20"/>
          <w:szCs w:val="20"/>
        </w:rPr>
      </w:pPr>
    </w:p>
    <w:p w14:paraId="408ED193">
      <w:pPr>
        <w:rPr>
          <w:b/>
          <w:bCs/>
          <w:sz w:val="20"/>
          <w:szCs w:val="20"/>
        </w:rPr>
        <w:sectPr>
          <w:headerReference r:id="rId23"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2CCADCFF">
      <w:pPr>
        <w:pStyle w:val="87"/>
      </w:pPr>
      <w:r>
        <w:t>SEÇÃO 10 – ORÇAMENTO BASE</w:t>
      </w:r>
    </w:p>
    <w:p w14:paraId="2D98CD0A">
      <w:pPr>
        <w:jc w:val="both"/>
        <w:rPr>
          <w:iCs/>
          <w:color w:val="auto"/>
          <w:lang w:val="pt-PT"/>
        </w:rPr>
      </w:pPr>
      <w:r>
        <w:rPr>
          <w:iCs/>
          <w:color w:val="auto"/>
          <w:lang w:val="pt-PT"/>
        </w:rPr>
        <w:t xml:space="preserve">A planilha de orçamento base segue anexo aos documentos de ordem técnica deste instumento. </w:t>
      </w:r>
    </w:p>
    <w:p w14:paraId="6C48BB68">
      <w:pPr>
        <w:jc w:val="both"/>
        <w:rPr>
          <w:iCs/>
          <w:color w:val="auto"/>
          <w:lang w:val="pt-PT"/>
        </w:rPr>
      </w:pPr>
      <w:r>
        <w:rPr>
          <w:iCs/>
          <w:color w:val="auto"/>
          <w:lang w:val="pt-PT"/>
        </w:rPr>
        <w:t>A data base do orçamento é</w:t>
      </w:r>
      <w:r>
        <w:rPr>
          <w:rFonts w:hint="default"/>
          <w:iCs/>
          <w:color w:val="auto"/>
          <w:lang w:val="pt-BR"/>
        </w:rPr>
        <w:t>: AGESUL CIVIL com Desoneração (JAN/2025),</w:t>
      </w:r>
      <w:r>
        <w:rPr>
          <w:iCs/>
          <w:color w:val="auto"/>
          <w:lang w:val="pt-PT"/>
        </w:rPr>
        <w:t xml:space="preserve"> </w:t>
      </w:r>
      <w:r>
        <w:rPr>
          <w:rFonts w:hint="default"/>
          <w:iCs/>
          <w:color w:val="auto"/>
          <w:lang w:val="pt-BR"/>
        </w:rPr>
        <w:t xml:space="preserve"> DOURADOS CIVIL Desonerado (ABR/2025), SBC Desonerado (ABR/2025), SINAP com Desoneração (ABR/2025)</w:t>
      </w:r>
      <w:r>
        <w:rPr>
          <w:iCs/>
          <w:color w:val="auto"/>
          <w:lang w:val="pt-PT"/>
        </w:rPr>
        <w:t>.</w:t>
      </w:r>
    </w:p>
    <w:p w14:paraId="3481C379">
      <w:pPr>
        <w:jc w:val="both"/>
        <w:rPr>
          <w:iCs/>
          <w:color w:val="FF0000"/>
          <w:lang w:val="pt-PT"/>
        </w:rPr>
        <w:sectPr>
          <w:headerReference r:id="rId24"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bookmarkEnd w:id="679"/>
    <w:p w14:paraId="23CE37E3">
      <w:pPr>
        <w:pStyle w:val="87"/>
      </w:pPr>
      <w:bookmarkStart w:id="680" w:name="_Toc174536849"/>
      <w:r>
        <w:t>PARTE 5 – ANEXOS</w:t>
      </w:r>
      <w:bookmarkEnd w:id="680"/>
    </w:p>
    <w:p w14:paraId="1AECC856">
      <w:pPr>
        <w:rPr>
          <w:b/>
          <w:lang w:val="pt-PT"/>
        </w:rPr>
        <w:sectPr>
          <w:headerReference r:id="rId25"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p w14:paraId="739F14A6">
      <w:pPr>
        <w:pStyle w:val="87"/>
      </w:pPr>
      <w:bookmarkStart w:id="681" w:name="_Toc155906223"/>
      <w:bookmarkStart w:id="682" w:name="_Toc174536850"/>
      <w:r>
        <w:t>SEÇÃO 11 – ANEXOS</w:t>
      </w:r>
      <w:bookmarkEnd w:id="681"/>
      <w:bookmarkEnd w:id="682"/>
    </w:p>
    <w:p w14:paraId="78DDFB90">
      <w:pPr>
        <w:pStyle w:val="87"/>
      </w:pPr>
    </w:p>
    <w:p w14:paraId="47FD9803">
      <w:pPr>
        <w:jc w:val="both"/>
        <w:rPr>
          <w:iCs/>
          <w:lang w:val="pt-PT"/>
        </w:rPr>
      </w:pPr>
      <w:r>
        <w:rPr>
          <w:b/>
          <w:iCs/>
          <w:lang w:val="pt-PT"/>
        </w:rPr>
        <w:t>ANEXO 4</w:t>
      </w:r>
      <w:r>
        <w:rPr>
          <w:iCs/>
          <w:lang w:val="pt-PT"/>
        </w:rPr>
        <w:t xml:space="preserve"> – CSR INDÁPOLIS – PROJETO ARQUITETONICO</w:t>
      </w:r>
    </w:p>
    <w:p w14:paraId="307FC18F">
      <w:pPr>
        <w:jc w:val="both"/>
        <w:rPr>
          <w:iCs/>
          <w:lang w:val="pt-PT"/>
        </w:rPr>
      </w:pPr>
      <w:r>
        <w:rPr>
          <w:rFonts w:hint="default"/>
          <w:iCs/>
          <w:lang w:val="pt-PT"/>
        </w:rPr>
        <w:t>Ver projeto executivo em anexo</w:t>
      </w:r>
    </w:p>
    <w:p w14:paraId="79ADD2E6">
      <w:pPr>
        <w:jc w:val="both"/>
        <w:rPr>
          <w:iCs/>
          <w:lang w:val="pt-PT"/>
        </w:rPr>
      </w:pPr>
      <w:r>
        <w:rPr>
          <w:iCs/>
          <w:lang w:val="pt-PT"/>
        </w:rPr>
        <w:br w:type="page"/>
      </w:r>
    </w:p>
    <w:p w14:paraId="569F0B66">
      <w:pPr>
        <w:jc w:val="center"/>
        <w:rPr>
          <w:b/>
          <w:bCs/>
        </w:rPr>
      </w:pPr>
      <w:r>
        <w:rPr>
          <w:b/>
          <w:bCs/>
        </w:rPr>
        <w:t xml:space="preserve">ANEXO </w:t>
      </w:r>
      <w:r>
        <w:rPr>
          <w:b/>
          <w:bCs/>
          <w:color w:val="FF0000"/>
        </w:rPr>
        <w:t>11</w:t>
      </w:r>
      <w:r>
        <w:rPr>
          <w:b/>
          <w:bCs/>
        </w:rPr>
        <w:t xml:space="preserve"> - FORMATO DE APRESENTAÇÃO DOS PROGRAMAS DO PLANO DE GESTÃO AMBIENTAL E SOCIAL (PGAS)</w:t>
      </w:r>
    </w:p>
    <w:p w14:paraId="137CF6BF">
      <w:pPr>
        <w:rPr>
          <w:bCs/>
        </w:rPr>
      </w:pPr>
      <w:r>
        <w:rPr>
          <w:bCs/>
        </w:rPr>
        <w:t>Os programas sociais e ambientais a serem incluídos no Plano de Gestão Ambiental e Social (PGAS) da obra deverão contemplar, no mínimo e, quando couber, os seguintes Programas resultantes do prognóstico ambiental das obras e das recomendações emitidas no Relatório de Avaliação Ambiental do Programa (RAAP) e nas licenças ambientais:</w:t>
      </w:r>
    </w:p>
    <w:p w14:paraId="5A1FC3D7">
      <w:pPr>
        <w:rPr>
          <w:bCs/>
          <w:iCs/>
        </w:rPr>
      </w:pPr>
      <w:r>
        <w:rPr>
          <w:bCs/>
          <w:iCs/>
        </w:rPr>
        <w:t>(a) Programa de Comunicação Social (obrigatório);</w:t>
      </w:r>
    </w:p>
    <w:p w14:paraId="24B05141">
      <w:pPr>
        <w:rPr>
          <w:bCs/>
          <w:iCs/>
        </w:rPr>
      </w:pPr>
      <w:r>
        <w:rPr>
          <w:bCs/>
          <w:iCs/>
        </w:rPr>
        <w:t>(b) Programa de Gestão de Resíduos Sólidos (obrigatório);</w:t>
      </w:r>
    </w:p>
    <w:p w14:paraId="75153013">
      <w:pPr>
        <w:rPr>
          <w:bCs/>
          <w:iCs/>
        </w:rPr>
      </w:pPr>
      <w:r>
        <w:rPr>
          <w:bCs/>
          <w:iCs/>
        </w:rPr>
        <w:t>(c) Programa de Gestão de Efluentes Líquidos (obrigatório);</w:t>
      </w:r>
    </w:p>
    <w:p w14:paraId="1FDE2B40">
      <w:pPr>
        <w:rPr>
          <w:bCs/>
          <w:iCs/>
        </w:rPr>
      </w:pPr>
      <w:r>
        <w:rPr>
          <w:bCs/>
          <w:iCs/>
        </w:rPr>
        <w:t>(d) Programa de Supressão Vegetal e Compensação Vegetal (a critério do órgão licenciador);</w:t>
      </w:r>
    </w:p>
    <w:p w14:paraId="1062D720">
      <w:pPr>
        <w:rPr>
          <w:bCs/>
          <w:iCs/>
        </w:rPr>
      </w:pPr>
      <w:r>
        <w:rPr>
          <w:bCs/>
          <w:iCs/>
        </w:rPr>
        <w:t>(e) Programa de Controle da Qualidade Ambiental (obrigatório);</w:t>
      </w:r>
    </w:p>
    <w:p w14:paraId="1109F79B">
      <w:pPr>
        <w:rPr>
          <w:bCs/>
          <w:iCs/>
        </w:rPr>
      </w:pPr>
      <w:r>
        <w:rPr>
          <w:bCs/>
          <w:iCs/>
        </w:rPr>
        <w:t>(f) Programa de Trabalho em Canteiro de Obras (a critério do órgão licenciador);</w:t>
      </w:r>
    </w:p>
    <w:p w14:paraId="57978A7D">
      <w:pPr>
        <w:rPr>
          <w:bCs/>
          <w:iCs/>
        </w:rPr>
      </w:pPr>
      <w:r>
        <w:rPr>
          <w:bCs/>
          <w:iCs/>
        </w:rPr>
        <w:t>(g) Programa de Saúde e Segurança dos Trabalhadores (obrigatório);</w:t>
      </w:r>
    </w:p>
    <w:p w14:paraId="2F0F20F0">
      <w:pPr>
        <w:rPr>
          <w:bCs/>
          <w:iCs/>
        </w:rPr>
      </w:pPr>
      <w:r>
        <w:rPr>
          <w:bCs/>
          <w:iCs/>
        </w:rPr>
        <w:t>(h) Programa de Controle de Tráfego (obrigatório); e</w:t>
      </w:r>
    </w:p>
    <w:p w14:paraId="3911818B">
      <w:pPr>
        <w:rPr>
          <w:bCs/>
          <w:iCs/>
        </w:rPr>
      </w:pPr>
      <w:r>
        <w:rPr>
          <w:bCs/>
          <w:iCs/>
        </w:rPr>
        <w:t>(i) Programa de Interferência em Redes de Infraestrutura (a critério do órgão licenciador).</w:t>
      </w:r>
    </w:p>
    <w:p w14:paraId="54A7FDB4">
      <w:pPr>
        <w:rPr>
          <w:bCs/>
          <w:iCs/>
        </w:rPr>
      </w:pPr>
    </w:p>
    <w:p w14:paraId="09185ABA">
      <w:pPr>
        <w:rPr>
          <w:bCs/>
        </w:rPr>
        <w:sectPr>
          <w:headerReference r:id="rId26" w:type="default"/>
          <w:pgSz w:w="11906" w:h="16838"/>
          <w:pgMar w:top="1440" w:right="1440" w:bottom="1440" w:left="1440" w:header="709" w:footer="709" w:gutter="0"/>
          <w:pgBorders>
            <w:top w:val="none" w:sz="0" w:space="0"/>
            <w:left w:val="none" w:sz="0" w:space="0"/>
            <w:bottom w:val="none" w:sz="0" w:space="0"/>
            <w:right w:val="none" w:sz="0" w:space="0"/>
          </w:pgBorders>
          <w:cols w:space="708" w:num="1"/>
          <w:docGrid w:linePitch="360" w:charSpace="0"/>
        </w:sect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43"/>
        <w:gridCol w:w="2011"/>
        <w:gridCol w:w="130"/>
        <w:gridCol w:w="3132"/>
      </w:tblGrid>
      <w:tr w14:paraId="7235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3" w:type="dxa"/>
            <w:gridSpan w:val="4"/>
            <w:shd w:val="clear" w:color="auto" w:fill="FAE2D5" w:themeFill="accent2" w:themeFillTint="33"/>
            <w:vAlign w:val="center"/>
          </w:tcPr>
          <w:p w14:paraId="7F52E4B0">
            <w:pPr>
              <w:spacing w:before="120" w:after="120" w:line="240" w:lineRule="auto"/>
              <w:rPr>
                <w:bCs/>
                <w:iCs/>
                <w:sz w:val="20"/>
                <w:szCs w:val="20"/>
              </w:rPr>
            </w:pPr>
            <w:r>
              <w:rPr>
                <w:bCs/>
                <w:iCs/>
                <w:sz w:val="20"/>
                <w:szCs w:val="20"/>
              </w:rPr>
              <w:t>NOME DO PROGRAMA</w:t>
            </w:r>
          </w:p>
        </w:tc>
      </w:tr>
      <w:tr w14:paraId="401FA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3" w:type="dxa"/>
            <w:gridSpan w:val="4"/>
            <w:shd w:val="clear" w:color="auto" w:fill="FAE2D5" w:themeFill="accent2" w:themeFillTint="33"/>
            <w:vAlign w:val="center"/>
          </w:tcPr>
          <w:p w14:paraId="6D52773B">
            <w:pPr>
              <w:spacing w:before="120" w:after="120" w:line="240" w:lineRule="auto"/>
              <w:rPr>
                <w:bCs/>
                <w:iCs/>
                <w:sz w:val="20"/>
                <w:szCs w:val="20"/>
              </w:rPr>
            </w:pPr>
            <w:r>
              <w:rPr>
                <w:bCs/>
                <w:iCs/>
                <w:sz w:val="20"/>
                <w:szCs w:val="20"/>
              </w:rPr>
              <w:t>NOME DO SUBPROGRAMA</w:t>
            </w:r>
          </w:p>
        </w:tc>
      </w:tr>
      <w:tr w14:paraId="1A86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3" w:type="dxa"/>
            <w:gridSpan w:val="4"/>
            <w:vAlign w:val="center"/>
          </w:tcPr>
          <w:p w14:paraId="52F8713B">
            <w:pPr>
              <w:spacing w:before="120" w:after="120" w:line="240" w:lineRule="auto"/>
              <w:rPr>
                <w:bCs/>
                <w:iCs/>
                <w:sz w:val="20"/>
                <w:szCs w:val="20"/>
              </w:rPr>
            </w:pPr>
            <w:r>
              <w:rPr>
                <w:bCs/>
                <w:iCs/>
                <w:sz w:val="20"/>
                <w:szCs w:val="20"/>
              </w:rPr>
              <w:t>OBJETIVO.</w:t>
            </w:r>
          </w:p>
          <w:p w14:paraId="289E9523">
            <w:pPr>
              <w:spacing w:before="120" w:after="120" w:line="240" w:lineRule="auto"/>
              <w:rPr>
                <w:bCs/>
                <w:iCs/>
                <w:sz w:val="20"/>
                <w:szCs w:val="20"/>
              </w:rPr>
            </w:pPr>
          </w:p>
        </w:tc>
      </w:tr>
      <w:tr w14:paraId="7C538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3" w:type="dxa"/>
            <w:vAlign w:val="center"/>
          </w:tcPr>
          <w:p w14:paraId="4B59ED38">
            <w:pPr>
              <w:spacing w:before="120" w:after="120" w:line="240" w:lineRule="auto"/>
              <w:rPr>
                <w:bCs/>
                <w:iCs/>
                <w:sz w:val="20"/>
                <w:szCs w:val="20"/>
              </w:rPr>
            </w:pPr>
            <w:r>
              <w:rPr>
                <w:bCs/>
                <w:iCs/>
                <w:sz w:val="20"/>
                <w:szCs w:val="20"/>
              </w:rPr>
              <w:t>IMPACTO AMBIENTAL A PREVENIR/MITIGAR/COMPENSAR/ REMEDIAR</w:t>
            </w:r>
          </w:p>
        </w:tc>
        <w:tc>
          <w:tcPr>
            <w:tcW w:w="3206" w:type="dxa"/>
            <w:gridSpan w:val="2"/>
            <w:vAlign w:val="center"/>
          </w:tcPr>
          <w:p w14:paraId="3EEC7FC8">
            <w:pPr>
              <w:spacing w:before="120" w:after="120" w:line="240" w:lineRule="auto"/>
              <w:rPr>
                <w:bCs/>
                <w:iCs/>
                <w:sz w:val="20"/>
                <w:szCs w:val="20"/>
              </w:rPr>
            </w:pPr>
            <w:r>
              <w:rPr>
                <w:bCs/>
                <w:iCs/>
                <w:sz w:val="20"/>
                <w:szCs w:val="20"/>
              </w:rPr>
              <w:t>COMPONENTE AMBIENTAL AFETADO</w:t>
            </w:r>
          </w:p>
        </w:tc>
        <w:tc>
          <w:tcPr>
            <w:tcW w:w="5904" w:type="dxa"/>
            <w:vAlign w:val="center"/>
          </w:tcPr>
          <w:p w14:paraId="4C573DE2">
            <w:pPr>
              <w:spacing w:before="120" w:after="120" w:line="240" w:lineRule="auto"/>
              <w:rPr>
                <w:bCs/>
                <w:iCs/>
                <w:sz w:val="20"/>
                <w:szCs w:val="20"/>
              </w:rPr>
            </w:pPr>
            <w:r>
              <w:rPr>
                <w:bCs/>
                <w:iCs/>
                <w:sz w:val="20"/>
                <w:szCs w:val="20"/>
              </w:rPr>
              <w:t>LOCALIZAÇÃO DA INTERVENÇÃO: (coordenadas georeferenciadas do trecho da obra)</w:t>
            </w:r>
          </w:p>
        </w:tc>
      </w:tr>
      <w:tr w14:paraId="393E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3" w:type="dxa"/>
            <w:vAlign w:val="center"/>
          </w:tcPr>
          <w:p w14:paraId="1CB2BD7A">
            <w:pPr>
              <w:spacing w:before="120" w:after="120" w:line="240" w:lineRule="auto"/>
              <w:rPr>
                <w:bCs/>
                <w:iCs/>
                <w:sz w:val="20"/>
                <w:szCs w:val="20"/>
              </w:rPr>
            </w:pPr>
          </w:p>
        </w:tc>
        <w:tc>
          <w:tcPr>
            <w:tcW w:w="3206" w:type="dxa"/>
            <w:gridSpan w:val="2"/>
            <w:vAlign w:val="center"/>
          </w:tcPr>
          <w:p w14:paraId="581A5F81">
            <w:pPr>
              <w:spacing w:before="120" w:after="120" w:line="240" w:lineRule="auto"/>
              <w:rPr>
                <w:bCs/>
                <w:iCs/>
                <w:sz w:val="20"/>
                <w:szCs w:val="20"/>
              </w:rPr>
            </w:pPr>
          </w:p>
        </w:tc>
        <w:tc>
          <w:tcPr>
            <w:tcW w:w="5904" w:type="dxa"/>
            <w:vAlign w:val="center"/>
          </w:tcPr>
          <w:p w14:paraId="6EAD0367">
            <w:pPr>
              <w:spacing w:before="120" w:after="120" w:line="240" w:lineRule="auto"/>
              <w:rPr>
                <w:bCs/>
                <w:iCs/>
                <w:sz w:val="20"/>
                <w:szCs w:val="20"/>
              </w:rPr>
            </w:pPr>
          </w:p>
        </w:tc>
      </w:tr>
      <w:tr w14:paraId="10A0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3" w:type="dxa"/>
            <w:vAlign w:val="center"/>
          </w:tcPr>
          <w:p w14:paraId="4D49FA1A">
            <w:pPr>
              <w:spacing w:before="120" w:after="120" w:line="240" w:lineRule="auto"/>
              <w:rPr>
                <w:bCs/>
                <w:iCs/>
                <w:sz w:val="20"/>
                <w:szCs w:val="20"/>
              </w:rPr>
            </w:pPr>
          </w:p>
        </w:tc>
        <w:tc>
          <w:tcPr>
            <w:tcW w:w="3206" w:type="dxa"/>
            <w:gridSpan w:val="2"/>
            <w:vAlign w:val="center"/>
          </w:tcPr>
          <w:p w14:paraId="30BAF5D1">
            <w:pPr>
              <w:spacing w:before="120" w:after="120" w:line="240" w:lineRule="auto"/>
              <w:rPr>
                <w:bCs/>
                <w:iCs/>
                <w:sz w:val="20"/>
                <w:szCs w:val="20"/>
              </w:rPr>
            </w:pPr>
          </w:p>
        </w:tc>
        <w:tc>
          <w:tcPr>
            <w:tcW w:w="5904" w:type="dxa"/>
            <w:vAlign w:val="center"/>
          </w:tcPr>
          <w:p w14:paraId="74B35BFB">
            <w:pPr>
              <w:spacing w:before="120" w:after="120" w:line="240" w:lineRule="auto"/>
              <w:rPr>
                <w:bCs/>
                <w:iCs/>
                <w:sz w:val="20"/>
                <w:szCs w:val="20"/>
              </w:rPr>
            </w:pPr>
          </w:p>
        </w:tc>
      </w:tr>
      <w:tr w14:paraId="5024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3" w:type="dxa"/>
            <w:vAlign w:val="center"/>
          </w:tcPr>
          <w:p w14:paraId="4B10C3DB">
            <w:pPr>
              <w:spacing w:before="120" w:after="120" w:line="240" w:lineRule="auto"/>
              <w:rPr>
                <w:bCs/>
                <w:iCs/>
                <w:sz w:val="20"/>
                <w:szCs w:val="20"/>
              </w:rPr>
            </w:pPr>
          </w:p>
        </w:tc>
        <w:tc>
          <w:tcPr>
            <w:tcW w:w="3206" w:type="dxa"/>
            <w:gridSpan w:val="2"/>
            <w:vAlign w:val="center"/>
          </w:tcPr>
          <w:p w14:paraId="3B877F6A">
            <w:pPr>
              <w:spacing w:before="120" w:after="120" w:line="240" w:lineRule="auto"/>
              <w:rPr>
                <w:bCs/>
                <w:iCs/>
                <w:sz w:val="20"/>
                <w:szCs w:val="20"/>
              </w:rPr>
            </w:pPr>
          </w:p>
        </w:tc>
        <w:tc>
          <w:tcPr>
            <w:tcW w:w="5904" w:type="dxa"/>
            <w:vAlign w:val="center"/>
          </w:tcPr>
          <w:p w14:paraId="6CDF70B4">
            <w:pPr>
              <w:spacing w:before="120" w:after="120" w:line="240" w:lineRule="auto"/>
              <w:rPr>
                <w:bCs/>
                <w:iCs/>
                <w:sz w:val="20"/>
                <w:szCs w:val="20"/>
              </w:rPr>
            </w:pPr>
          </w:p>
        </w:tc>
      </w:tr>
      <w:tr w14:paraId="1EF5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3433" w:type="dxa"/>
            <w:gridSpan w:val="4"/>
            <w:vAlign w:val="center"/>
          </w:tcPr>
          <w:p w14:paraId="33B51735">
            <w:pPr>
              <w:spacing w:before="120" w:after="120" w:line="240" w:lineRule="auto"/>
              <w:rPr>
                <w:bCs/>
                <w:iCs/>
                <w:sz w:val="20"/>
                <w:szCs w:val="20"/>
              </w:rPr>
            </w:pPr>
            <w:r>
              <w:rPr>
                <w:bCs/>
                <w:iCs/>
                <w:sz w:val="20"/>
                <w:szCs w:val="20"/>
              </w:rPr>
              <w:t>METODOLOGIA OU ATIVIDADES A SEREM IMPLEMENTADAS</w:t>
            </w:r>
          </w:p>
          <w:p w14:paraId="353BA1E0">
            <w:pPr>
              <w:spacing w:before="120" w:after="120" w:line="240" w:lineRule="auto"/>
              <w:rPr>
                <w:bCs/>
                <w:iCs/>
                <w:sz w:val="20"/>
                <w:szCs w:val="20"/>
              </w:rPr>
            </w:pPr>
          </w:p>
          <w:p w14:paraId="2B6A0760">
            <w:pPr>
              <w:spacing w:before="120" w:after="120" w:line="240" w:lineRule="auto"/>
              <w:rPr>
                <w:bCs/>
                <w:iCs/>
                <w:sz w:val="20"/>
                <w:szCs w:val="20"/>
              </w:rPr>
            </w:pPr>
          </w:p>
          <w:p w14:paraId="1B5C8338">
            <w:pPr>
              <w:spacing w:before="120" w:after="120" w:line="240" w:lineRule="auto"/>
              <w:rPr>
                <w:bCs/>
                <w:iCs/>
                <w:sz w:val="20"/>
                <w:szCs w:val="20"/>
              </w:rPr>
            </w:pPr>
          </w:p>
        </w:tc>
      </w:tr>
      <w:tr w14:paraId="0082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8" w:type="dxa"/>
            <w:gridSpan w:val="2"/>
            <w:vAlign w:val="center"/>
          </w:tcPr>
          <w:p w14:paraId="6D1F61F4">
            <w:pPr>
              <w:spacing w:before="120" w:after="120" w:line="240" w:lineRule="auto"/>
              <w:rPr>
                <w:bCs/>
                <w:iCs/>
                <w:sz w:val="20"/>
                <w:szCs w:val="20"/>
              </w:rPr>
            </w:pPr>
            <w:r>
              <w:rPr>
                <w:bCs/>
                <w:iCs/>
                <w:sz w:val="20"/>
                <w:szCs w:val="20"/>
              </w:rPr>
              <w:t>INDICADORES DE ACOMPANHAMENTO (Incluir linha de base, meta e prazo de cumprimento)</w:t>
            </w:r>
          </w:p>
        </w:tc>
        <w:tc>
          <w:tcPr>
            <w:tcW w:w="6275" w:type="dxa"/>
            <w:gridSpan w:val="2"/>
            <w:vAlign w:val="center"/>
          </w:tcPr>
          <w:p w14:paraId="637DCE55">
            <w:pPr>
              <w:spacing w:before="120" w:after="120" w:line="240" w:lineRule="auto"/>
              <w:rPr>
                <w:bCs/>
                <w:iCs/>
                <w:sz w:val="20"/>
                <w:szCs w:val="20"/>
              </w:rPr>
            </w:pPr>
            <w:r>
              <w:rPr>
                <w:bCs/>
                <w:iCs/>
                <w:sz w:val="20"/>
                <w:szCs w:val="20"/>
              </w:rPr>
              <w:t>MEIO DE VERIFICAÇÃO</w:t>
            </w:r>
          </w:p>
        </w:tc>
      </w:tr>
      <w:tr w14:paraId="63988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8" w:type="dxa"/>
            <w:gridSpan w:val="2"/>
            <w:vAlign w:val="center"/>
          </w:tcPr>
          <w:p w14:paraId="4715CA8E">
            <w:pPr>
              <w:spacing w:before="120" w:after="120" w:line="240" w:lineRule="auto"/>
              <w:rPr>
                <w:bCs/>
                <w:iCs/>
                <w:sz w:val="20"/>
                <w:szCs w:val="20"/>
              </w:rPr>
            </w:pPr>
          </w:p>
        </w:tc>
        <w:tc>
          <w:tcPr>
            <w:tcW w:w="6275" w:type="dxa"/>
            <w:gridSpan w:val="2"/>
            <w:vAlign w:val="center"/>
          </w:tcPr>
          <w:p w14:paraId="3E831D3F">
            <w:pPr>
              <w:spacing w:before="120" w:after="120" w:line="240" w:lineRule="auto"/>
              <w:rPr>
                <w:bCs/>
                <w:iCs/>
                <w:sz w:val="20"/>
                <w:szCs w:val="20"/>
              </w:rPr>
            </w:pPr>
          </w:p>
        </w:tc>
      </w:tr>
      <w:tr w14:paraId="404E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8" w:type="dxa"/>
            <w:gridSpan w:val="2"/>
            <w:vAlign w:val="center"/>
          </w:tcPr>
          <w:p w14:paraId="1565FA48">
            <w:pPr>
              <w:spacing w:before="120" w:after="120" w:line="240" w:lineRule="auto"/>
              <w:rPr>
                <w:bCs/>
                <w:iCs/>
                <w:sz w:val="20"/>
                <w:szCs w:val="20"/>
              </w:rPr>
            </w:pPr>
          </w:p>
        </w:tc>
        <w:tc>
          <w:tcPr>
            <w:tcW w:w="6275" w:type="dxa"/>
            <w:gridSpan w:val="2"/>
            <w:vAlign w:val="center"/>
          </w:tcPr>
          <w:p w14:paraId="10536A42">
            <w:pPr>
              <w:spacing w:before="120" w:after="120" w:line="240" w:lineRule="auto"/>
              <w:rPr>
                <w:bCs/>
                <w:iCs/>
                <w:sz w:val="20"/>
                <w:szCs w:val="20"/>
              </w:rPr>
            </w:pPr>
          </w:p>
        </w:tc>
      </w:tr>
      <w:tr w14:paraId="1058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3" w:type="dxa"/>
            <w:vAlign w:val="center"/>
          </w:tcPr>
          <w:p w14:paraId="6ABF7F85">
            <w:pPr>
              <w:spacing w:before="120" w:after="120" w:line="240" w:lineRule="auto"/>
              <w:rPr>
                <w:bCs/>
                <w:iCs/>
                <w:sz w:val="20"/>
                <w:szCs w:val="20"/>
              </w:rPr>
            </w:pPr>
            <w:r>
              <w:rPr>
                <w:bCs/>
                <w:iCs/>
                <w:sz w:val="20"/>
                <w:szCs w:val="20"/>
              </w:rPr>
              <w:t>RESPONSÁVEL</w:t>
            </w:r>
          </w:p>
          <w:p w14:paraId="46C18B06">
            <w:pPr>
              <w:spacing w:before="120" w:after="120" w:line="240" w:lineRule="auto"/>
              <w:rPr>
                <w:bCs/>
                <w:iCs/>
                <w:sz w:val="20"/>
                <w:szCs w:val="20"/>
              </w:rPr>
            </w:pPr>
          </w:p>
        </w:tc>
        <w:tc>
          <w:tcPr>
            <w:tcW w:w="2835" w:type="dxa"/>
            <w:vAlign w:val="center"/>
          </w:tcPr>
          <w:p w14:paraId="569C63CD">
            <w:pPr>
              <w:spacing w:before="120" w:after="120" w:line="240" w:lineRule="auto"/>
              <w:rPr>
                <w:bCs/>
                <w:iCs/>
                <w:sz w:val="20"/>
                <w:szCs w:val="20"/>
              </w:rPr>
            </w:pPr>
            <w:r>
              <w:rPr>
                <w:bCs/>
                <w:iCs/>
                <w:sz w:val="20"/>
                <w:szCs w:val="20"/>
              </w:rPr>
              <w:t xml:space="preserve">RECURSOS APLICADOS (técnicos, administrativos, materiais e equipamentos) </w:t>
            </w:r>
          </w:p>
        </w:tc>
        <w:tc>
          <w:tcPr>
            <w:tcW w:w="6275" w:type="dxa"/>
            <w:gridSpan w:val="2"/>
            <w:vAlign w:val="center"/>
          </w:tcPr>
          <w:p w14:paraId="3A128AD4">
            <w:pPr>
              <w:spacing w:before="120" w:after="120" w:line="240" w:lineRule="auto"/>
              <w:rPr>
                <w:bCs/>
                <w:iCs/>
                <w:sz w:val="20"/>
                <w:szCs w:val="20"/>
              </w:rPr>
            </w:pPr>
            <w:r>
              <w:rPr>
                <w:bCs/>
                <w:iCs/>
                <w:sz w:val="20"/>
                <w:szCs w:val="20"/>
              </w:rPr>
              <w:t>PRESSUPOSTO</w:t>
            </w:r>
          </w:p>
        </w:tc>
      </w:tr>
    </w:tbl>
    <w:p w14:paraId="043C29ED">
      <w:pPr>
        <w:rPr>
          <w:bCs/>
          <w:iCs/>
        </w:rPr>
      </w:pPr>
    </w:p>
    <w:p w14:paraId="4F4FC76E">
      <w:pPr>
        <w:rPr>
          <w:bCs/>
          <w:iCs/>
        </w:rPr>
      </w:pPr>
      <w:r>
        <w:rPr>
          <w:bCs/>
          <w:iCs/>
        </w:rPr>
        <w:t xml:space="preserve">Local e data: </w:t>
      </w:r>
      <w:r>
        <w:rPr>
          <w:bCs/>
          <w:i/>
          <w:highlight w:val="yellow"/>
        </w:rPr>
        <w:t>[indicar]</w:t>
      </w:r>
    </w:p>
    <w:sectPr>
      <w:pgSz w:w="11906" w:h="16838"/>
      <w:pgMar w:top="1440" w:right="1666" w:bottom="1440" w:left="1440" w:header="708" w:footer="708" w:gutter="0"/>
      <w:pgBorders>
        <w:top w:val="none" w:sz="0" w:space="0"/>
        <w:left w:val="none" w:sz="0" w:space="0"/>
        <w:bottom w:val="none" w:sz="0" w:space="0"/>
        <w:right w:val="none" w:sz="0" w:space="0"/>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imSun"/>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Arial"/>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imes New Roman Negrito">
    <w:altName w:val="Times New Roman"/>
    <w:panose1 w:val="02020803070505020304"/>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0" w:usb3="00000000" w:csb0="0002009F" w:csb1="00000000"/>
  </w:font>
  <w:font w:name="等线">
    <w:altName w:val="Microsoft YaHei"/>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CIDFont+F1">
    <w:altName w:val="Yu Gothic"/>
    <w:panose1 w:val="00000000000000000000"/>
    <w:charset w:val="80"/>
    <w:family w:val="auto"/>
    <w:pitch w:val="default"/>
    <w:sig w:usb0="00000000" w:usb1="00000000" w:usb2="00000010" w:usb3="00000000" w:csb0="00020000" w:csb1="00000000"/>
  </w:font>
  <w:font w:name="Wingdings">
    <w:panose1 w:val="05000000000000000000"/>
    <w:charset w:val="02"/>
    <w:family w:val="auto"/>
    <w:pitch w:val="default"/>
    <w:sig w:usb0="00000000" w:usb1="00000000" w:usb2="00000000" w:usb3="00000000" w:csb0="80000000" w:csb1="00000000"/>
  </w:font>
  <w:font w:name="DengXian">
    <w:altName w:val="SimSun"/>
    <w:panose1 w:val="00000000000000000000"/>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9ABF1">
    <w:pPr>
      <w:pStyle w:val="26"/>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BC002">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50340">
    <w:pPr>
      <w:pStyle w:val="26"/>
      <w:jc w:val="right"/>
    </w:pPr>
    <w:r>
      <w:fldChar w:fldCharType="begin"/>
    </w:r>
    <w:r>
      <w:instrText xml:space="preserve">PAGE   \* MERGEFORMAT</w:instrText>
    </w:r>
    <w:r>
      <w:fldChar w:fldCharType="separate"/>
    </w:r>
    <w:r>
      <w:rPr>
        <w:lang w:val="es-ES"/>
      </w:rPr>
      <w:t>37</w:t>
    </w:r>
    <w:r>
      <w:rPr>
        <w:lang w:val="es-E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4">
    <w:p>
      <w:pPr>
        <w:spacing w:before="0" w:after="0" w:line="259" w:lineRule="auto"/>
      </w:pPr>
      <w:r>
        <w:separator/>
      </w:r>
    </w:p>
  </w:footnote>
  <w:footnote w:type="continuationSeparator" w:id="25">
    <w:p>
      <w:pPr>
        <w:spacing w:before="0" w:after="0" w:line="259" w:lineRule="auto"/>
      </w:pPr>
      <w:r>
        <w:continuationSeparator/>
      </w:r>
    </w:p>
  </w:footnote>
  <w:footnote w:id="0">
    <w:p w14:paraId="48711043">
      <w:pPr>
        <w:jc w:val="both"/>
        <w:rPr>
          <w:rFonts w:ascii="Times New Roman" w:hAnsi="Times New Roman"/>
          <w:sz w:val="18"/>
          <w:szCs w:val="18"/>
        </w:rPr>
      </w:pPr>
      <w:r>
        <w:rPr>
          <w:rFonts w:ascii="Times New Roman" w:hAnsi="Times New Roman"/>
          <w:sz w:val="18"/>
          <w:szCs w:val="18"/>
          <w:vertAlign w:val="superscript"/>
        </w:rPr>
        <w:footnoteRef/>
      </w:r>
      <w:r>
        <w:rPr>
          <w:rFonts w:ascii="Times New Roman" w:hAnsi="Times New Roman"/>
          <w:sz w:val="18"/>
          <w:szCs w:val="18"/>
        </w:rPr>
        <w:t xml:space="preserve"> Privilégios legais às ME e as EPP, não serão aplicadas no caso de contratação de obras cujo valor estimado for superior à receita bruta máxima admitida para fins de enquadramento como EPP, hoje R$ 4.800.000,00 (quatro milhões e oitocentos mil reais) ou, que no ano-calendário de realização da licitação, ainda não tenham celebrado contratos com a Administração Pública cujos valores somados extrapolem esse valor.</w:t>
      </w:r>
    </w:p>
  </w:footnote>
  <w:footnote w:id="1">
    <w:p w14:paraId="3B158EA5">
      <w:pPr>
        <w:pStyle w:val="33"/>
        <w:jc w:val="both"/>
        <w:rPr>
          <w:sz w:val="16"/>
          <w:szCs w:val="16"/>
        </w:rPr>
      </w:pPr>
      <w:r>
        <w:rPr>
          <w:rStyle w:val="15"/>
          <w:sz w:val="16"/>
          <w:szCs w:val="16"/>
        </w:rPr>
        <w:footnoteRef/>
      </w:r>
      <w:r>
        <w:rPr>
          <w:sz w:val="16"/>
          <w:szCs w:val="16"/>
        </w:rPr>
        <w:t xml:space="preserve"> http://www.ilo.org/global/standards/introduction-to-international-labour-standards/conventions-and-recommendations/lang--en/index.htm</w:t>
      </w:r>
    </w:p>
  </w:footnote>
  <w:footnote w:id="2">
    <w:p w14:paraId="6AB789E3">
      <w:pPr>
        <w:pStyle w:val="33"/>
        <w:jc w:val="both"/>
        <w:rPr>
          <w:sz w:val="16"/>
          <w:szCs w:val="16"/>
        </w:rPr>
      </w:pPr>
      <w:r>
        <w:rPr>
          <w:rStyle w:val="15"/>
          <w:sz w:val="16"/>
          <w:szCs w:val="16"/>
        </w:rPr>
        <w:footnoteRef/>
      </w:r>
      <w:r>
        <w:rPr>
          <w:sz w:val="16"/>
          <w:szCs w:val="16"/>
        </w:rPr>
        <w:t xml:space="preserve"> http://www.ilo.org/safework/info/standards-and-instruments/WCMS_107727/lang--en/index.htm</w:t>
      </w:r>
    </w:p>
  </w:footnote>
  <w:footnote w:id="3">
    <w:p w14:paraId="101ABB55">
      <w:pPr>
        <w:pStyle w:val="33"/>
        <w:jc w:val="both"/>
        <w:rPr>
          <w:sz w:val="18"/>
          <w:szCs w:val="18"/>
        </w:rPr>
      </w:pPr>
      <w:r>
        <w:rPr>
          <w:rStyle w:val="15"/>
          <w:sz w:val="16"/>
          <w:szCs w:val="16"/>
        </w:rPr>
        <w:footnoteRef/>
      </w:r>
      <w:r>
        <w:rPr>
          <w:sz w:val="16"/>
          <w:szCs w:val="16"/>
        </w:rPr>
        <w:t xml:space="preserve"> Por exemplo: AIAS (Avaliação do Impacto Ambiental e Social) e PGAS (Planos de Gestão Ambiental e Social).</w:t>
      </w:r>
    </w:p>
  </w:footnote>
  <w:footnote w:id="4">
    <w:p w14:paraId="51451619">
      <w:pPr>
        <w:pStyle w:val="33"/>
      </w:pPr>
      <w:r>
        <w:rPr>
          <w:rStyle w:val="15"/>
          <w:sz w:val="16"/>
          <w:szCs w:val="16"/>
        </w:rPr>
        <w:footnoteRef/>
      </w:r>
      <w:r>
        <w:rPr>
          <w:sz w:val="16"/>
          <w:szCs w:val="16"/>
        </w:rPr>
        <w:t xml:space="preserve"> Por exemplo: AIAS (Avaliação do Impacto Ambiental e Social) e PGAS (Planos de Gestão Ambiental e Social).</w:t>
      </w:r>
    </w:p>
  </w:footnote>
  <w:footnote w:id="5">
    <w:p w14:paraId="0A3E687F">
      <w:pPr>
        <w:pStyle w:val="33"/>
      </w:pPr>
      <w:r>
        <w:rPr>
          <w:rStyle w:val="15"/>
          <w:sz w:val="22"/>
          <w:szCs w:val="22"/>
        </w:rPr>
        <w:footnoteRef/>
      </w:r>
      <w:r>
        <w:rPr>
          <w:sz w:val="18"/>
          <w:szCs w:val="18"/>
        </w:rPr>
        <w:t xml:space="preserve"> </w:t>
      </w:r>
      <w:r>
        <w:rPr>
          <w:i/>
          <w:sz w:val="18"/>
          <w:szCs w:val="18"/>
          <w:highlight w:val="yellow"/>
        </w:rPr>
        <w:t>[</w:t>
      </w:r>
      <w:r>
        <w:rPr>
          <w:sz w:val="18"/>
          <w:szCs w:val="18"/>
          <w:highlight w:val="yellow"/>
        </w:rPr>
        <w:t>Manter as linhas “SUBTOTAL”, “PREÇO TOTAL...”, “VALOR POR EXTENSO” e a “Nota” desse modelo de planilha no modelo padrão do Contratante a ser utilizado.]</w:t>
      </w:r>
    </w:p>
  </w:footnote>
  <w:footnote w:id="6">
    <w:p w14:paraId="3B26ABDE">
      <w:pPr>
        <w:pStyle w:val="33"/>
        <w:rPr>
          <w:sz w:val="18"/>
          <w:szCs w:val="18"/>
        </w:rPr>
      </w:pPr>
      <w:r>
        <w:rPr>
          <w:rStyle w:val="15"/>
          <w:sz w:val="22"/>
          <w:szCs w:val="22"/>
        </w:rPr>
        <w:footnoteRef/>
      </w:r>
      <w:r>
        <w:rPr>
          <w:sz w:val="18"/>
          <w:szCs w:val="18"/>
        </w:rPr>
        <w:t xml:space="preserve"> ISS: Imposto sobre Serviços.</w:t>
      </w:r>
    </w:p>
  </w:footnote>
  <w:footnote w:id="7">
    <w:p w14:paraId="07307804">
      <w:pPr>
        <w:pStyle w:val="33"/>
        <w:rPr>
          <w:sz w:val="18"/>
          <w:szCs w:val="18"/>
        </w:rPr>
      </w:pPr>
      <w:r>
        <w:rPr>
          <w:rStyle w:val="15"/>
          <w:sz w:val="22"/>
          <w:szCs w:val="22"/>
        </w:rPr>
        <w:footnoteRef/>
      </w:r>
      <w:r>
        <w:rPr>
          <w:sz w:val="18"/>
          <w:szCs w:val="18"/>
        </w:rPr>
        <w:t xml:space="preserve"> COFINS: Contribuição para o Financiamento da Seguridade Social.</w:t>
      </w:r>
    </w:p>
  </w:footnote>
  <w:footnote w:id="8">
    <w:p w14:paraId="0F843676">
      <w:pPr>
        <w:pStyle w:val="33"/>
        <w:rPr>
          <w:sz w:val="18"/>
          <w:szCs w:val="18"/>
        </w:rPr>
      </w:pPr>
      <w:r>
        <w:rPr>
          <w:rStyle w:val="15"/>
          <w:sz w:val="22"/>
          <w:szCs w:val="22"/>
        </w:rPr>
        <w:footnoteRef/>
      </w:r>
      <w:r>
        <w:rPr>
          <w:sz w:val="18"/>
          <w:szCs w:val="18"/>
        </w:rPr>
        <w:t xml:space="preserve"> PIS: Programa de Integração Social.</w:t>
      </w:r>
    </w:p>
  </w:footnote>
  <w:footnote w:id="9">
    <w:p w14:paraId="35298B33">
      <w:pPr>
        <w:pStyle w:val="33"/>
      </w:pPr>
      <w:r>
        <w:rPr>
          <w:rStyle w:val="15"/>
          <w:sz w:val="22"/>
          <w:szCs w:val="22"/>
        </w:rPr>
        <w:footnoteRef/>
      </w:r>
      <w:r>
        <w:rPr>
          <w:sz w:val="18"/>
          <w:szCs w:val="18"/>
        </w:rPr>
        <w:t xml:space="preserve"> CPRB: Contribuição Previdenciária sobre a Receita Bruta.</w:t>
      </w:r>
    </w:p>
  </w:footnote>
  <w:footnote w:id="10">
    <w:p w14:paraId="1585118F">
      <w:pPr>
        <w:pStyle w:val="33"/>
      </w:pPr>
      <w:r>
        <w:rPr>
          <w:rStyle w:val="15"/>
        </w:rPr>
        <w:footnoteRef/>
      </w:r>
      <w:r>
        <w:t xml:space="preserve"> A declaração de manutenção da proposta de um consórcio deverá ser emitida em nome do consórcio que apresentar a proposta. Se o consórcio não estiver legalmente constituído no momento de apresentar a proposta, a declaração exigida deverá estar em nome de todos os futuros participantes.</w:t>
      </w:r>
    </w:p>
  </w:footnote>
  <w:footnote w:id="11">
    <w:p w14:paraId="6BBDBC05">
      <w:pPr>
        <w:pStyle w:val="33"/>
        <w:jc w:val="both"/>
      </w:pPr>
      <w:r>
        <w:rPr>
          <w:rStyle w:val="15"/>
          <w:rFonts w:eastAsiaTheme="minorEastAsia"/>
          <w:sz w:val="22"/>
          <w:szCs w:val="22"/>
        </w:rPr>
        <w:footnoteRef/>
      </w:r>
      <w:r>
        <w:rPr>
          <w:sz w:val="18"/>
          <w:szCs w:val="18"/>
        </w:rPr>
        <w:t xml:space="preserve"> Constatado superfaturamento é legítima a compensação de débitos e créditos existentes entre a Administração Pública e a empresa contratada como forma de reparação de danos ao erário, com a aplicação do instituto da compensação constante no art. 368 da Lei Federal n.º 10.406/2002, com respaldo no Acórdão 1175/2017 TCU/Plenário.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2E622">
    <w:pPr>
      <w:pStyle w:val="24"/>
    </w:pPr>
    <w:r>
      <w:rPr>
        <w:rFonts w:hint="default" w:ascii="Arial" w:hAnsi="Arial" w:cs="Arial"/>
        <w:sz w:val="10"/>
        <w:szCs w:val="10"/>
        <w:lang w:eastAsia="pt-BR"/>
      </w:rPr>
      <mc:AlternateContent>
        <mc:Choice Requires="wps">
          <w:drawing>
            <wp:anchor distT="0" distB="0" distL="114300" distR="114300" simplePos="0" relativeHeight="251659264" behindDoc="0" locked="0" layoutInCell="1" allowOverlap="1">
              <wp:simplePos x="0" y="0"/>
              <wp:positionH relativeFrom="column">
                <wp:posOffset>5499100</wp:posOffset>
              </wp:positionH>
              <wp:positionV relativeFrom="paragraph">
                <wp:posOffset>-200660</wp:posOffset>
              </wp:positionV>
              <wp:extent cx="1127760" cy="835025"/>
              <wp:effectExtent l="0" t="0" r="15240" b="3175"/>
              <wp:wrapNone/>
              <wp:docPr id="5" name="Text Box 8"/>
              <wp:cNvGraphicFramePr/>
              <a:graphic xmlns:a="http://schemas.openxmlformats.org/drawingml/2006/main">
                <a:graphicData uri="http://schemas.microsoft.com/office/word/2010/wordprocessingShape">
                  <wps:wsp>
                    <wps:cNvSpPr txBox="1"/>
                    <wps:spPr>
                      <a:xfrm>
                        <a:off x="0" y="0"/>
                        <a:ext cx="1127760" cy="835025"/>
                      </a:xfrm>
                      <a:prstGeom prst="rect">
                        <a:avLst/>
                      </a:prstGeom>
                      <a:solidFill>
                        <a:srgbClr val="FFFFFF"/>
                      </a:solidFill>
                      <a:ln w="3175" cap="flat" cmpd="sng">
                        <a:noFill/>
                        <a:prstDash val="solid"/>
                        <a:miter/>
                        <a:headEnd type="none" w="med" len="med"/>
                        <a:tailEnd type="none" w="med" len="med"/>
                      </a:ln>
                      <a:effectLst/>
                    </wps:spPr>
                    <wps:txbx>
                      <w:txbxContent>
                        <w:p w14:paraId="7D4CE5EA">
                          <w:pPr>
                            <w:spacing w:afterLines="0"/>
                            <w:rPr>
                              <w:rFonts w:hint="default" w:ascii="Arial" w:hAnsi="Arial" w:cs="Arial"/>
                              <w:sz w:val="14"/>
                              <w:szCs w:val="14"/>
                              <w:lang w:val="en-US"/>
                            </w:rPr>
                          </w:pPr>
                        </w:p>
                        <w:p w14:paraId="0217E01E">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______</w:t>
                          </w:r>
                          <w:r>
                            <w:rPr>
                              <w:rFonts w:hint="default" w:ascii="Arial" w:hAnsi="Arial" w:cs="Arial"/>
                              <w:sz w:val="14"/>
                              <w:szCs w:val="14"/>
                              <w:lang w:val="en-US"/>
                            </w:rPr>
                            <w:t>_</w:t>
                          </w:r>
                        </w:p>
                        <w:p w14:paraId="4C3344B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r>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t xml:space="preserve"> </w:t>
                          </w:r>
                        </w:p>
                        <w:p w14:paraId="3651482C">
                          <w:pPr>
                            <w:spacing w:before="60" w:beforeLines="25" w:after="0" w:afterLines="0"/>
                            <w:rPr>
                              <w:sz w:val="15"/>
                              <w:szCs w:val="15"/>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33pt;margin-top:-15.8pt;height:65.75pt;width:88.8pt;z-index:251659264;mso-width-relative:page;mso-height-relative:page;" fillcolor="#FFFFFF" filled="t" stroked="f" coordsize="21600,21600" o:gfxdata="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JvU3/ZAAAACwEAAA8AAAAAAAAAAQAgAAAAIgAAAGRycy9kb3ducmV2LnhtbFBLAQIUABQAAAAI&#10;AIdO4kC/khhhJQIAAHYEAAAOAAAAAAAAAAEAIAAAACgBAABkcnMvZTJvRG9jLnhtbFBLBQYAAAAA&#10;BgAGAFkBAAC/BQAAAAA=&#10;">
              <v:fill on="t" focussize="0,0"/>
              <v:stroke on="f" weight="0.25pt" joinstyle="miter"/>
              <v:imagedata o:title=""/>
              <o:lock v:ext="edit" aspectratio="f"/>
              <v:textbox inset="1mm,1.27mm,1mm,1.27mm">
                <w:txbxContent>
                  <w:p w14:paraId="7D4CE5EA">
                    <w:pPr>
                      <w:spacing w:afterLines="0"/>
                      <w:rPr>
                        <w:rFonts w:hint="default" w:ascii="Arial" w:hAnsi="Arial" w:cs="Arial"/>
                        <w:sz w:val="14"/>
                        <w:szCs w:val="14"/>
                        <w:lang w:val="en-US"/>
                      </w:rPr>
                    </w:pPr>
                  </w:p>
                  <w:p w14:paraId="0217E01E">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______</w:t>
                    </w:r>
                    <w:r>
                      <w:rPr>
                        <w:rFonts w:hint="default" w:ascii="Arial" w:hAnsi="Arial" w:cs="Arial"/>
                        <w:sz w:val="14"/>
                        <w:szCs w:val="14"/>
                        <w:lang w:val="en-US"/>
                      </w:rPr>
                      <w:t>_</w:t>
                    </w:r>
                  </w:p>
                  <w:p w14:paraId="4C3344B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r>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t xml:space="preserve"> </w:t>
                    </w:r>
                  </w:p>
                  <w:p w14:paraId="3651482C">
                    <w:pPr>
                      <w:spacing w:before="60" w:beforeLines="25" w:after="0" w:afterLines="0"/>
                      <w:rPr>
                        <w:sz w:val="15"/>
                        <w:szCs w:val="15"/>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_____</w:t>
                    </w:r>
                  </w:p>
                </w:txbxContent>
              </v:textbox>
            </v:shape>
          </w:pict>
        </mc:Fallback>
      </mc:AlternateContent>
    </w:r>
    <w:r>
      <w:rPr>
        <w:lang w:eastAsia="pt-BR"/>
      </w:rPr>
      <w:drawing>
        <wp:inline distT="0" distB="0" distL="0" distR="0">
          <wp:extent cx="5499100" cy="530225"/>
          <wp:effectExtent l="0" t="0" r="6350" b="3175"/>
          <wp:docPr id="13"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_x0000_i0"/>
                  <pic:cNvPicPr>
                    <a:picLocks noChangeAspect="1" noChangeArrowheads="1"/>
                  </pic:cNvPicPr>
                </pic:nvPicPr>
                <pic:blipFill>
                  <a:blip r:embed="rId1"/>
                  <a:srcRect/>
                  <a:stretch>
                    <a:fillRect/>
                  </a:stretch>
                </pic:blipFill>
                <pic:spPr>
                  <a:xfrm>
                    <a:off x="0" y="0"/>
                    <a:ext cx="5499100" cy="530225"/>
                  </a:xfrm>
                  <a:prstGeom prst="rect">
                    <a:avLst/>
                  </a:prstGeom>
                  <a:noFill/>
                  <a:ln w="9525">
                    <a:noFill/>
                    <a:miter lim="800000"/>
                    <a:headEnd/>
                    <a:tailEnd/>
                  </a:ln>
                </pic:spPr>
              </pic:pic>
            </a:graphicData>
          </a:graphic>
        </wp:inline>
      </w:drawing>
    </w:r>
    <w:bookmarkStart w:id="683" w:name="_Hlk12198684"/>
    <w:bookmarkEnd w:id="683"/>
    <w:bookmarkStart w:id="684" w:name="_Hlk12198683"/>
    <w:bookmarkEnd w:id="684"/>
    <w:bookmarkStart w:id="685" w:name="_Hlk12199848"/>
    <w:bookmarkEnd w:id="685"/>
    <w:bookmarkStart w:id="686" w:name="_Hlk12199847"/>
    <w:bookmarkEnd w:id="686"/>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88070">
    <w:pPr>
      <w:pStyle w:val="24"/>
      <w:pBdr>
        <w:bottom w:val="single" w:color="auto" w:sz="4" w:space="1"/>
      </w:pBdr>
      <w:jc w:val="right"/>
    </w:pPr>
    <w:r>
      <w:rPr>
        <w:rFonts w:hint="default" w:ascii="Arial" w:hAnsi="Arial" w:cs="Arial"/>
        <w:sz w:val="10"/>
        <w:szCs w:val="10"/>
        <w:lang w:eastAsia="pt-BR"/>
      </w:rPr>
      <mc:AlternateContent>
        <mc:Choice Requires="wps">
          <w:drawing>
            <wp:anchor distT="0" distB="0" distL="114300" distR="114300" simplePos="0" relativeHeight="251660288" behindDoc="0" locked="0" layoutInCell="1" allowOverlap="1">
              <wp:simplePos x="0" y="0"/>
              <wp:positionH relativeFrom="column">
                <wp:posOffset>5880100</wp:posOffset>
              </wp:positionH>
              <wp:positionV relativeFrom="paragraph">
                <wp:posOffset>-272415</wp:posOffset>
              </wp:positionV>
              <wp:extent cx="1255395" cy="795655"/>
              <wp:effectExtent l="0" t="0" r="1905" b="4445"/>
              <wp:wrapNone/>
              <wp:docPr id="2" name="Text Box 8"/>
              <wp:cNvGraphicFramePr/>
              <a:graphic xmlns:a="http://schemas.openxmlformats.org/drawingml/2006/main">
                <a:graphicData uri="http://schemas.microsoft.com/office/word/2010/wordprocessingShape">
                  <wps:wsp>
                    <wps:cNvSpPr txBox="1"/>
                    <wps:spPr>
                      <a:xfrm>
                        <a:off x="0" y="0"/>
                        <a:ext cx="1255395" cy="795655"/>
                      </a:xfrm>
                      <a:prstGeom prst="rect">
                        <a:avLst/>
                      </a:prstGeom>
                      <a:solidFill>
                        <a:srgbClr val="FFFFFF"/>
                      </a:solidFill>
                      <a:ln w="3175" cap="flat" cmpd="sng">
                        <a:noFill/>
                        <a:prstDash val="solid"/>
                        <a:miter/>
                        <a:headEnd type="none" w="med" len="med"/>
                        <a:tailEnd type="none" w="med" len="med"/>
                      </a:ln>
                      <a:effectLst/>
                    </wps:spPr>
                    <wps:txbx>
                      <w:txbxContent>
                        <w:p w14:paraId="1FDA6E04">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E042344">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5A0D469D">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63pt;margin-top:-21.45pt;height:62.65pt;width:98.85pt;z-index:251660288;mso-width-relative:page;mso-height-relative:page;" fillcolor="#FFFFFF" filled="t" stroked="f" coordsize="21600,21600" o:gfxdata="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Ao3DI2QAAAAsBAAAPAAAAAAAAAAEAIAAAACIAAABkcnMvZG93bnJldi54bWxQSwECFAAUAAAA&#10;CACHTuJAmjgVZyYCAAB2BAAADgAAAAAAAAABACAAAAAoAQAAZHJzL2Uyb0RvYy54bWxQSwUGAAAA&#10;AAYABgBZAQAAwAUAAAAA&#10;">
              <v:fill on="t" focussize="0,0"/>
              <v:stroke on="f" weight="0.25pt" joinstyle="miter"/>
              <v:imagedata o:title=""/>
              <o:lock v:ext="edit" aspectratio="f"/>
              <v:textbox inset="1mm,1.27mm,1mm,1.27mm">
                <w:txbxContent>
                  <w:p w14:paraId="1FDA6E04">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E042344">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5A0D469D">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t>Conteúdo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BB008">
    <w:pPr>
      <w:pStyle w:val="24"/>
      <w:pBdr>
        <w:bottom w:val="single" w:color="auto" w:sz="4" w:space="1"/>
      </w:pBdr>
      <w:tabs>
        <w:tab w:val="clear" w:pos="9026"/>
      </w:tabs>
      <w:ind w:right="224" w:rightChars="102"/>
      <w:jc w:val="right"/>
    </w:pPr>
    <w:r>
      <w:rPr>
        <w:rFonts w:hint="default" w:ascii="Arial" w:hAnsi="Arial" w:cs="Arial"/>
        <w:sz w:val="10"/>
        <w:szCs w:val="10"/>
        <w:lang w:eastAsia="pt-BR"/>
      </w:rPr>
      <mc:AlternateContent>
        <mc:Choice Requires="wps">
          <w:drawing>
            <wp:anchor distT="0" distB="0" distL="114300" distR="114300" simplePos="0" relativeHeight="251661312" behindDoc="0" locked="0" layoutInCell="1" allowOverlap="1">
              <wp:simplePos x="0" y="0"/>
              <wp:positionH relativeFrom="column">
                <wp:posOffset>5666105</wp:posOffset>
              </wp:positionH>
              <wp:positionV relativeFrom="paragraph">
                <wp:posOffset>-330200</wp:posOffset>
              </wp:positionV>
              <wp:extent cx="914400" cy="795655"/>
              <wp:effectExtent l="0" t="0" r="0" b="4445"/>
              <wp:wrapNone/>
              <wp:docPr id="4"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1310BF4F">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6CC192B">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15F3133C">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6.15pt;margin-top:-26pt;height:62.65pt;width:72pt;z-index:251661312;mso-width-relative:page;mso-height-relative:page;" fillcolor="#FFFFFF" filled="t" stroked="f" coordsize="21600,21600" o:gfxdata="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2IHIHYAAAACwEAAA8AAAAAAAAAAQAgAAAAIgAAAGRycy9kb3ducmV2LnhtbFBLAQIUABQAAAAI&#10;AIdO4kBWma1rJgIAAHUEAAAOAAAAAAAAAAEAIAAAACcBAABkcnMvZTJvRG9jLnhtbFBLBQYAAAAA&#10;BgAGAFkBAAC/BQAAAAA=&#10;">
              <v:fill on="t" focussize="0,0"/>
              <v:stroke on="f" weight="0.25pt" joinstyle="miter"/>
              <v:imagedata o:title=""/>
              <o:lock v:ext="edit" aspectratio="f"/>
              <v:textbox inset="1mm,1.27mm,1mm,1.27mm">
                <w:txbxContent>
                  <w:p w14:paraId="1310BF4F">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6CC192B">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15F3133C">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Sumário</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48286">
    <w:pPr>
      <w:pStyle w:val="24"/>
      <w:pBdr>
        <w:bottom w:val="single" w:color="auto" w:sz="4" w:space="1"/>
      </w:pBdr>
      <w:tabs>
        <w:tab w:val="clear" w:pos="9026"/>
      </w:tabs>
      <w:ind w:right="224" w:rightChars="102"/>
      <w:jc w:val="right"/>
    </w:pPr>
    <w:r>
      <w:rPr>
        <w:rFonts w:hint="default" w:ascii="Arial" w:hAnsi="Arial" w:cs="Arial"/>
        <w:sz w:val="10"/>
        <w:szCs w:val="10"/>
        <w:lang w:eastAsia="pt-BR"/>
      </w:rPr>
      <mc:AlternateContent>
        <mc:Choice Requires="wps">
          <w:drawing>
            <wp:anchor distT="0" distB="0" distL="114300" distR="114300" simplePos="0" relativeHeight="251662336" behindDoc="0" locked="0" layoutInCell="1" allowOverlap="1">
              <wp:simplePos x="0" y="0"/>
              <wp:positionH relativeFrom="column">
                <wp:posOffset>5721985</wp:posOffset>
              </wp:positionH>
              <wp:positionV relativeFrom="paragraph">
                <wp:posOffset>-330200</wp:posOffset>
              </wp:positionV>
              <wp:extent cx="858520" cy="795655"/>
              <wp:effectExtent l="0" t="0" r="17780" b="4445"/>
              <wp:wrapNone/>
              <wp:docPr id="6" name="Text Box 8"/>
              <wp:cNvGraphicFramePr/>
              <a:graphic xmlns:a="http://schemas.openxmlformats.org/drawingml/2006/main">
                <a:graphicData uri="http://schemas.microsoft.com/office/word/2010/wordprocessingShape">
                  <wps:wsp>
                    <wps:cNvSpPr txBox="1"/>
                    <wps:spPr>
                      <a:xfrm>
                        <a:off x="0" y="0"/>
                        <a:ext cx="858520" cy="795655"/>
                      </a:xfrm>
                      <a:prstGeom prst="rect">
                        <a:avLst/>
                      </a:prstGeom>
                      <a:solidFill>
                        <a:srgbClr val="FFFFFF"/>
                      </a:solidFill>
                      <a:ln w="3175" cap="flat" cmpd="sng">
                        <a:noFill/>
                        <a:prstDash val="solid"/>
                        <a:miter/>
                        <a:headEnd type="none" w="med" len="med"/>
                        <a:tailEnd type="none" w="med" len="med"/>
                      </a:ln>
                      <a:effectLst/>
                    </wps:spPr>
                    <wps:txbx>
                      <w:txbxContent>
                        <w:p w14:paraId="6453F49A">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AFDEF07">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128188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50.55pt;margin-top:-26pt;height:62.65pt;width:67.6pt;z-index:251662336;mso-width-relative:page;mso-height-relative:page;" fillcolor="#FFFFFF" filled="t" stroked="f" coordsize="21600,21600" o:gfxdata="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oBE0HZAAAACwEAAA8AAAAAAAAAAQAgAAAAIgAAAGRycy9kb3ducmV2LnhtbFBLAQIUABQAAAAI&#10;AIdO4kCNeeknJQIAAHUEAAAOAAAAAAAAAAEAIAAAACgBAABkcnMvZTJvRG9jLnhtbFBLBQYAAAAA&#10;BgAGAFkBAAC/BQAAAAA=&#10;">
              <v:fill on="t" focussize="0,0"/>
              <v:stroke on="f" weight="0.25pt" joinstyle="miter"/>
              <v:imagedata o:title=""/>
              <o:lock v:ext="edit" aspectratio="f"/>
              <v:textbox inset="1mm,1.27mm,1mm,1.27mm">
                <w:txbxContent>
                  <w:p w14:paraId="6453F49A">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AFDEF07">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128188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t>Parte 1 – Procedimentos de Licitação</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AC88F">
    <w:pPr>
      <w:pStyle w:val="24"/>
      <w:pBdr>
        <w:bottom w:val="single" w:color="auto" w:sz="4" w:space="1"/>
      </w:pBdr>
      <w:jc w:val="center"/>
    </w:pPr>
    <w:r>
      <w:rPr>
        <w:rFonts w:hint="default"/>
        <w:lang w:val="pt-BR"/>
      </w:rPr>
      <w:t xml:space="preserve">                                                                               </w:t>
    </w:r>
    <w:r>
      <w:t>Seção 1 – Instruções aos Concorrentes (</w:t>
    </w:r>
    <w:r>
      <w:rPr>
        <w:rFonts w:hint="default" w:ascii="Arial" w:hAnsi="Arial" w:cs="Arial"/>
        <w:sz w:val="10"/>
        <w:szCs w:val="10"/>
        <w:lang w:eastAsia="pt-BR"/>
      </w:rPr>
      <mc:AlternateContent>
        <mc:Choice Requires="wps">
          <w:drawing>
            <wp:anchor distT="0" distB="0" distL="114300" distR="114300" simplePos="0" relativeHeight="251663360" behindDoc="0" locked="0" layoutInCell="1" allowOverlap="1">
              <wp:simplePos x="0" y="0"/>
              <wp:positionH relativeFrom="column">
                <wp:posOffset>5666105</wp:posOffset>
              </wp:positionH>
              <wp:positionV relativeFrom="paragraph">
                <wp:posOffset>-330200</wp:posOffset>
              </wp:positionV>
              <wp:extent cx="914400" cy="795655"/>
              <wp:effectExtent l="0" t="0" r="0" b="4445"/>
              <wp:wrapNone/>
              <wp:docPr id="7"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749536B7">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58E81045">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2231A3A3">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6.15pt;margin-top:-26pt;height:62.65pt;width:72pt;z-index:251663360;mso-width-relative:page;mso-height-relative:page;" fillcolor="#FFFFFF" filled="t" stroked="f" coordsize="21600,21600" o:gfxdata="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2IHIHYAAAACwEAAA8AAAAAAAAAAQAgAAAAIgAAAGRycy9kb3ducmV2LnhtbFBLAQIUABQAAAAI&#10;AIdO4kA7Mj+HJgIAAHUEAAAOAAAAAAAAAAEAIAAAACcBAABkcnMvZTJvRG9jLnhtbFBLBQYAAAAA&#10;BgAGAFkBAAC/BQAAAAA=&#10;">
              <v:fill on="t" focussize="0,0"/>
              <v:stroke on="f" weight="0.25pt" joinstyle="miter"/>
              <v:imagedata o:title=""/>
              <o:lock v:ext="edit" aspectratio="f"/>
              <v:textbox inset="1mm,1.27mm,1mm,1.27mm">
                <w:txbxContent>
                  <w:p w14:paraId="749536B7">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58E81045">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2231A3A3">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t>IAC)</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F6518">
    <w:pPr>
      <w:pStyle w:val="24"/>
      <w:pBdr>
        <w:bottom w:val="single" w:color="auto" w:sz="4" w:space="1"/>
      </w:pBdr>
      <w:tabs>
        <w:tab w:val="clear" w:pos="9026"/>
      </w:tabs>
      <w:ind w:right="224" w:rightChars="102"/>
      <w:jc w:val="right"/>
    </w:pPr>
    <w:r>
      <w:rPr>
        <w:rFonts w:hint="default" w:ascii="Arial" w:hAnsi="Arial" w:cs="Arial"/>
        <w:sz w:val="10"/>
        <w:szCs w:val="10"/>
        <w:lang w:eastAsia="pt-BR"/>
      </w:rPr>
      <mc:AlternateContent>
        <mc:Choice Requires="wps">
          <w:drawing>
            <wp:anchor distT="0" distB="0" distL="114300" distR="114300" simplePos="0" relativeHeight="251664384" behindDoc="0" locked="0" layoutInCell="1" allowOverlap="1">
              <wp:simplePos x="0" y="0"/>
              <wp:positionH relativeFrom="column">
                <wp:posOffset>5768975</wp:posOffset>
              </wp:positionH>
              <wp:positionV relativeFrom="paragraph">
                <wp:posOffset>-155575</wp:posOffset>
              </wp:positionV>
              <wp:extent cx="914400" cy="795655"/>
              <wp:effectExtent l="0" t="0" r="0" b="4445"/>
              <wp:wrapNone/>
              <wp:docPr id="8"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7F76179F">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DCF104A">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68C48D0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54.25pt;margin-top:-12.25pt;height:62.65pt;width:72pt;z-index:251664384;mso-width-relative:page;mso-height-relative:page;" fillcolor="#FFFFFF" filled="t" stroked="f" coordsize="21600,21600" o:gfxdata="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4z+ZFNcAAAAMAQAADwAAAAAAAAABACAAAAAiAAAAZHJzL2Rvd25yZXYueG1sUEsBAhQAFAAAAAgA&#10;h07iQGA4BW8mAgAAdQQAAA4AAAAAAAAAAQAgAAAAJgEAAGRycy9lMm9Eb2MueG1sUEsFBgAAAAAG&#10;AAYAWQEAAL4FAAAAAA==&#10;">
              <v:fill on="t" focussize="0,0"/>
              <v:stroke on="f" weight="0.25pt" joinstyle="miter"/>
              <v:imagedata o:title=""/>
              <o:lock v:ext="edit" aspectratio="f"/>
              <v:textbox inset="1mm,1.27mm,1mm,1.27mm">
                <w:txbxContent>
                  <w:p w14:paraId="7F76179F">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DCF104A">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68C48D0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t>Seção 2 – Dados da Licitação (DDL)</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463C4">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65408" behindDoc="0" locked="0" layoutInCell="1" allowOverlap="1">
              <wp:simplePos x="0" y="0"/>
              <wp:positionH relativeFrom="column">
                <wp:posOffset>8872220</wp:posOffset>
              </wp:positionH>
              <wp:positionV relativeFrom="paragraph">
                <wp:posOffset>-281940</wp:posOffset>
              </wp:positionV>
              <wp:extent cx="914400" cy="795655"/>
              <wp:effectExtent l="0" t="0" r="0" b="4445"/>
              <wp:wrapNone/>
              <wp:docPr id="9"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5F69B84E">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6BC8238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0BCAD220">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698.6pt;margin-top:-22.2pt;height:62.65pt;width:72pt;z-index:251665408;mso-width-relative:page;mso-height-relative:page;" fillcolor="#FFFFFF" filled="t" stroked="f" coordsize="21600,21600" o:gfxdata="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D0PB/2QAAAAwBAAAPAAAAAAAAAAEAIAAAACIAAABkcnMvZG93bnJldi54bWxQSwECFAAUAAAA&#10;CACHTuJAu16LNCYCAAB1BAAADgAAAAAAAAABACAAAAAoAQAAZHJzL2Uyb0RvYy54bWxQSwUGAAAA&#10;AAYABgBZAQAAwAUAAAAA&#10;">
              <v:fill on="t" focussize="0,0"/>
              <v:stroke on="f" weight="0.25pt" joinstyle="miter"/>
              <v:imagedata o:title=""/>
              <o:lock v:ext="edit" aspectratio="f"/>
              <v:textbox inset="1mm,1.27mm,1mm,1.27mm">
                <w:txbxContent>
                  <w:p w14:paraId="5F69B84E">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6BC8238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0BCAD220">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3 – Requisitos de Elegibilidade e Qualificação</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D7079">
    <w:pPr>
      <w:pStyle w:val="24"/>
      <w:pBdr>
        <w:bottom w:val="single" w:color="auto" w:sz="4" w:space="1"/>
      </w:pBdr>
      <w:tabs>
        <w:tab w:val="clear" w:pos="9026"/>
      </w:tabs>
      <w:ind w:right="583" w:rightChars="265"/>
      <w:jc w:val="right"/>
    </w:pPr>
    <w:r>
      <w:rPr>
        <w:rFonts w:hint="default" w:ascii="Arial" w:hAnsi="Arial" w:cs="Arial"/>
        <w:sz w:val="10"/>
        <w:szCs w:val="10"/>
        <w:lang w:eastAsia="pt-BR"/>
      </w:rPr>
      <mc:AlternateContent>
        <mc:Choice Requires="wps">
          <w:drawing>
            <wp:anchor distT="0" distB="0" distL="114300" distR="114300" simplePos="0" relativeHeight="251666432" behindDoc="0" locked="0" layoutInCell="1" allowOverlap="1">
              <wp:simplePos x="0" y="0"/>
              <wp:positionH relativeFrom="column">
                <wp:posOffset>8662035</wp:posOffset>
              </wp:positionH>
              <wp:positionV relativeFrom="paragraph">
                <wp:posOffset>-128270</wp:posOffset>
              </wp:positionV>
              <wp:extent cx="914400" cy="795655"/>
              <wp:effectExtent l="0" t="0" r="0" b="4445"/>
              <wp:wrapNone/>
              <wp:docPr id="10"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2491649E">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3D67D24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2A2114A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682.05pt;margin-top:-10.1pt;height:62.65pt;width:72pt;z-index:251666432;mso-width-relative:page;mso-height-relative:page;" fillcolor="#FFFFFF" filled="t" stroked="f" coordsize="21600,21600" o:gfxdata="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80XOfZAAAADQEAAA8AAAAAAAAAAQAgAAAAIgAAAGRycy9kb3ducmV2LnhtbFBLAQIUABQAAAAI&#10;AIdO4kB8ys3OJQIAAHYEAAAOAAAAAAAAAAEAIAAAACgBAABkcnMvZTJvRG9jLnhtbFBLBQYAAAAA&#10;BgAGAFkBAAC/BQAAAAA=&#10;">
              <v:fill on="t" focussize="0,0"/>
              <v:stroke on="f" weight="0.25pt" joinstyle="miter"/>
              <v:imagedata o:title=""/>
              <o:lock v:ext="edit" aspectratio="f"/>
              <v:textbox inset="1mm,1.27mm,1mm,1.27mm">
                <w:txbxContent>
                  <w:p w14:paraId="2491649E">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3D67D24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2A2114A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4 – Formulários da Proposta</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22425">
    <w:pPr>
      <w:pStyle w:val="24"/>
      <w:pBdr>
        <w:bottom w:val="single" w:color="auto" w:sz="4" w:space="1"/>
      </w:pBdr>
      <w:tabs>
        <w:tab w:val="clear" w:pos="9026"/>
      </w:tabs>
      <w:ind w:right="224" w:rightChars="102"/>
      <w:jc w:val="right"/>
    </w:pPr>
    <w:r>
      <w:rPr>
        <w:rFonts w:hint="default" w:ascii="Arial" w:hAnsi="Arial" w:cs="Arial"/>
        <w:sz w:val="10"/>
        <w:szCs w:val="10"/>
        <w:lang w:eastAsia="pt-BR"/>
      </w:rPr>
      <mc:AlternateContent>
        <mc:Choice Requires="wps">
          <w:drawing>
            <wp:anchor distT="0" distB="0" distL="114300" distR="114300" simplePos="0" relativeHeight="251667456" behindDoc="0" locked="0" layoutInCell="1" allowOverlap="1">
              <wp:simplePos x="0" y="0"/>
              <wp:positionH relativeFrom="column">
                <wp:posOffset>5721350</wp:posOffset>
              </wp:positionH>
              <wp:positionV relativeFrom="paragraph">
                <wp:posOffset>-378460</wp:posOffset>
              </wp:positionV>
              <wp:extent cx="914400" cy="795655"/>
              <wp:effectExtent l="0" t="0" r="0" b="4445"/>
              <wp:wrapNone/>
              <wp:docPr id="12"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61510441">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304CE305">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7D975A1F">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50.5pt;margin-top:-29.8pt;height:62.65pt;width:72pt;z-index:251667456;mso-width-relative:page;mso-height-relative:page;" fillcolor="#FFFFFF" filled="t" stroked="f" coordsize="21600,21600" o:gfxdata="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oLizB2QAAAAsBAAAPAAAAAAAAAAEAIAAAACIAAABkcnMvZG93bnJldi54bWxQSwECFAAUAAAA&#10;CACHTuJAygfReSYCAAB2BAAADgAAAAAAAAABACAAAAAoAQAAZHJzL2Uyb0RvYy54bWxQSwUGAAAA&#10;AAYABgBZAQAAwAUAAAAA&#10;">
              <v:fill on="t" focussize="0,0"/>
              <v:stroke on="f" weight="0.25pt" joinstyle="miter"/>
              <v:imagedata o:title=""/>
              <o:lock v:ext="edit" aspectratio="f"/>
              <v:textbox inset="1mm,1.27mm,1mm,1.27mm">
                <w:txbxContent>
                  <w:p w14:paraId="61510441">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304CE305">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7D975A1F">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5 – Países Elegíveis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35134">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68480" behindDoc="0" locked="0" layoutInCell="1" allowOverlap="1">
              <wp:simplePos x="0" y="0"/>
              <wp:positionH relativeFrom="column">
                <wp:posOffset>5705475</wp:posOffset>
              </wp:positionH>
              <wp:positionV relativeFrom="paragraph">
                <wp:posOffset>-347345</wp:posOffset>
              </wp:positionV>
              <wp:extent cx="914400" cy="795655"/>
              <wp:effectExtent l="0" t="0" r="0" b="4445"/>
              <wp:wrapNone/>
              <wp:docPr id="14"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47A783C3">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649B2D4">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0A3D5E4">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9.25pt;margin-top:-27.35pt;height:62.65pt;width:72pt;z-index:251668480;mso-width-relative:page;mso-height-relative:page;" fillcolor="#FFFFFF" filled="t" stroked="f" coordsize="21600,21600" o:gfxdata="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5nykD2QAAAAsBAAAPAAAAAAAAAAEAIAAAACIAAABkcnMvZG93bnJldi54bWxQSwECFAAUAAAA&#10;CACHTuJAUVeFeyYCAAB2BAAADgAAAAAAAAABACAAAAAoAQAAZHJzL2Uyb0RvYy54bWxQSwUGAAAA&#10;AAYABgBZAQAAwAUAAAAA&#10;">
              <v:fill on="t" focussize="0,0"/>
              <v:stroke on="f" weight="0.25pt" joinstyle="miter"/>
              <v:imagedata o:title=""/>
              <o:lock v:ext="edit" aspectratio="f"/>
              <v:textbox inset="1mm,1.27mm,1mm,1.27mm">
                <w:txbxContent>
                  <w:p w14:paraId="47A783C3">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649B2D4">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0A3D5E4">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Parte 2 – Requisitos das Obras</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6C81">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69504" behindDoc="0" locked="0" layoutInCell="1" allowOverlap="1">
              <wp:simplePos x="0" y="0"/>
              <wp:positionH relativeFrom="column">
                <wp:posOffset>5705475</wp:posOffset>
              </wp:positionH>
              <wp:positionV relativeFrom="paragraph">
                <wp:posOffset>-450215</wp:posOffset>
              </wp:positionV>
              <wp:extent cx="914400" cy="795655"/>
              <wp:effectExtent l="0" t="0" r="0" b="4445"/>
              <wp:wrapNone/>
              <wp:docPr id="15"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2181C2FF">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E28FA9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24E07BC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9.25pt;margin-top:-35.45pt;height:62.65pt;width:72pt;z-index:251669504;mso-width-relative:page;mso-height-relative:page;" fillcolor="#FFFFFF" filled="t" stroked="f" coordsize="21600,21600" o:gfxdata="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L&#10;SnJz2AAAAAsBAAAPAAAAAAAAAAEAIAAAACIAAABkcnMvZG93bnJldi54bWxQSwECFAAUAAAACACH&#10;TuJAijELICQCAAB2BAAADgAAAAAAAAABACAAAAAnAQAAZHJzL2Uyb0RvYy54bWxQSwUGAAAAAAYA&#10;BgBZAQAAvQUAAAAA&#10;">
              <v:fill on="t" focussize="0,0"/>
              <v:stroke on="f" weight="0.25pt" joinstyle="miter"/>
              <v:imagedata o:title=""/>
              <o:lock v:ext="edit" aspectratio="f"/>
              <v:textbox inset="1mm,1.27mm,1mm,1.27mm">
                <w:txbxContent>
                  <w:p w14:paraId="2181C2FF">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E28FA98">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24E07BC1">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6 – Requisitos das Obras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B52A1">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0528" behindDoc="0" locked="0" layoutInCell="1" allowOverlap="1">
              <wp:simplePos x="0" y="0"/>
              <wp:positionH relativeFrom="column">
                <wp:posOffset>5666105</wp:posOffset>
              </wp:positionH>
              <wp:positionV relativeFrom="paragraph">
                <wp:posOffset>-370840</wp:posOffset>
              </wp:positionV>
              <wp:extent cx="914400" cy="795655"/>
              <wp:effectExtent l="0" t="0" r="0" b="4445"/>
              <wp:wrapNone/>
              <wp:docPr id="16"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4651B18B">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627D2C01">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37051F9">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6.15pt;margin-top:-29.2pt;height:62.65pt;width:72pt;z-index:251670528;mso-width-relative:page;mso-height-relative:page;" fillcolor="#FFFFFF" filled="t" stroked="f" coordsize="21600,21600" o:gfxdata="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SRC1HYAAAACwEAAA8AAAAAAAAAAQAgAAAAIgAAAGRycy9kb3ducmV2LnhtbFBLAQIUABQAAAAI&#10;AIdO4kDnmpnMJgIAAHYEAAAOAAAAAAAAAAEAIAAAACcBAABkcnMvZTJvRG9jLnhtbFBLBQYAAAAA&#10;BgAGAFkBAAC/BQAAAAA=&#10;">
              <v:fill on="t" focussize="0,0"/>
              <v:stroke on="f" weight="0.25pt" joinstyle="miter"/>
              <v:imagedata o:title=""/>
              <o:lock v:ext="edit" aspectratio="f"/>
              <v:textbox inset="1mm,1.27mm,1mm,1.27mm">
                <w:txbxContent>
                  <w:p w14:paraId="4651B18B">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627D2C01">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37051F9">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Parte 3 - Contrato</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E1B64">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1552" behindDoc="0" locked="0" layoutInCell="1" allowOverlap="1">
              <wp:simplePos x="0" y="0"/>
              <wp:positionH relativeFrom="column">
                <wp:posOffset>5618480</wp:posOffset>
              </wp:positionH>
              <wp:positionV relativeFrom="paragraph">
                <wp:posOffset>-235585</wp:posOffset>
              </wp:positionV>
              <wp:extent cx="914400" cy="795655"/>
              <wp:effectExtent l="0" t="0" r="0" b="4445"/>
              <wp:wrapNone/>
              <wp:docPr id="17"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04BE12D3">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5054C18C">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76368386">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2.4pt;margin-top:-18.55pt;height:62.65pt;width:72pt;z-index:251671552;mso-width-relative:page;mso-height-relative:page;" fillcolor="#FFFFFF" filled="t" stroked="f" coordsize="21600,21600" o:gfxdata="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V02QdcAAAALAQAADwAAAAAAAAABACAAAAAiAAAAZHJzL2Rvd25yZXYueG1sUEsBAhQAFAAAAAgA&#10;h07iQDz8F5cmAgAAdgQAAA4AAAAAAAAAAQAgAAAAJgEAAGRycy9lMm9Eb2MueG1sUEsFBgAAAAAG&#10;AAYAWQEAAL4FAAAAAA==&#10;">
              <v:fill on="t" focussize="0,0"/>
              <v:stroke on="f" weight="0.25pt" joinstyle="miter"/>
              <v:imagedata o:title=""/>
              <o:lock v:ext="edit" aspectratio="f"/>
              <v:textbox inset="1mm,1.27mm,1mm,1.27mm">
                <w:txbxContent>
                  <w:p w14:paraId="04BE12D3">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5054C18C">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76368386">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7 – Condições Gerais do Contrato (CGC)</w:t>
    </w:r>
  </w:p>
  <w:p w14:paraId="0FE65081">
    <w:pPr>
      <w:pStyle w:val="24"/>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34070">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2576" behindDoc="0" locked="0" layoutInCell="1" allowOverlap="1">
              <wp:simplePos x="0" y="0"/>
              <wp:positionH relativeFrom="column">
                <wp:posOffset>5633720</wp:posOffset>
              </wp:positionH>
              <wp:positionV relativeFrom="paragraph">
                <wp:posOffset>-164465</wp:posOffset>
              </wp:positionV>
              <wp:extent cx="914400" cy="795655"/>
              <wp:effectExtent l="0" t="0" r="0" b="4445"/>
              <wp:wrapNone/>
              <wp:docPr id="18"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567C08FA">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4EDC399E">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2AC5212">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3.6pt;margin-top:-12.95pt;height:62.65pt;width:72pt;z-index:251672576;mso-width-relative:page;mso-height-relative:page;" fillcolor="#FFFFFF" filled="t" stroked="f" coordsize="21600,21600" o:gfxdata="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mYykI2QAAAAsBAAAPAAAAAAAAAAEAIAAAACIAAABkcnMvZG93bnJldi54bWxQSwECFAAUAAAA&#10;CACHTuJAZ/YtfyYCAAB2BAAADgAAAAAAAAABACAAAAAoAQAAZHJzL2Uyb0RvYy54bWxQSwUGAAAA&#10;AAYABgBZAQAAwAUAAAAA&#10;">
              <v:fill on="t" focussize="0,0"/>
              <v:stroke on="f" weight="0.25pt" joinstyle="miter"/>
              <v:imagedata o:title=""/>
              <o:lock v:ext="edit" aspectratio="f"/>
              <v:textbox inset="1mm,1.27mm,1mm,1.27mm">
                <w:txbxContent>
                  <w:p w14:paraId="567C08FA">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4EDC399E">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2AC5212">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8 – Dados do Contrato (DDC)</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7378A">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3600" behindDoc="0" locked="0" layoutInCell="1" allowOverlap="1">
              <wp:simplePos x="0" y="0"/>
              <wp:positionH relativeFrom="column">
                <wp:posOffset>5641975</wp:posOffset>
              </wp:positionH>
              <wp:positionV relativeFrom="paragraph">
                <wp:posOffset>-172085</wp:posOffset>
              </wp:positionV>
              <wp:extent cx="914400" cy="795655"/>
              <wp:effectExtent l="0" t="0" r="0" b="4445"/>
              <wp:wrapNone/>
              <wp:docPr id="19"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267AF7F4">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23B77B20">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583D26C0">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4.25pt;margin-top:-13.55pt;height:62.65pt;width:72pt;z-index:251673600;mso-width-relative:page;mso-height-relative:page;" fillcolor="#FFFFFF" filled="t" stroked="f" coordsize="21600,21600" o:gfxdata="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HnZqDYAAAACwEAAA8AAAAAAAAAAQAgAAAAIgAAAGRycy9kb3ducmV2LnhtbFBLAQIUABQAAAAI&#10;AIdO4kC8kKMkJgIAAHYEAAAOAAAAAAAAAAEAIAAAACcBAABkcnMvZTJvRG9jLnhtbFBLBQYAAAAA&#10;BgAGAFkBAAC/BQAAAAA=&#10;">
              <v:fill on="t" focussize="0,0"/>
              <v:stroke on="f" weight="0.25pt" joinstyle="miter"/>
              <v:imagedata o:title=""/>
              <o:lock v:ext="edit" aspectratio="f"/>
              <v:textbox inset="1mm,1.27mm,1mm,1.27mm">
                <w:txbxContent>
                  <w:p w14:paraId="267AF7F4">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23B77B20">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583D26C0">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9 – Dados do Contrato (DDC)</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B1631">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4624" behindDoc="0" locked="0" layoutInCell="1" allowOverlap="1">
              <wp:simplePos x="0" y="0"/>
              <wp:positionH relativeFrom="column">
                <wp:posOffset>5689600</wp:posOffset>
              </wp:positionH>
              <wp:positionV relativeFrom="paragraph">
                <wp:posOffset>-116840</wp:posOffset>
              </wp:positionV>
              <wp:extent cx="914400" cy="795655"/>
              <wp:effectExtent l="0" t="0" r="0" b="4445"/>
              <wp:wrapNone/>
              <wp:docPr id="20"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06B30241">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878A1B7">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60433CCA">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8pt;margin-top:-9.2pt;height:62.65pt;width:72pt;z-index:251674624;mso-width-relative:page;mso-height-relative:page;" fillcolor="#FFFFFF" filled="t" stroked="f" coordsize="21600,21600" o:gfxdata="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GY51+PYAAAADAEAAA8AAAAAAAAAAQAgAAAAIgAAAGRycy9kb3ducmV2LnhtbFBLAQIUABQAAAAI&#10;AIdO4kAyRSL9JgIAAHYEAAAOAAAAAAAAAAEAIAAAACcBAABkcnMvZTJvRG9jLnhtbFBLBQYAAAAA&#10;BgAGAFkBAAC/BQAAAAA=&#10;">
              <v:fill on="t" focussize="0,0"/>
              <v:stroke on="f" weight="0.25pt" joinstyle="miter"/>
              <v:imagedata o:title=""/>
              <o:lock v:ext="edit" aspectratio="f"/>
              <v:textbox inset="1mm,1.27mm,1mm,1.27mm">
                <w:txbxContent>
                  <w:p w14:paraId="06B30241">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1878A1B7">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60433CCA">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PARTE 4 - ORÇAMENTO</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97D85">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5648" behindDoc="0" locked="0" layoutInCell="1" allowOverlap="1">
              <wp:simplePos x="0" y="0"/>
              <wp:positionH relativeFrom="column">
                <wp:posOffset>5713095</wp:posOffset>
              </wp:positionH>
              <wp:positionV relativeFrom="paragraph">
                <wp:posOffset>-196215</wp:posOffset>
              </wp:positionV>
              <wp:extent cx="914400" cy="795655"/>
              <wp:effectExtent l="0" t="0" r="0" b="4445"/>
              <wp:wrapNone/>
              <wp:docPr id="21"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7465A467">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52E68F2">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6E7557E4">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9.85pt;margin-top:-15.45pt;height:62.65pt;width:72pt;z-index:251675648;mso-width-relative:page;mso-height-relative:page;" fillcolor="#FFFFFF" filled="t" stroked="f" coordsize="21600,21600" o:gfxdata="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mGvv2AAAAAsBAAAPAAAAAAAAAAEAIAAAACIAAABkcnMvZG93bnJldi54bWxQSwECFAAUAAAA&#10;CACHTuJA6SOspicCAAB2BAAADgAAAAAAAAABACAAAAAnAQAAZHJzL2Uyb0RvYy54bWxQSwUGAAAA&#10;AAYABgBZAQAAwAUAAAAA&#10;">
              <v:fill on="t" focussize="0,0"/>
              <v:stroke on="f" weight="0.25pt" joinstyle="miter"/>
              <v:imagedata o:title=""/>
              <o:lock v:ext="edit" aspectratio="f"/>
              <v:textbox inset="1mm,1.27mm,1mm,1.27mm">
                <w:txbxContent>
                  <w:p w14:paraId="7465A467">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052E68F2">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6E7557E4">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10 – Orçamento Base</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788E8">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6672" behindDoc="0" locked="0" layoutInCell="1" allowOverlap="1">
              <wp:simplePos x="0" y="0"/>
              <wp:positionH relativeFrom="column">
                <wp:posOffset>5617845</wp:posOffset>
              </wp:positionH>
              <wp:positionV relativeFrom="paragraph">
                <wp:posOffset>-227965</wp:posOffset>
              </wp:positionV>
              <wp:extent cx="914400" cy="795655"/>
              <wp:effectExtent l="0" t="0" r="0" b="4445"/>
              <wp:wrapNone/>
              <wp:docPr id="22"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4566859A">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7B35162B">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356BA63">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2.35pt;margin-top:-17.95pt;height:62.65pt;width:72pt;z-index:251676672;mso-width-relative:page;mso-height-relative:page;" fillcolor="#FFFFFF" filled="t" stroked="f" coordsize="21600,21600" o:gfxdata="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1ub9Z2AAAAAsBAAAPAAAAAAAAAAEAIAAAACIAAABkcnMvZG93bnJldi54bWxQSwECFAAUAAAA&#10;CACHTuJAhIg+SicCAAB2BAAADgAAAAAAAAABACAAAAAnAQAAZHJzL2Uyb0RvYy54bWxQSwUGAAAA&#10;AAYABgBZAQAAwAUAAAAA&#10;">
              <v:fill on="t" focussize="0,0"/>
              <v:stroke on="f" weight="0.25pt" joinstyle="miter"/>
              <v:imagedata o:title=""/>
              <o:lock v:ext="edit" aspectratio="f"/>
              <v:textbox inset="1mm,1.27mm,1mm,1.27mm">
                <w:txbxContent>
                  <w:p w14:paraId="4566859A">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7B35162B">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4356BA63">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PARTE 5 - ANEXOS</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37788">
    <w:pPr>
      <w:pStyle w:val="24"/>
      <w:pBdr>
        <w:bottom w:val="single" w:color="auto" w:sz="4" w:space="1"/>
      </w:pBdr>
      <w:jc w:val="center"/>
    </w:pPr>
    <w:r>
      <w:rPr>
        <w:rFonts w:hint="default" w:ascii="Arial" w:hAnsi="Arial" w:cs="Arial"/>
        <w:sz w:val="10"/>
        <w:szCs w:val="10"/>
        <w:lang w:eastAsia="pt-BR"/>
      </w:rPr>
      <mc:AlternateContent>
        <mc:Choice Requires="wps">
          <w:drawing>
            <wp:anchor distT="0" distB="0" distL="114300" distR="114300" simplePos="0" relativeHeight="251677696" behindDoc="0" locked="0" layoutInCell="1" allowOverlap="1">
              <wp:simplePos x="0" y="0"/>
              <wp:positionH relativeFrom="column">
                <wp:posOffset>5626100</wp:posOffset>
              </wp:positionH>
              <wp:positionV relativeFrom="paragraph">
                <wp:posOffset>-339090</wp:posOffset>
              </wp:positionV>
              <wp:extent cx="914400" cy="795655"/>
              <wp:effectExtent l="0" t="0" r="0" b="4445"/>
              <wp:wrapNone/>
              <wp:docPr id="23" name="Text Box 8"/>
              <wp:cNvGraphicFramePr/>
              <a:graphic xmlns:a="http://schemas.openxmlformats.org/drawingml/2006/main">
                <a:graphicData uri="http://schemas.microsoft.com/office/word/2010/wordprocessingShape">
                  <wps:wsp>
                    <wps:cNvSpPr txBox="1"/>
                    <wps:spPr>
                      <a:xfrm>
                        <a:off x="0" y="0"/>
                        <a:ext cx="914400" cy="795655"/>
                      </a:xfrm>
                      <a:prstGeom prst="rect">
                        <a:avLst/>
                      </a:prstGeom>
                      <a:solidFill>
                        <a:srgbClr val="FFFFFF"/>
                      </a:solidFill>
                      <a:ln w="3175" cap="flat" cmpd="sng">
                        <a:noFill/>
                        <a:prstDash val="solid"/>
                        <a:miter/>
                        <a:headEnd type="none" w="med" len="med"/>
                        <a:tailEnd type="none" w="med" len="med"/>
                      </a:ln>
                      <a:effectLst/>
                    </wps:spPr>
                    <wps:txbx>
                      <w:txbxContent>
                        <w:p w14:paraId="32C98075">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72A8B886">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08AF8E35">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wps:txbx>
                    <wps:bodyPr wrap="square" lIns="36000" tIns="45720" rIns="36000" bIns="45720" upright="1">
                      <a:noAutofit/>
                    </wps:bodyPr>
                  </wps:wsp>
                </a:graphicData>
              </a:graphic>
            </wp:anchor>
          </w:drawing>
        </mc:Choice>
        <mc:Fallback>
          <w:pict>
            <v:shape id="Text Box 8" o:spid="_x0000_s1026" o:spt="202" type="#_x0000_t202" style="position:absolute;left:0pt;margin-left:443pt;margin-top:-26.7pt;height:62.65pt;width:72pt;z-index:251677696;mso-width-relative:page;mso-height-relative:page;" fillcolor="#FFFFFF" filled="t" stroked="f" coordsize="21600,21600" o:gfxdata="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JBkqg2QAAAAsBAAAPAAAAAAAAAAEAIAAAACIAAABkcnMvZG93bnJldi54bWxQSwECFAAUAAAA&#10;CACHTuJAX+6wESYCAAB2BAAADgAAAAAAAAABACAAAAAoAQAAZHJzL2Uyb0RvYy54bWxQSwUGAAAA&#10;AAYABgBZAQAAwAUAAAAA&#10;">
              <v:fill on="t" focussize="0,0"/>
              <v:stroke on="f" weight="0.25pt" joinstyle="miter"/>
              <v:imagedata o:title=""/>
              <o:lock v:ext="edit" aspectratio="f"/>
              <v:textbox inset="1mm,1.27mm,1mm,1.27mm">
                <w:txbxContent>
                  <w:p w14:paraId="32C98075">
                    <w:pPr>
                      <w:spacing w:before="60" w:beforeLines="25" w:after="120"/>
                      <w:rPr>
                        <w:rFonts w:hint="default" w:ascii="Arial" w:hAnsi="Arial" w:cs="Arial"/>
                        <w:sz w:val="14"/>
                        <w:szCs w:val="14"/>
                        <w:lang w:val="en-US"/>
                      </w:rPr>
                    </w:pPr>
                    <w:r>
                      <w:rPr>
                        <w:rFonts w:hint="default" w:ascii="Arial" w:hAnsi="Arial" w:cs="Arial"/>
                        <w:b/>
                        <w:sz w:val="14"/>
                        <w:szCs w:val="14"/>
                        <w:lang w:val="en-US"/>
                      </w:rPr>
                      <w:t>Fls</w:t>
                    </w:r>
                    <w:r>
                      <w:rPr>
                        <w:rFonts w:hint="default" w:ascii="Arial" w:hAnsi="Arial" w:cs="Arial"/>
                        <w:sz w:val="14"/>
                        <w:szCs w:val="14"/>
                        <w:lang w:val="en-US"/>
                      </w:rPr>
                      <w:t>. _____</w:t>
                    </w:r>
                    <w:r>
                      <w:rPr>
                        <w:rFonts w:hint="default" w:ascii="Arial" w:hAnsi="Arial" w:cs="Arial"/>
                        <w:sz w:val="14"/>
                        <w:szCs w:val="14"/>
                        <w:lang w:val="pt-BR"/>
                      </w:rPr>
                      <w:t>_____</w:t>
                    </w:r>
                    <w:r>
                      <w:rPr>
                        <w:rFonts w:hint="default" w:ascii="Arial" w:hAnsi="Arial" w:cs="Arial"/>
                        <w:sz w:val="14"/>
                        <w:szCs w:val="14"/>
                        <w:lang w:val="en-US"/>
                      </w:rPr>
                      <w:t>_</w:t>
                    </w:r>
                  </w:p>
                  <w:p w14:paraId="72A8B886">
                    <w:pPr>
                      <w:spacing w:before="60" w:beforeLines="25" w:after="0" w:afterLines="0"/>
                      <w:rPr>
                        <w:rFonts w:hint="default" w:ascii="Arial" w:hAnsi="Arial" w:cs="Arial" w:eastAsiaTheme="minorEastAsia"/>
                        <w:b/>
                        <w:bCs/>
                        <w:i/>
                        <w:color w:val="FFFFFF" w:themeColor="background1"/>
                        <w:spacing w:val="6"/>
                        <w:w w:val="95"/>
                        <w:sz w:val="14"/>
                        <w:szCs w:val="14"/>
                        <w:u w:val="single"/>
                        <w:lang w:val="pt-BR"/>
                        <w14:textFill>
                          <w14:solidFill>
                            <w14:schemeClr w14:val="bg1"/>
                          </w14:solidFill>
                        </w14:textFill>
                      </w:rPr>
                    </w:pPr>
                    <w:r>
                      <w:rPr>
                        <w:rFonts w:hint="default" w:ascii="Arial" w:hAnsi="Arial" w:cs="Arial"/>
                        <w:b/>
                        <w:sz w:val="14"/>
                        <w:szCs w:val="14"/>
                        <w:lang w:val="en-US"/>
                      </w:rPr>
                      <w:t>Proc</w:t>
                    </w:r>
                    <w:r>
                      <w:rPr>
                        <w:rFonts w:hint="default" w:ascii="Arial" w:hAnsi="Arial" w:cs="Arial"/>
                        <w:sz w:val="14"/>
                        <w:szCs w:val="14"/>
                        <w:lang w:val="en-US"/>
                      </w:rPr>
                      <w:t>.</w:t>
                    </w:r>
                    <w:r>
                      <w:rPr>
                        <w:rFonts w:hint="default" w:ascii="Arial" w:hAnsi="Arial" w:cs="Arial"/>
                        <w:b/>
                        <w:bCs/>
                        <w:i/>
                        <w:spacing w:val="6"/>
                        <w:w w:val="95"/>
                        <w:sz w:val="16"/>
                        <w:szCs w:val="16"/>
                        <w:u w:val="single"/>
                        <w:lang w:val="pt-BR"/>
                      </w:rPr>
                      <w:t xml:space="preserve"> 076/</w:t>
                    </w:r>
                    <w:r>
                      <w:rPr>
                        <w:rFonts w:hint="default" w:ascii="Arial" w:hAnsi="Arial" w:cs="Arial" w:eastAsiaTheme="minorEastAsia"/>
                        <w:b/>
                        <w:bCs/>
                        <w:i/>
                        <w:spacing w:val="6"/>
                        <w:w w:val="95"/>
                        <w:sz w:val="16"/>
                        <w:szCs w:val="16"/>
                        <w:u w:val="single"/>
                        <w:lang w:val="pt-BR"/>
                      </w:rPr>
                      <w:t>20</w:t>
                    </w:r>
                    <w:r>
                      <w:rPr>
                        <w:rFonts w:hint="default" w:ascii="Arial" w:hAnsi="Arial" w:cs="Arial" w:eastAsiaTheme="minorEastAsia"/>
                        <w:b/>
                        <w:bCs/>
                        <w:i/>
                        <w:spacing w:val="6"/>
                        <w:w w:val="95"/>
                        <w:sz w:val="16"/>
                        <w:szCs w:val="16"/>
                        <w:u w:val="single"/>
                      </w:rPr>
                      <w:t>2</w:t>
                    </w:r>
                    <w:r>
                      <w:rPr>
                        <w:rFonts w:hint="default" w:ascii="Arial" w:hAnsi="Arial" w:cs="Arial"/>
                        <w:b/>
                        <w:bCs/>
                        <w:i/>
                        <w:spacing w:val="6"/>
                        <w:w w:val="95"/>
                        <w:sz w:val="16"/>
                        <w:szCs w:val="16"/>
                        <w:u w:val="single"/>
                        <w:lang w:val="pt-BR"/>
                      </w:rPr>
                      <w:t>5</w:t>
                    </w:r>
                    <w:r>
                      <w:rPr>
                        <w:rFonts w:hint="default" w:ascii="Arial" w:hAnsi="Arial" w:cs="Arial"/>
                        <w:b/>
                        <w:bCs/>
                        <w:i/>
                        <w:spacing w:val="6"/>
                        <w:w w:val="95"/>
                        <w:sz w:val="14"/>
                        <w:szCs w:val="14"/>
                        <w:u w:val="single"/>
                        <w:lang w:val="pt-BR"/>
                      </w:rPr>
                      <w:t xml:space="preserve"> </w:t>
                    </w:r>
                  </w:p>
                  <w:p w14:paraId="08AF8E35">
                    <w:pPr>
                      <w:spacing w:before="60" w:beforeLines="25" w:after="0" w:afterLines="0"/>
                      <w:rPr>
                        <w:rFonts w:hint="default" w:ascii="Arial" w:hAnsi="Arial" w:cs="Arial"/>
                        <w:sz w:val="16"/>
                        <w:szCs w:val="16"/>
                        <w:lang w:val="en-US"/>
                      </w:rPr>
                    </w:pPr>
                    <w:r>
                      <w:rPr>
                        <w:rFonts w:hint="default" w:ascii="Arial" w:hAnsi="Arial" w:cs="Arial"/>
                        <w:b/>
                        <w:sz w:val="14"/>
                        <w:szCs w:val="14"/>
                        <w:lang w:val="en-US"/>
                      </w:rPr>
                      <w:t>Rub</w:t>
                    </w:r>
                    <w:r>
                      <w:rPr>
                        <w:rFonts w:hint="default" w:ascii="Arial" w:hAnsi="Arial" w:cs="Arial"/>
                        <w:sz w:val="14"/>
                        <w:szCs w:val="14"/>
                        <w:lang w:val="en-US"/>
                      </w:rPr>
                      <w:t>. _</w:t>
                    </w:r>
                    <w:r>
                      <w:rPr>
                        <w:rFonts w:hint="default" w:ascii="Arial" w:hAnsi="Arial" w:cs="Arial"/>
                        <w:sz w:val="14"/>
                        <w:szCs w:val="14"/>
                        <w:lang w:val="pt-BR"/>
                      </w:rPr>
                      <w:t>_</w:t>
                    </w:r>
                    <w:r>
                      <w:rPr>
                        <w:rFonts w:hint="default" w:ascii="Arial" w:hAnsi="Arial" w:cs="Arial"/>
                        <w:sz w:val="14"/>
                        <w:szCs w:val="14"/>
                        <w:lang w:val="en-US"/>
                      </w:rPr>
                      <w:t>____</w:t>
                    </w:r>
                    <w:r>
                      <w:rPr>
                        <w:rFonts w:hint="default" w:ascii="Arial" w:hAnsi="Arial" w:cs="Arial"/>
                        <w:sz w:val="14"/>
                        <w:szCs w:val="14"/>
                        <w:lang w:val="pt-BR"/>
                      </w:rPr>
                      <w:t>____</w:t>
                    </w:r>
                  </w:p>
                </w:txbxContent>
              </v:textbox>
            </v:shape>
          </w:pict>
        </mc:Fallback>
      </mc:AlternateContent>
    </w:r>
    <w:r>
      <w:rPr>
        <w:rFonts w:hint="default"/>
        <w:lang w:val="pt-BR"/>
      </w:rPr>
      <w:t xml:space="preserve">                                                                                                                     </w:t>
    </w:r>
    <w:r>
      <w:t>SEÇÃO 11 – ANEXOS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1B942"/>
    <w:multiLevelType w:val="singleLevel"/>
    <w:tmpl w:val="8551B942"/>
    <w:lvl w:ilvl="0" w:tentative="0">
      <w:start w:val="1"/>
      <w:numFmt w:val="upp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1">
    <w:nsid w:val="88E28D67"/>
    <w:multiLevelType w:val="singleLevel"/>
    <w:tmpl w:val="88E28D67"/>
    <w:lvl w:ilvl="0" w:tentative="0">
      <w:start w:val="1"/>
      <w:numFmt w:val="lowerLetter"/>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2">
    <w:nsid w:val="8A1E2DD4"/>
    <w:multiLevelType w:val="singleLevel"/>
    <w:tmpl w:val="8A1E2DD4"/>
    <w:lvl w:ilvl="0" w:tentative="0">
      <w:start w:val="1"/>
      <w:numFmt w:val="lowerLetter"/>
      <w:lvlText w:val="%1)"/>
      <w:lvlJc w:val="left"/>
      <w:pPr>
        <w:tabs>
          <w:tab w:val="left" w:pos="425"/>
        </w:tabs>
        <w:ind w:left="425" w:leftChars="0" w:hanging="425" w:firstLineChars="0"/>
      </w:pPr>
      <w:rPr>
        <w:rFonts w:hint="default" w:ascii="Calibri" w:hAnsi="Calibri" w:eastAsia="等线" w:cs="Calibri"/>
        <w:b/>
      </w:rPr>
    </w:lvl>
  </w:abstractNum>
  <w:abstractNum w:abstractNumId="3">
    <w:nsid w:val="91FA1D81"/>
    <w:multiLevelType w:val="singleLevel"/>
    <w:tmpl w:val="91FA1D81"/>
    <w:lvl w:ilvl="0" w:tentative="0">
      <w:start w:val="1"/>
      <w:numFmt w:val="lowerLetter"/>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4">
    <w:nsid w:val="9BA77E91"/>
    <w:multiLevelType w:val="singleLevel"/>
    <w:tmpl w:val="9BA77E91"/>
    <w:lvl w:ilvl="0" w:tentative="0">
      <w:start w:val="1"/>
      <w:numFmt w:val="lowerLetter"/>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5">
    <w:nsid w:val="A1E9A948"/>
    <w:multiLevelType w:val="singleLevel"/>
    <w:tmpl w:val="A1E9A948"/>
    <w:lvl w:ilvl="0" w:tentative="0">
      <w:start w:val="1"/>
      <w:numFmt w:val="decimal"/>
      <w:lvlText w:val="%1.1"/>
      <w:lvlJc w:val="left"/>
      <w:pPr>
        <w:tabs>
          <w:tab w:val="left" w:pos="425"/>
        </w:tabs>
        <w:ind w:left="425" w:leftChars="0" w:hanging="425" w:firstLineChars="0"/>
      </w:pPr>
      <w:rPr>
        <w:rFonts w:hint="default"/>
      </w:rPr>
    </w:lvl>
  </w:abstractNum>
  <w:abstractNum w:abstractNumId="6">
    <w:nsid w:val="AA605B08"/>
    <w:multiLevelType w:val="multilevel"/>
    <w:tmpl w:val="AA605B0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ABB9C739"/>
    <w:multiLevelType w:val="singleLevel"/>
    <w:tmpl w:val="ABB9C739"/>
    <w:lvl w:ilvl="0" w:tentative="0">
      <w:start w:val="1"/>
      <w:numFmt w:val="lowerLetter"/>
      <w:lvlText w:val="%11."/>
      <w:lvlJc w:val="left"/>
      <w:pPr>
        <w:tabs>
          <w:tab w:val="left" w:pos="420"/>
        </w:tabs>
        <w:ind w:left="425" w:leftChars="0" w:hanging="425" w:firstLineChars="0"/>
      </w:pPr>
      <w:rPr>
        <w:rFonts w:hint="default" w:ascii="Calibri" w:eastAsia="等线" w:cs="Calibri"/>
        <w:b/>
      </w:rPr>
    </w:lvl>
  </w:abstractNum>
  <w:abstractNum w:abstractNumId="8">
    <w:nsid w:val="ACA2F6DB"/>
    <w:multiLevelType w:val="singleLevel"/>
    <w:tmpl w:val="ACA2F6DB"/>
    <w:lvl w:ilvl="0" w:tentative="0">
      <w:start w:val="1"/>
      <w:numFmt w:val="lowerLetter"/>
      <w:lvlText w:val="%1)"/>
      <w:lvlJc w:val="left"/>
      <w:pPr>
        <w:tabs>
          <w:tab w:val="left" w:pos="425"/>
        </w:tabs>
        <w:ind w:left="425" w:leftChars="0" w:hanging="425" w:firstLineChars="0"/>
      </w:pPr>
      <w:rPr>
        <w:rFonts w:hint="default" w:ascii="Calibri" w:hAnsi="Calibri" w:eastAsia="等线" w:cs="Calibri"/>
        <w:b/>
      </w:rPr>
    </w:lvl>
  </w:abstractNum>
  <w:abstractNum w:abstractNumId="9">
    <w:nsid w:val="C63969E9"/>
    <w:multiLevelType w:val="singleLevel"/>
    <w:tmpl w:val="C63969E9"/>
    <w:lvl w:ilvl="0" w:tentative="0">
      <w:start w:val="1"/>
      <w:numFmt w:val="lowerLetter"/>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10">
    <w:nsid w:val="C95195B0"/>
    <w:multiLevelType w:val="singleLevel"/>
    <w:tmpl w:val="C95195B0"/>
    <w:lvl w:ilvl="0" w:tentative="0">
      <w:start w:val="1"/>
      <w:numFmt w:val="upperRoman"/>
      <w:lvlText w:val="%1."/>
      <w:lvlJc w:val="left"/>
      <w:pPr>
        <w:tabs>
          <w:tab w:val="left" w:pos="425"/>
        </w:tabs>
        <w:ind w:left="425" w:hanging="425"/>
      </w:pPr>
      <w:rPr>
        <w:rFonts w:hint="default" w:ascii="Calibri" w:hAnsi="Calibri" w:eastAsia="Arial" w:cs="Calibri"/>
        <w:b/>
        <w:sz w:val="20"/>
        <w:szCs w:val="20"/>
      </w:rPr>
    </w:lvl>
  </w:abstractNum>
  <w:abstractNum w:abstractNumId="11">
    <w:nsid w:val="E1DFA060"/>
    <w:multiLevelType w:val="singleLevel"/>
    <w:tmpl w:val="E1DFA060"/>
    <w:lvl w:ilvl="0" w:tentative="0">
      <w:start w:val="1"/>
      <w:numFmt w:val="upp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12">
    <w:nsid w:val="E43910A3"/>
    <w:multiLevelType w:val="singleLevel"/>
    <w:tmpl w:val="E43910A3"/>
    <w:lvl w:ilvl="0" w:tentative="0">
      <w:start w:val="1"/>
      <w:numFmt w:val="lowerLetter"/>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13">
    <w:nsid w:val="E9DC49BB"/>
    <w:multiLevelType w:val="singleLevel"/>
    <w:tmpl w:val="E9DC49BB"/>
    <w:lvl w:ilvl="0" w:tentative="0">
      <w:start w:val="1"/>
      <w:numFmt w:val="low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14">
    <w:nsid w:val="FD7E080A"/>
    <w:multiLevelType w:val="singleLevel"/>
    <w:tmpl w:val="FD7E080A"/>
    <w:lvl w:ilvl="0" w:tentative="0">
      <w:start w:val="1"/>
      <w:numFmt w:val="upperRoman"/>
      <w:lvlText w:val="%1."/>
      <w:lvlJc w:val="left"/>
      <w:pPr>
        <w:tabs>
          <w:tab w:val="left" w:pos="425"/>
        </w:tabs>
        <w:ind w:left="425" w:hanging="425"/>
      </w:pPr>
      <w:rPr>
        <w:rFonts w:hint="default" w:ascii="Calibri" w:hAnsi="Calibri" w:eastAsia="Arial" w:cs="Calibri"/>
        <w:b/>
        <w:sz w:val="20"/>
        <w:szCs w:val="20"/>
      </w:rPr>
    </w:lvl>
  </w:abstractNum>
  <w:abstractNum w:abstractNumId="15">
    <w:nsid w:val="04FB49F6"/>
    <w:multiLevelType w:val="multilevel"/>
    <w:tmpl w:val="04FB49F6"/>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25E6085"/>
    <w:multiLevelType w:val="multilevel"/>
    <w:tmpl w:val="125E608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1414327B"/>
    <w:multiLevelType w:val="singleLevel"/>
    <w:tmpl w:val="1414327B"/>
    <w:lvl w:ilvl="0" w:tentative="0">
      <w:start w:val="2"/>
      <w:numFmt w:val="decimal"/>
      <w:suff w:val="space"/>
      <w:lvlText w:val="%1."/>
      <w:lvlJc w:val="left"/>
    </w:lvl>
  </w:abstractNum>
  <w:abstractNum w:abstractNumId="18">
    <w:nsid w:val="146E727F"/>
    <w:multiLevelType w:val="singleLevel"/>
    <w:tmpl w:val="146E727F"/>
    <w:lvl w:ilvl="0" w:tentative="0">
      <w:start w:val="1"/>
      <w:numFmt w:val="lowerLetter"/>
      <w:lvlText w:val="%1."/>
      <w:lvlJc w:val="left"/>
      <w:pPr>
        <w:tabs>
          <w:tab w:val="left" w:pos="425"/>
        </w:tabs>
        <w:ind w:left="425" w:hanging="425"/>
      </w:pPr>
      <w:rPr>
        <w:rFonts w:hint="default" w:ascii="Calibri" w:hAnsi="Calibri" w:eastAsia="DengXian" w:cs="Calibri"/>
        <w:b/>
        <w:sz w:val="20"/>
        <w:szCs w:val="20"/>
      </w:rPr>
    </w:lvl>
  </w:abstractNum>
  <w:abstractNum w:abstractNumId="19">
    <w:nsid w:val="14900956"/>
    <w:multiLevelType w:val="multilevel"/>
    <w:tmpl w:val="1490095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190D8E0F"/>
    <w:multiLevelType w:val="singleLevel"/>
    <w:tmpl w:val="190D8E0F"/>
    <w:lvl w:ilvl="0" w:tentative="0">
      <w:start w:val="1"/>
      <w:numFmt w:val="upperRoman"/>
      <w:lvlText w:val="%1 -"/>
      <w:lvlJc w:val="left"/>
      <w:pPr>
        <w:tabs>
          <w:tab w:val="left" w:pos="420"/>
        </w:tabs>
        <w:ind w:left="425" w:leftChars="0" w:hanging="425" w:firstLineChars="0"/>
      </w:pPr>
      <w:rPr>
        <w:rFonts w:hint="default" w:ascii="SimSun" w:hAnsi="SimSun" w:eastAsia="SimSun" w:cs="SimSun"/>
      </w:rPr>
    </w:lvl>
  </w:abstractNum>
  <w:abstractNum w:abstractNumId="21">
    <w:nsid w:val="1B2347AD"/>
    <w:multiLevelType w:val="multilevel"/>
    <w:tmpl w:val="1B2347AD"/>
    <w:lvl w:ilvl="0" w:tentative="0">
      <w:start w:val="1"/>
      <w:numFmt w:val="lowerLetter"/>
      <w:lvlText w:val="(%1)"/>
      <w:lvlJc w:val="left"/>
      <w:pPr>
        <w:ind w:left="720" w:hanging="360"/>
      </w:pPr>
      <w:rPr>
        <w:rFonts w:hint="default"/>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1DF73FB4"/>
    <w:multiLevelType w:val="multilevel"/>
    <w:tmpl w:val="1DF73FB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1FF40EE3"/>
    <w:multiLevelType w:val="multilevel"/>
    <w:tmpl w:val="1FF40EE3"/>
    <w:lvl w:ilvl="0" w:tentative="0">
      <w:start w:val="1"/>
      <w:numFmt w:val="lowerLetter"/>
      <w:lvlText w:val="(%1)"/>
      <w:lvlJc w:val="left"/>
      <w:pPr>
        <w:ind w:left="615" w:hanging="360"/>
      </w:pPr>
      <w:rPr>
        <w:rFonts w:hint="default"/>
        <w:color w:val="auto"/>
      </w:rPr>
    </w:lvl>
    <w:lvl w:ilvl="1" w:tentative="0">
      <w:start w:val="1"/>
      <w:numFmt w:val="lowerLetter"/>
      <w:lvlText w:val="%2."/>
      <w:lvlJc w:val="left"/>
      <w:pPr>
        <w:ind w:left="1335" w:hanging="360"/>
      </w:pPr>
    </w:lvl>
    <w:lvl w:ilvl="2" w:tentative="0">
      <w:start w:val="1"/>
      <w:numFmt w:val="lowerRoman"/>
      <w:lvlText w:val="%3."/>
      <w:lvlJc w:val="right"/>
      <w:pPr>
        <w:ind w:left="2055" w:hanging="180"/>
      </w:pPr>
    </w:lvl>
    <w:lvl w:ilvl="3" w:tentative="0">
      <w:start w:val="1"/>
      <w:numFmt w:val="decimal"/>
      <w:lvlText w:val="%4."/>
      <w:lvlJc w:val="left"/>
      <w:pPr>
        <w:ind w:left="2775" w:hanging="360"/>
      </w:pPr>
    </w:lvl>
    <w:lvl w:ilvl="4" w:tentative="0">
      <w:start w:val="1"/>
      <w:numFmt w:val="lowerLetter"/>
      <w:lvlText w:val="%5."/>
      <w:lvlJc w:val="left"/>
      <w:pPr>
        <w:ind w:left="3495" w:hanging="360"/>
      </w:pPr>
    </w:lvl>
    <w:lvl w:ilvl="5" w:tentative="0">
      <w:start w:val="1"/>
      <w:numFmt w:val="lowerRoman"/>
      <w:lvlText w:val="%6."/>
      <w:lvlJc w:val="right"/>
      <w:pPr>
        <w:ind w:left="4215" w:hanging="180"/>
      </w:pPr>
    </w:lvl>
    <w:lvl w:ilvl="6" w:tentative="0">
      <w:start w:val="1"/>
      <w:numFmt w:val="decimal"/>
      <w:lvlText w:val="%7."/>
      <w:lvlJc w:val="left"/>
      <w:pPr>
        <w:ind w:left="4935" w:hanging="360"/>
      </w:pPr>
    </w:lvl>
    <w:lvl w:ilvl="7" w:tentative="0">
      <w:start w:val="1"/>
      <w:numFmt w:val="lowerLetter"/>
      <w:lvlText w:val="%8."/>
      <w:lvlJc w:val="left"/>
      <w:pPr>
        <w:ind w:left="5655" w:hanging="360"/>
      </w:pPr>
    </w:lvl>
    <w:lvl w:ilvl="8" w:tentative="0">
      <w:start w:val="1"/>
      <w:numFmt w:val="lowerRoman"/>
      <w:lvlText w:val="%9."/>
      <w:lvlJc w:val="right"/>
      <w:pPr>
        <w:ind w:left="6375" w:hanging="180"/>
      </w:pPr>
    </w:lvl>
  </w:abstractNum>
  <w:abstractNum w:abstractNumId="24">
    <w:nsid w:val="240B72B1"/>
    <w:multiLevelType w:val="singleLevel"/>
    <w:tmpl w:val="240B72B1"/>
    <w:lvl w:ilvl="0" w:tentative="0">
      <w:start w:val="1"/>
      <w:numFmt w:val="lowerLetter"/>
      <w:lvlText w:val="%1)"/>
      <w:lvlJc w:val="left"/>
      <w:pPr>
        <w:tabs>
          <w:tab w:val="left" w:pos="420"/>
        </w:tabs>
        <w:ind w:left="425" w:leftChars="0" w:hanging="425" w:firstLineChars="0"/>
      </w:pPr>
      <w:rPr>
        <w:rFonts w:hint="default" w:ascii="Calibri" w:eastAsia="等线" w:cs="Calibri"/>
        <w:b/>
      </w:rPr>
    </w:lvl>
  </w:abstractNum>
  <w:abstractNum w:abstractNumId="25">
    <w:nsid w:val="26F6D433"/>
    <w:multiLevelType w:val="singleLevel"/>
    <w:tmpl w:val="26F6D433"/>
    <w:lvl w:ilvl="0" w:tentative="0">
      <w:start w:val="1"/>
      <w:numFmt w:val="lowerLetter"/>
      <w:lvlText w:val="%1)"/>
      <w:lvlJc w:val="left"/>
      <w:pPr>
        <w:tabs>
          <w:tab w:val="left" w:pos="425"/>
        </w:tabs>
        <w:ind w:left="425" w:leftChars="0" w:hanging="425" w:firstLineChars="0"/>
      </w:pPr>
      <w:rPr>
        <w:rFonts w:hint="default" w:ascii="Calibri" w:hAnsi="Calibri" w:eastAsia="等线" w:cs="Calibri"/>
        <w:b/>
      </w:rPr>
    </w:lvl>
  </w:abstractNum>
  <w:abstractNum w:abstractNumId="26">
    <w:nsid w:val="284DB6BB"/>
    <w:multiLevelType w:val="singleLevel"/>
    <w:tmpl w:val="284DB6BB"/>
    <w:lvl w:ilvl="0" w:tentative="0">
      <w:start w:val="1"/>
      <w:numFmt w:val="lowerLetter"/>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27">
    <w:nsid w:val="28C07601"/>
    <w:multiLevelType w:val="multilevel"/>
    <w:tmpl w:val="28C07601"/>
    <w:lvl w:ilvl="0" w:tentative="0">
      <w:start w:val="1"/>
      <w:numFmt w:val="lowerLetter"/>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2D025EBE"/>
    <w:multiLevelType w:val="multilevel"/>
    <w:tmpl w:val="2D025EB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2DD7702B"/>
    <w:multiLevelType w:val="multilevel"/>
    <w:tmpl w:val="2DD7702B"/>
    <w:lvl w:ilvl="0" w:tentative="0">
      <w:start w:val="1"/>
      <w:numFmt w:val="lowerLetter"/>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2E302091"/>
    <w:multiLevelType w:val="multilevel"/>
    <w:tmpl w:val="2E302091"/>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35571582"/>
    <w:multiLevelType w:val="singleLevel"/>
    <w:tmpl w:val="35571582"/>
    <w:lvl w:ilvl="0" w:tentative="0">
      <w:start w:val="1"/>
      <w:numFmt w:val="lowerLetter"/>
      <w:lvlText w:val="%1."/>
      <w:lvlJc w:val="left"/>
      <w:pPr>
        <w:tabs>
          <w:tab w:val="left" w:pos="425"/>
        </w:tabs>
        <w:ind w:left="425" w:hanging="425"/>
      </w:pPr>
      <w:rPr>
        <w:rFonts w:hint="default" w:ascii="Calibri" w:hAnsi="Calibri" w:eastAsia="DengXian" w:cs="Calibri"/>
        <w:b/>
        <w:sz w:val="20"/>
        <w:szCs w:val="20"/>
      </w:rPr>
    </w:lvl>
  </w:abstractNum>
  <w:abstractNum w:abstractNumId="32">
    <w:nsid w:val="3749F2D3"/>
    <w:multiLevelType w:val="singleLevel"/>
    <w:tmpl w:val="3749F2D3"/>
    <w:lvl w:ilvl="0" w:tentative="0">
      <w:start w:val="1"/>
      <w:numFmt w:val="upperRoman"/>
      <w:lvlText w:val="%1."/>
      <w:lvlJc w:val="left"/>
      <w:pPr>
        <w:tabs>
          <w:tab w:val="left" w:pos="425"/>
        </w:tabs>
        <w:ind w:left="425" w:hanging="425"/>
      </w:pPr>
      <w:rPr>
        <w:rFonts w:hint="default" w:ascii="Arial" w:hAnsi="Arial" w:eastAsia="Arial" w:cs="Arial"/>
        <w:b/>
        <w:sz w:val="17"/>
      </w:rPr>
    </w:lvl>
  </w:abstractNum>
  <w:abstractNum w:abstractNumId="33">
    <w:nsid w:val="3AF17C08"/>
    <w:multiLevelType w:val="multilevel"/>
    <w:tmpl w:val="3AF17C08"/>
    <w:lvl w:ilvl="0" w:tentative="0">
      <w:start w:val="1"/>
      <w:numFmt w:val="lowerLetter"/>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34">
    <w:nsid w:val="3AF84EA6"/>
    <w:multiLevelType w:val="singleLevel"/>
    <w:tmpl w:val="3AF84EA6"/>
    <w:lvl w:ilvl="0" w:tentative="0">
      <w:start w:val="1"/>
      <w:numFmt w:val="lowerLetter"/>
      <w:lvlText w:val="%1)"/>
      <w:lvlJc w:val="left"/>
      <w:pPr>
        <w:tabs>
          <w:tab w:val="left" w:pos="420"/>
        </w:tabs>
        <w:ind w:left="425" w:leftChars="0" w:hanging="425" w:firstLineChars="0"/>
      </w:pPr>
      <w:rPr>
        <w:rFonts w:hint="default" w:ascii="Calibri" w:eastAsia="等线" w:cs="Calibri"/>
        <w:b/>
      </w:rPr>
    </w:lvl>
  </w:abstractNum>
  <w:abstractNum w:abstractNumId="35">
    <w:nsid w:val="3B4C1C24"/>
    <w:multiLevelType w:val="multilevel"/>
    <w:tmpl w:val="3B4C1C24"/>
    <w:lvl w:ilvl="0" w:tentative="0">
      <w:start w:val="1"/>
      <w:numFmt w:val="lowerLetter"/>
      <w:lvlText w:val="(%1)"/>
      <w:lvlJc w:val="left"/>
      <w:pPr>
        <w:ind w:left="720" w:hanging="360"/>
      </w:pPr>
      <w:rPr>
        <w:rFonts w:hint="default"/>
      </w:rPr>
    </w:lvl>
    <w:lvl w:ilvl="1" w:tentative="0">
      <w:start w:val="1"/>
      <w:numFmt w:val="lowerLetter"/>
      <w:lvlText w:val="(%2)"/>
      <w:lvlJc w:val="left"/>
      <w:pPr>
        <w:ind w:left="720" w:hanging="360"/>
      </w:pPr>
      <w:rPr>
        <w:rFonts w:hint="default"/>
        <w:b/>
        <w:bC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3C52445E"/>
    <w:multiLevelType w:val="singleLevel"/>
    <w:tmpl w:val="3C52445E"/>
    <w:lvl w:ilvl="0" w:tentative="0">
      <w:start w:val="1"/>
      <w:numFmt w:val="lowerLetter"/>
      <w:lvlText w:val="%1."/>
      <w:lvlJc w:val="left"/>
      <w:pPr>
        <w:tabs>
          <w:tab w:val="left" w:pos="425"/>
        </w:tabs>
        <w:ind w:left="425" w:hanging="425"/>
      </w:pPr>
      <w:rPr>
        <w:rFonts w:hint="default" w:ascii="Calibri" w:hAnsi="Calibri" w:eastAsia="DengXian" w:cs="Calibri"/>
        <w:b/>
        <w:sz w:val="20"/>
        <w:szCs w:val="20"/>
      </w:rPr>
    </w:lvl>
  </w:abstractNum>
  <w:abstractNum w:abstractNumId="37">
    <w:nsid w:val="3F1E12B7"/>
    <w:multiLevelType w:val="singleLevel"/>
    <w:tmpl w:val="3F1E12B7"/>
    <w:lvl w:ilvl="0" w:tentative="0">
      <w:start w:val="1"/>
      <w:numFmt w:val="upperRoman"/>
      <w:lvlText w:val="%1."/>
      <w:lvlJc w:val="left"/>
      <w:pPr>
        <w:tabs>
          <w:tab w:val="left" w:pos="425"/>
        </w:tabs>
        <w:ind w:left="425" w:hanging="425"/>
      </w:pPr>
      <w:rPr>
        <w:rFonts w:hint="default" w:ascii="Calibri" w:hAnsi="Calibri" w:eastAsia="DengXian" w:cs="Calibri"/>
        <w:b/>
        <w:sz w:val="20"/>
        <w:szCs w:val="20"/>
      </w:rPr>
    </w:lvl>
  </w:abstractNum>
  <w:abstractNum w:abstractNumId="38">
    <w:nsid w:val="4057E164"/>
    <w:multiLevelType w:val="singleLevel"/>
    <w:tmpl w:val="4057E164"/>
    <w:lvl w:ilvl="0" w:tentative="0">
      <w:start w:val="1"/>
      <w:numFmt w:val="upperRoman"/>
      <w:lvlText w:val="%1."/>
      <w:lvlJc w:val="left"/>
      <w:pPr>
        <w:tabs>
          <w:tab w:val="left" w:pos="425"/>
        </w:tabs>
        <w:ind w:left="425" w:leftChars="0" w:hanging="425" w:firstLineChars="0"/>
      </w:pPr>
      <w:rPr>
        <w:rFonts w:hint="default" w:ascii="Calibri" w:hAnsi="Calibri" w:eastAsia="等线" w:cs="Calibri"/>
        <w:b/>
      </w:rPr>
    </w:lvl>
  </w:abstractNum>
  <w:abstractNum w:abstractNumId="39">
    <w:nsid w:val="409F6323"/>
    <w:multiLevelType w:val="multilevel"/>
    <w:tmpl w:val="409F6323"/>
    <w:lvl w:ilvl="0" w:tentative="0">
      <w:start w:val="1"/>
      <w:numFmt w:val="lowerLetter"/>
      <w:lvlText w:val="%1."/>
      <w:lvlJc w:val="left"/>
      <w:pPr>
        <w:ind w:left="1647" w:hanging="360"/>
      </w:pPr>
      <w:rPr>
        <w:rFonts w:hint="default" w:eastAsia="SimSun"/>
      </w:rPr>
    </w:lvl>
    <w:lvl w:ilvl="1" w:tentative="0">
      <w:start w:val="1"/>
      <w:numFmt w:val="lowerLetter"/>
      <w:lvlText w:val="%2."/>
      <w:lvlJc w:val="left"/>
      <w:pPr>
        <w:ind w:left="2367" w:hanging="360"/>
      </w:pPr>
    </w:lvl>
    <w:lvl w:ilvl="2" w:tentative="0">
      <w:start w:val="1"/>
      <w:numFmt w:val="lowerRoman"/>
      <w:lvlText w:val="%3."/>
      <w:lvlJc w:val="right"/>
      <w:pPr>
        <w:ind w:left="3087" w:hanging="180"/>
      </w:pPr>
    </w:lvl>
    <w:lvl w:ilvl="3" w:tentative="0">
      <w:start w:val="1"/>
      <w:numFmt w:val="decimal"/>
      <w:lvlText w:val="%4."/>
      <w:lvlJc w:val="left"/>
      <w:pPr>
        <w:ind w:left="3807" w:hanging="360"/>
      </w:pPr>
    </w:lvl>
    <w:lvl w:ilvl="4" w:tentative="0">
      <w:start w:val="1"/>
      <w:numFmt w:val="lowerLetter"/>
      <w:lvlText w:val="%5."/>
      <w:lvlJc w:val="left"/>
      <w:pPr>
        <w:ind w:left="4527" w:hanging="360"/>
      </w:pPr>
    </w:lvl>
    <w:lvl w:ilvl="5" w:tentative="0">
      <w:start w:val="1"/>
      <w:numFmt w:val="lowerRoman"/>
      <w:lvlText w:val="%6."/>
      <w:lvlJc w:val="right"/>
      <w:pPr>
        <w:ind w:left="5247" w:hanging="180"/>
      </w:pPr>
    </w:lvl>
    <w:lvl w:ilvl="6" w:tentative="0">
      <w:start w:val="1"/>
      <w:numFmt w:val="decimal"/>
      <w:lvlText w:val="%7."/>
      <w:lvlJc w:val="left"/>
      <w:pPr>
        <w:ind w:left="5967" w:hanging="360"/>
      </w:pPr>
    </w:lvl>
    <w:lvl w:ilvl="7" w:tentative="0">
      <w:start w:val="1"/>
      <w:numFmt w:val="lowerLetter"/>
      <w:lvlText w:val="%8."/>
      <w:lvlJc w:val="left"/>
      <w:pPr>
        <w:ind w:left="6687" w:hanging="360"/>
      </w:pPr>
    </w:lvl>
    <w:lvl w:ilvl="8" w:tentative="0">
      <w:start w:val="1"/>
      <w:numFmt w:val="lowerRoman"/>
      <w:lvlText w:val="%9."/>
      <w:lvlJc w:val="right"/>
      <w:pPr>
        <w:ind w:left="7407" w:hanging="180"/>
      </w:pPr>
    </w:lvl>
  </w:abstractNum>
  <w:abstractNum w:abstractNumId="40">
    <w:nsid w:val="40BF2653"/>
    <w:multiLevelType w:val="multilevel"/>
    <w:tmpl w:val="40BF265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4359787B"/>
    <w:multiLevelType w:val="multilevel"/>
    <w:tmpl w:val="4359787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43E441FC"/>
    <w:multiLevelType w:val="multilevel"/>
    <w:tmpl w:val="43E441FC"/>
    <w:lvl w:ilvl="0" w:tentative="0">
      <w:start w:val="1"/>
      <w:numFmt w:val="bullet"/>
      <w:lvlText w:val=""/>
      <w:lvlJc w:val="left"/>
      <w:pPr>
        <w:ind w:left="775" w:hanging="360"/>
      </w:pPr>
      <w:rPr>
        <w:rFonts w:hint="default" w:ascii="Symbol" w:hAnsi="Symbol"/>
      </w:rPr>
    </w:lvl>
    <w:lvl w:ilvl="1" w:tentative="0">
      <w:start w:val="1"/>
      <w:numFmt w:val="bullet"/>
      <w:lvlText w:val="o"/>
      <w:lvlJc w:val="left"/>
      <w:pPr>
        <w:ind w:left="1495" w:hanging="360"/>
      </w:pPr>
      <w:rPr>
        <w:rFonts w:hint="default" w:ascii="Courier New" w:hAnsi="Courier New" w:cs="Courier New"/>
      </w:rPr>
    </w:lvl>
    <w:lvl w:ilvl="2" w:tentative="0">
      <w:start w:val="1"/>
      <w:numFmt w:val="bullet"/>
      <w:lvlText w:val=""/>
      <w:lvlJc w:val="left"/>
      <w:pPr>
        <w:ind w:left="2215" w:hanging="360"/>
      </w:pPr>
      <w:rPr>
        <w:rFonts w:hint="default" w:ascii="Wingdings" w:hAnsi="Wingdings"/>
      </w:rPr>
    </w:lvl>
    <w:lvl w:ilvl="3" w:tentative="0">
      <w:start w:val="1"/>
      <w:numFmt w:val="bullet"/>
      <w:lvlText w:val=""/>
      <w:lvlJc w:val="left"/>
      <w:pPr>
        <w:ind w:left="2935" w:hanging="360"/>
      </w:pPr>
      <w:rPr>
        <w:rFonts w:hint="default" w:ascii="Symbol" w:hAnsi="Symbol"/>
      </w:rPr>
    </w:lvl>
    <w:lvl w:ilvl="4" w:tentative="0">
      <w:start w:val="1"/>
      <w:numFmt w:val="bullet"/>
      <w:lvlText w:val="o"/>
      <w:lvlJc w:val="left"/>
      <w:pPr>
        <w:ind w:left="3655" w:hanging="360"/>
      </w:pPr>
      <w:rPr>
        <w:rFonts w:hint="default" w:ascii="Courier New" w:hAnsi="Courier New" w:cs="Courier New"/>
      </w:rPr>
    </w:lvl>
    <w:lvl w:ilvl="5" w:tentative="0">
      <w:start w:val="1"/>
      <w:numFmt w:val="bullet"/>
      <w:lvlText w:val=""/>
      <w:lvlJc w:val="left"/>
      <w:pPr>
        <w:ind w:left="4375" w:hanging="360"/>
      </w:pPr>
      <w:rPr>
        <w:rFonts w:hint="default" w:ascii="Wingdings" w:hAnsi="Wingdings"/>
      </w:rPr>
    </w:lvl>
    <w:lvl w:ilvl="6" w:tentative="0">
      <w:start w:val="1"/>
      <w:numFmt w:val="bullet"/>
      <w:lvlText w:val=""/>
      <w:lvlJc w:val="left"/>
      <w:pPr>
        <w:ind w:left="5095" w:hanging="360"/>
      </w:pPr>
      <w:rPr>
        <w:rFonts w:hint="default" w:ascii="Symbol" w:hAnsi="Symbol"/>
      </w:rPr>
    </w:lvl>
    <w:lvl w:ilvl="7" w:tentative="0">
      <w:start w:val="1"/>
      <w:numFmt w:val="bullet"/>
      <w:lvlText w:val="o"/>
      <w:lvlJc w:val="left"/>
      <w:pPr>
        <w:ind w:left="5815" w:hanging="360"/>
      </w:pPr>
      <w:rPr>
        <w:rFonts w:hint="default" w:ascii="Courier New" w:hAnsi="Courier New" w:cs="Courier New"/>
      </w:rPr>
    </w:lvl>
    <w:lvl w:ilvl="8" w:tentative="0">
      <w:start w:val="1"/>
      <w:numFmt w:val="bullet"/>
      <w:lvlText w:val=""/>
      <w:lvlJc w:val="left"/>
      <w:pPr>
        <w:ind w:left="6535" w:hanging="360"/>
      </w:pPr>
      <w:rPr>
        <w:rFonts w:hint="default" w:ascii="Wingdings" w:hAnsi="Wingdings"/>
      </w:rPr>
    </w:lvl>
  </w:abstractNum>
  <w:abstractNum w:abstractNumId="43">
    <w:nsid w:val="4B5C5CAE"/>
    <w:multiLevelType w:val="multilevel"/>
    <w:tmpl w:val="4B5C5CAE"/>
    <w:lvl w:ilvl="0" w:tentative="0">
      <w:start w:val="1"/>
      <w:numFmt w:val="lowerLetter"/>
      <w:lvlText w:val="(%1)"/>
      <w:lvlJc w:val="left"/>
      <w:pPr>
        <w:ind w:left="1140" w:hanging="360"/>
      </w:pPr>
      <w:rPr>
        <w:rFonts w:hint="default"/>
      </w:rPr>
    </w:lvl>
    <w:lvl w:ilvl="1" w:tentative="0">
      <w:start w:val="1"/>
      <w:numFmt w:val="lowerLetter"/>
      <w:lvlText w:val="%2."/>
      <w:lvlJc w:val="left"/>
      <w:pPr>
        <w:ind w:left="1860" w:hanging="360"/>
      </w:pPr>
    </w:lvl>
    <w:lvl w:ilvl="2" w:tentative="0">
      <w:start w:val="1"/>
      <w:numFmt w:val="lowerRoman"/>
      <w:lvlText w:val="%3."/>
      <w:lvlJc w:val="right"/>
      <w:pPr>
        <w:ind w:left="2580" w:hanging="180"/>
      </w:pPr>
    </w:lvl>
    <w:lvl w:ilvl="3" w:tentative="0">
      <w:start w:val="1"/>
      <w:numFmt w:val="decimal"/>
      <w:lvlText w:val="%4."/>
      <w:lvlJc w:val="left"/>
      <w:pPr>
        <w:ind w:left="3300" w:hanging="360"/>
      </w:pPr>
    </w:lvl>
    <w:lvl w:ilvl="4" w:tentative="0">
      <w:start w:val="1"/>
      <w:numFmt w:val="lowerLetter"/>
      <w:lvlText w:val="%5."/>
      <w:lvlJc w:val="left"/>
      <w:pPr>
        <w:ind w:left="4020" w:hanging="360"/>
      </w:pPr>
    </w:lvl>
    <w:lvl w:ilvl="5" w:tentative="0">
      <w:start w:val="1"/>
      <w:numFmt w:val="lowerRoman"/>
      <w:lvlText w:val="%6."/>
      <w:lvlJc w:val="right"/>
      <w:pPr>
        <w:ind w:left="4740" w:hanging="180"/>
      </w:pPr>
    </w:lvl>
    <w:lvl w:ilvl="6" w:tentative="0">
      <w:start w:val="1"/>
      <w:numFmt w:val="decimal"/>
      <w:lvlText w:val="%7."/>
      <w:lvlJc w:val="left"/>
      <w:pPr>
        <w:ind w:left="5460" w:hanging="360"/>
      </w:pPr>
    </w:lvl>
    <w:lvl w:ilvl="7" w:tentative="0">
      <w:start w:val="1"/>
      <w:numFmt w:val="lowerLetter"/>
      <w:lvlText w:val="%8."/>
      <w:lvlJc w:val="left"/>
      <w:pPr>
        <w:ind w:left="6180" w:hanging="360"/>
      </w:pPr>
    </w:lvl>
    <w:lvl w:ilvl="8" w:tentative="0">
      <w:start w:val="1"/>
      <w:numFmt w:val="lowerRoman"/>
      <w:lvlText w:val="%9."/>
      <w:lvlJc w:val="right"/>
      <w:pPr>
        <w:ind w:left="6900" w:hanging="180"/>
      </w:pPr>
    </w:lvl>
  </w:abstractNum>
  <w:abstractNum w:abstractNumId="44">
    <w:nsid w:val="52C047D9"/>
    <w:multiLevelType w:val="multilevel"/>
    <w:tmpl w:val="52C047D9"/>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45">
    <w:nsid w:val="547A58E1"/>
    <w:multiLevelType w:val="singleLevel"/>
    <w:tmpl w:val="547A58E1"/>
    <w:lvl w:ilvl="0" w:tentative="0">
      <w:start w:val="1"/>
      <w:numFmt w:val="lowerLetter"/>
      <w:suff w:val="space"/>
      <w:lvlText w:val="(%1)"/>
      <w:lvlJc w:val="left"/>
    </w:lvl>
  </w:abstractNum>
  <w:abstractNum w:abstractNumId="46">
    <w:nsid w:val="54981872"/>
    <w:multiLevelType w:val="multilevel"/>
    <w:tmpl w:val="54981872"/>
    <w:lvl w:ilvl="0" w:tentative="0">
      <w:start w:val="1"/>
      <w:numFmt w:val="lowerLetter"/>
      <w:lvlText w:val="%1)"/>
      <w:lvlJc w:val="left"/>
      <w:pPr>
        <w:ind w:left="927" w:hanging="360"/>
      </w:pPr>
      <w:rPr>
        <w:rFonts w:hint="default"/>
        <w:b w:val="0"/>
        <w:bCs w:val="0"/>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47">
    <w:nsid w:val="57924797"/>
    <w:multiLevelType w:val="multilevel"/>
    <w:tmpl w:val="57924797"/>
    <w:lvl w:ilvl="0" w:tentative="0">
      <w:start w:val="1"/>
      <w:numFmt w:val="lowerLetter"/>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8">
    <w:nsid w:val="5965D87C"/>
    <w:multiLevelType w:val="singleLevel"/>
    <w:tmpl w:val="5965D87C"/>
    <w:lvl w:ilvl="0" w:tentative="0">
      <w:start w:val="1"/>
      <w:numFmt w:val="upp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49">
    <w:nsid w:val="5B4D71BC"/>
    <w:multiLevelType w:val="multilevel"/>
    <w:tmpl w:val="5B4D71BC"/>
    <w:lvl w:ilvl="0" w:tentative="0">
      <w:start w:val="1"/>
      <w:numFmt w:val="upperRoman"/>
      <w:lvlText w:val="%1."/>
      <w:lvlJc w:val="left"/>
      <w:pPr>
        <w:ind w:left="1287" w:hanging="720"/>
      </w:pPr>
      <w:rPr>
        <w:rFonts w:hint="default" w:eastAsiaTheme="minorHAnsi" w:cstheme="minorBidi"/>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50">
    <w:nsid w:val="5BCC68F6"/>
    <w:multiLevelType w:val="multilevel"/>
    <w:tmpl w:val="5BCC68F6"/>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5D24F33B"/>
    <w:multiLevelType w:val="singleLevel"/>
    <w:tmpl w:val="5D24F33B"/>
    <w:lvl w:ilvl="0" w:tentative="0">
      <w:start w:val="1"/>
      <w:numFmt w:val="upperRoman"/>
      <w:suff w:val="space"/>
      <w:lvlText w:val="%1."/>
      <w:lvlJc w:val="left"/>
    </w:lvl>
  </w:abstractNum>
  <w:abstractNum w:abstractNumId="52">
    <w:nsid w:val="61C634C5"/>
    <w:multiLevelType w:val="singleLevel"/>
    <w:tmpl w:val="61C634C5"/>
    <w:lvl w:ilvl="0" w:tentative="0">
      <w:start w:val="1"/>
      <w:numFmt w:val="upperRoman"/>
      <w:lvlText w:val="%1."/>
      <w:lvlJc w:val="left"/>
      <w:pPr>
        <w:tabs>
          <w:tab w:val="left" w:pos="425"/>
        </w:tabs>
        <w:ind w:left="425" w:hanging="425"/>
      </w:pPr>
      <w:rPr>
        <w:rFonts w:hint="default" w:ascii="Calibri" w:hAnsi="Calibri" w:eastAsia="DengXian" w:cs="Calibri"/>
        <w:b/>
        <w:sz w:val="20"/>
        <w:szCs w:val="20"/>
      </w:rPr>
    </w:lvl>
  </w:abstractNum>
  <w:abstractNum w:abstractNumId="53">
    <w:nsid w:val="63B9B088"/>
    <w:multiLevelType w:val="singleLevel"/>
    <w:tmpl w:val="63B9B088"/>
    <w:lvl w:ilvl="0" w:tentative="0">
      <w:start w:val="1"/>
      <w:numFmt w:val="low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54">
    <w:nsid w:val="6849B5DD"/>
    <w:multiLevelType w:val="singleLevel"/>
    <w:tmpl w:val="6849B5DD"/>
    <w:lvl w:ilvl="0" w:tentative="0">
      <w:start w:val="1"/>
      <w:numFmt w:val="upperRoman"/>
      <w:lvlText w:val="%1 -"/>
      <w:lvlJc w:val="left"/>
      <w:pPr>
        <w:tabs>
          <w:tab w:val="left" w:pos="420"/>
        </w:tabs>
        <w:ind w:left="425" w:leftChars="0" w:hanging="425" w:firstLineChars="0"/>
      </w:pPr>
      <w:rPr>
        <w:rFonts w:hint="default" w:ascii="SimSun" w:hAnsi="SimSun" w:eastAsia="SimSun" w:cs="SimSun"/>
      </w:rPr>
    </w:lvl>
  </w:abstractNum>
  <w:abstractNum w:abstractNumId="55">
    <w:nsid w:val="685D7335"/>
    <w:multiLevelType w:val="singleLevel"/>
    <w:tmpl w:val="685D7335"/>
    <w:lvl w:ilvl="0" w:tentative="0">
      <w:start w:val="1"/>
      <w:numFmt w:val="lowerLetter"/>
      <w:lvlText w:val="%11."/>
      <w:lvlJc w:val="left"/>
      <w:pPr>
        <w:tabs>
          <w:tab w:val="left" w:pos="420"/>
        </w:tabs>
        <w:ind w:left="425" w:leftChars="0" w:hanging="425" w:firstLineChars="0"/>
      </w:pPr>
      <w:rPr>
        <w:rFonts w:hint="default" w:ascii="Calibri" w:eastAsia="等线" w:cs="Calibri"/>
        <w:b/>
      </w:rPr>
    </w:lvl>
  </w:abstractNum>
  <w:abstractNum w:abstractNumId="56">
    <w:nsid w:val="6A70CAFA"/>
    <w:multiLevelType w:val="singleLevel"/>
    <w:tmpl w:val="6A70CAFA"/>
    <w:lvl w:ilvl="0" w:tentative="0">
      <w:start w:val="1"/>
      <w:numFmt w:val="upperRoman"/>
      <w:lvlText w:val="%1."/>
      <w:lvlJc w:val="left"/>
      <w:pPr>
        <w:tabs>
          <w:tab w:val="left" w:pos="425"/>
        </w:tabs>
        <w:ind w:left="425" w:leftChars="0" w:hanging="425" w:firstLineChars="0"/>
      </w:pPr>
      <w:rPr>
        <w:rFonts w:hint="default" w:ascii="Calibri" w:hAnsi="Calibri" w:eastAsia="等线" w:cs="Calibri"/>
        <w:b/>
      </w:rPr>
    </w:lvl>
  </w:abstractNum>
  <w:abstractNum w:abstractNumId="57">
    <w:nsid w:val="72015FD6"/>
    <w:multiLevelType w:val="multilevel"/>
    <w:tmpl w:val="72015FD6"/>
    <w:lvl w:ilvl="0" w:tentative="0">
      <w:start w:val="46"/>
      <w:numFmt w:val="decimal"/>
      <w:lvlText w:val="%1"/>
      <w:lvlJc w:val="left"/>
      <w:pPr>
        <w:ind w:left="420" w:hanging="420"/>
      </w:pPr>
      <w:rPr>
        <w:rFonts w:hint="default"/>
      </w:rPr>
    </w:lvl>
    <w:lvl w:ilvl="1" w:tentative="0">
      <w:start w:val="3"/>
      <w:numFmt w:val="decimal"/>
      <w:lvlText w:val="%1.%2"/>
      <w:lvlJc w:val="left"/>
      <w:pPr>
        <w:ind w:left="451" w:hanging="420"/>
      </w:pPr>
      <w:rPr>
        <w:rFonts w:hint="default"/>
      </w:rPr>
    </w:lvl>
    <w:lvl w:ilvl="2" w:tentative="0">
      <w:start w:val="1"/>
      <w:numFmt w:val="decimal"/>
      <w:lvlText w:val="%1.%2.%3"/>
      <w:lvlJc w:val="left"/>
      <w:pPr>
        <w:ind w:left="782" w:hanging="720"/>
      </w:pPr>
      <w:rPr>
        <w:rFonts w:hint="default"/>
      </w:rPr>
    </w:lvl>
    <w:lvl w:ilvl="3" w:tentative="0">
      <w:start w:val="1"/>
      <w:numFmt w:val="decimal"/>
      <w:lvlText w:val="%1.%2.%3.%4"/>
      <w:lvlJc w:val="left"/>
      <w:pPr>
        <w:ind w:left="813" w:hanging="720"/>
      </w:pPr>
      <w:rPr>
        <w:rFonts w:hint="default"/>
      </w:rPr>
    </w:lvl>
    <w:lvl w:ilvl="4" w:tentative="0">
      <w:start w:val="1"/>
      <w:numFmt w:val="decimal"/>
      <w:lvlText w:val="%1.%2.%3.%4.%5"/>
      <w:lvlJc w:val="left"/>
      <w:pPr>
        <w:ind w:left="1204" w:hanging="1080"/>
      </w:pPr>
      <w:rPr>
        <w:rFonts w:hint="default"/>
      </w:rPr>
    </w:lvl>
    <w:lvl w:ilvl="5" w:tentative="0">
      <w:start w:val="1"/>
      <w:numFmt w:val="decimal"/>
      <w:lvlText w:val="%1.%2.%3.%4.%5.%6"/>
      <w:lvlJc w:val="left"/>
      <w:pPr>
        <w:ind w:left="1235" w:hanging="1080"/>
      </w:pPr>
      <w:rPr>
        <w:rFonts w:hint="default"/>
      </w:rPr>
    </w:lvl>
    <w:lvl w:ilvl="6" w:tentative="0">
      <w:start w:val="1"/>
      <w:numFmt w:val="decimal"/>
      <w:lvlText w:val="%1.%2.%3.%4.%5.%6.%7"/>
      <w:lvlJc w:val="left"/>
      <w:pPr>
        <w:ind w:left="1626" w:hanging="1440"/>
      </w:pPr>
      <w:rPr>
        <w:rFonts w:hint="default"/>
      </w:rPr>
    </w:lvl>
    <w:lvl w:ilvl="7" w:tentative="0">
      <w:start w:val="1"/>
      <w:numFmt w:val="decimal"/>
      <w:lvlText w:val="%1.%2.%3.%4.%5.%6.%7.%8"/>
      <w:lvlJc w:val="left"/>
      <w:pPr>
        <w:ind w:left="1657" w:hanging="1440"/>
      </w:pPr>
      <w:rPr>
        <w:rFonts w:hint="default"/>
      </w:rPr>
    </w:lvl>
    <w:lvl w:ilvl="8" w:tentative="0">
      <w:start w:val="1"/>
      <w:numFmt w:val="decimal"/>
      <w:lvlText w:val="%1.%2.%3.%4.%5.%6.%7.%8.%9"/>
      <w:lvlJc w:val="left"/>
      <w:pPr>
        <w:ind w:left="1688" w:hanging="1440"/>
      </w:pPr>
      <w:rPr>
        <w:rFonts w:hint="default"/>
      </w:rPr>
    </w:lvl>
  </w:abstractNum>
  <w:abstractNum w:abstractNumId="58">
    <w:nsid w:val="724508F9"/>
    <w:multiLevelType w:val="multilevel"/>
    <w:tmpl w:val="724508F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7252021D"/>
    <w:multiLevelType w:val="multilevel"/>
    <w:tmpl w:val="7252021D"/>
    <w:lvl w:ilvl="0" w:tentative="0">
      <w:start w:val="3"/>
      <w:numFmt w:val="decimal"/>
      <w:lvlText w:val="%1"/>
      <w:lvlJc w:val="left"/>
      <w:pPr>
        <w:ind w:left="360" w:hanging="360"/>
      </w:pPr>
      <w:rPr>
        <w:rFonts w:hint="default"/>
      </w:rPr>
    </w:lvl>
    <w:lvl w:ilvl="1" w:tentative="0">
      <w:start w:val="7"/>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60">
    <w:nsid w:val="72661386"/>
    <w:multiLevelType w:val="singleLevel"/>
    <w:tmpl w:val="72661386"/>
    <w:lvl w:ilvl="0" w:tentative="0">
      <w:start w:val="1"/>
      <w:numFmt w:val="lowerLetter"/>
      <w:lvlText w:val="%1."/>
      <w:lvlJc w:val="left"/>
      <w:pPr>
        <w:tabs>
          <w:tab w:val="left" w:pos="425"/>
        </w:tabs>
        <w:ind w:left="425" w:hanging="425"/>
      </w:pPr>
      <w:rPr>
        <w:rFonts w:hint="default" w:ascii="Calibri" w:hAnsi="Calibri" w:eastAsia="DengXian" w:cs="Calibri"/>
        <w:b/>
        <w:sz w:val="20"/>
        <w:szCs w:val="20"/>
      </w:rPr>
    </w:lvl>
  </w:abstractNum>
  <w:abstractNum w:abstractNumId="61">
    <w:nsid w:val="72AF6877"/>
    <w:multiLevelType w:val="multilevel"/>
    <w:tmpl w:val="72AF6877"/>
    <w:lvl w:ilvl="0" w:tentative="0">
      <w:start w:val="1"/>
      <w:numFmt w:val="low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2">
    <w:nsid w:val="75FB9C65"/>
    <w:multiLevelType w:val="singleLevel"/>
    <w:tmpl w:val="75FB9C65"/>
    <w:lvl w:ilvl="0" w:tentative="0">
      <w:start w:val="1"/>
      <w:numFmt w:val="upperRoman"/>
      <w:lvlText w:val="%1."/>
      <w:lvlJc w:val="left"/>
      <w:pPr>
        <w:tabs>
          <w:tab w:val="left" w:pos="425"/>
        </w:tabs>
        <w:ind w:left="425" w:leftChars="0" w:hanging="425" w:firstLineChars="0"/>
      </w:pPr>
      <w:rPr>
        <w:rFonts w:hint="default" w:ascii="Calibri" w:hAnsi="Calibri" w:eastAsia="等线" w:cs="Calibri"/>
        <w:b/>
      </w:rPr>
    </w:lvl>
  </w:abstractNum>
  <w:abstractNum w:abstractNumId="63">
    <w:nsid w:val="78B3D87C"/>
    <w:multiLevelType w:val="singleLevel"/>
    <w:tmpl w:val="78B3D87C"/>
    <w:lvl w:ilvl="0" w:tentative="0">
      <w:start w:val="1"/>
      <w:numFmt w:val="upp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64">
    <w:nsid w:val="78BF49D2"/>
    <w:multiLevelType w:val="singleLevel"/>
    <w:tmpl w:val="78BF49D2"/>
    <w:lvl w:ilvl="0" w:tentative="0">
      <w:start w:val="1"/>
      <w:numFmt w:val="upperRoman"/>
      <w:suff w:val="space"/>
      <w:lvlText w:val="%1."/>
      <w:lvlJc w:val="left"/>
    </w:lvl>
  </w:abstractNum>
  <w:abstractNum w:abstractNumId="65">
    <w:nsid w:val="79C55A42"/>
    <w:multiLevelType w:val="multilevel"/>
    <w:tmpl w:val="79C55A4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79E5DCFE"/>
    <w:multiLevelType w:val="singleLevel"/>
    <w:tmpl w:val="79E5DCFE"/>
    <w:lvl w:ilvl="0" w:tentative="0">
      <w:start w:val="1"/>
      <w:numFmt w:val="lowerRoman"/>
      <w:lvlText w:val="(%1)"/>
      <w:lvlJc w:val="left"/>
      <w:pPr>
        <w:tabs>
          <w:tab w:val="left" w:pos="425"/>
        </w:tabs>
        <w:ind w:left="425" w:leftChars="0" w:hanging="425" w:firstLineChars="0"/>
      </w:pPr>
      <w:rPr>
        <w:rFonts w:hint="default" w:ascii="Calibri" w:hAnsi="Calibri" w:eastAsia="等线" w:cs="Calibri"/>
        <w:b/>
        <w:i w:val="0"/>
        <w:iCs w:val="0"/>
      </w:rPr>
    </w:lvl>
  </w:abstractNum>
  <w:abstractNum w:abstractNumId="67">
    <w:nsid w:val="7D0F321C"/>
    <w:multiLevelType w:val="singleLevel"/>
    <w:tmpl w:val="7D0F321C"/>
    <w:lvl w:ilvl="0" w:tentative="0">
      <w:start w:val="1"/>
      <w:numFmt w:val="upperRoman"/>
      <w:lvlText w:val="%1."/>
      <w:lvlJc w:val="left"/>
      <w:pPr>
        <w:tabs>
          <w:tab w:val="left" w:pos="425"/>
        </w:tabs>
        <w:ind w:left="425" w:leftChars="0" w:hanging="425" w:firstLineChars="0"/>
      </w:pPr>
      <w:rPr>
        <w:rFonts w:hint="default" w:ascii="Calibri" w:hAnsi="Calibri" w:eastAsia="等线" w:cs="Calibri"/>
        <w:b/>
      </w:rPr>
    </w:lvl>
  </w:abstractNum>
  <w:num w:numId="1">
    <w:abstractNumId w:val="5"/>
  </w:num>
  <w:num w:numId="2">
    <w:abstractNumId w:val="54"/>
  </w:num>
  <w:num w:numId="3">
    <w:abstractNumId w:val="20"/>
  </w:num>
  <w:num w:numId="4">
    <w:abstractNumId w:val="62"/>
  </w:num>
  <w:num w:numId="5">
    <w:abstractNumId w:val="67"/>
  </w:num>
  <w:num w:numId="6">
    <w:abstractNumId w:val="34"/>
  </w:num>
  <w:num w:numId="7">
    <w:abstractNumId w:val="38"/>
  </w:num>
  <w:num w:numId="8">
    <w:abstractNumId w:val="24"/>
  </w:num>
  <w:num w:numId="9">
    <w:abstractNumId w:val="43"/>
  </w:num>
  <w:num w:numId="10">
    <w:abstractNumId w:val="59"/>
  </w:num>
  <w:num w:numId="11">
    <w:abstractNumId w:val="29"/>
  </w:num>
  <w:num w:numId="12">
    <w:abstractNumId w:val="27"/>
  </w:num>
  <w:num w:numId="13">
    <w:abstractNumId w:val="47"/>
  </w:num>
  <w:num w:numId="14">
    <w:abstractNumId w:val="23"/>
  </w:num>
  <w:num w:numId="15">
    <w:abstractNumId w:val="64"/>
  </w:num>
  <w:num w:numId="16">
    <w:abstractNumId w:val="51"/>
  </w:num>
  <w:num w:numId="17">
    <w:abstractNumId w:val="45"/>
  </w:num>
  <w:num w:numId="18">
    <w:abstractNumId w:val="56"/>
  </w:num>
  <w:num w:numId="19">
    <w:abstractNumId w:val="8"/>
  </w:num>
  <w:num w:numId="20">
    <w:abstractNumId w:val="55"/>
  </w:num>
  <w:num w:numId="21">
    <w:abstractNumId w:val="25"/>
  </w:num>
  <w:num w:numId="22">
    <w:abstractNumId w:val="7"/>
  </w:num>
  <w:num w:numId="23">
    <w:abstractNumId w:val="2"/>
  </w:num>
  <w:num w:numId="24">
    <w:abstractNumId w:val="0"/>
  </w:num>
  <w:num w:numId="25">
    <w:abstractNumId w:val="1"/>
  </w:num>
  <w:num w:numId="26">
    <w:abstractNumId w:val="13"/>
  </w:num>
  <w:num w:numId="27">
    <w:abstractNumId w:val="9"/>
  </w:num>
  <w:num w:numId="28">
    <w:abstractNumId w:val="66"/>
  </w:num>
  <w:num w:numId="29">
    <w:abstractNumId w:val="53"/>
  </w:num>
  <w:num w:numId="30">
    <w:abstractNumId w:val="63"/>
  </w:num>
  <w:num w:numId="31">
    <w:abstractNumId w:val="48"/>
  </w:num>
  <w:num w:numId="32">
    <w:abstractNumId w:val="11"/>
  </w:num>
  <w:num w:numId="33">
    <w:abstractNumId w:val="3"/>
  </w:num>
  <w:num w:numId="34">
    <w:abstractNumId w:val="4"/>
  </w:num>
  <w:num w:numId="35">
    <w:abstractNumId w:val="12"/>
  </w:num>
  <w:num w:numId="36">
    <w:abstractNumId w:val="26"/>
  </w:num>
  <w:num w:numId="37">
    <w:abstractNumId w:val="41"/>
  </w:num>
  <w:num w:numId="38">
    <w:abstractNumId w:val="22"/>
  </w:num>
  <w:num w:numId="39">
    <w:abstractNumId w:val="61"/>
  </w:num>
  <w:num w:numId="40">
    <w:abstractNumId w:val="17"/>
  </w:num>
  <w:num w:numId="41">
    <w:abstractNumId w:val="57"/>
  </w:num>
  <w:num w:numId="42">
    <w:abstractNumId w:val="46"/>
  </w:num>
  <w:num w:numId="43">
    <w:abstractNumId w:val="33"/>
  </w:num>
  <w:num w:numId="44">
    <w:abstractNumId w:val="58"/>
  </w:num>
  <w:num w:numId="45">
    <w:abstractNumId w:val="44"/>
  </w:num>
  <w:num w:numId="46">
    <w:abstractNumId w:val="28"/>
  </w:num>
  <w:num w:numId="47">
    <w:abstractNumId w:val="40"/>
  </w:num>
  <w:num w:numId="48">
    <w:abstractNumId w:val="35"/>
  </w:num>
  <w:num w:numId="49">
    <w:abstractNumId w:val="15"/>
  </w:num>
  <w:num w:numId="50">
    <w:abstractNumId w:val="42"/>
  </w:num>
  <w:num w:numId="51">
    <w:abstractNumId w:val="30"/>
  </w:num>
  <w:num w:numId="52">
    <w:abstractNumId w:val="49"/>
  </w:num>
  <w:num w:numId="53">
    <w:abstractNumId w:val="39"/>
  </w:num>
  <w:num w:numId="54">
    <w:abstractNumId w:val="65"/>
  </w:num>
  <w:num w:numId="55">
    <w:abstractNumId w:val="10"/>
  </w:num>
  <w:num w:numId="56">
    <w:abstractNumId w:val="19"/>
  </w:num>
  <w:num w:numId="57">
    <w:abstractNumId w:val="14"/>
  </w:num>
  <w:num w:numId="58">
    <w:abstractNumId w:val="6"/>
  </w:num>
  <w:num w:numId="59">
    <w:abstractNumId w:val="21"/>
  </w:num>
  <w:num w:numId="60">
    <w:abstractNumId w:val="52"/>
  </w:num>
  <w:num w:numId="61">
    <w:abstractNumId w:val="60"/>
  </w:num>
  <w:num w:numId="62">
    <w:abstractNumId w:val="36"/>
  </w:num>
  <w:num w:numId="63">
    <w:abstractNumId w:val="18"/>
  </w:num>
  <w:num w:numId="64">
    <w:abstractNumId w:val="31"/>
  </w:num>
  <w:num w:numId="65">
    <w:abstractNumId w:val="37"/>
  </w:num>
  <w:num w:numId="66">
    <w:abstractNumId w:val="16"/>
  </w:num>
  <w:num w:numId="67">
    <w:abstractNumId w:val="50"/>
  </w:num>
  <w:num w:numId="6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24"/>
    <w:footnote w:id="25"/>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F19"/>
    <w:rsid w:val="000021D1"/>
    <w:rsid w:val="00002515"/>
    <w:rsid w:val="00003645"/>
    <w:rsid w:val="000042E0"/>
    <w:rsid w:val="00005901"/>
    <w:rsid w:val="00005A04"/>
    <w:rsid w:val="0001116F"/>
    <w:rsid w:val="00011850"/>
    <w:rsid w:val="0001238A"/>
    <w:rsid w:val="00012A21"/>
    <w:rsid w:val="000161B7"/>
    <w:rsid w:val="00016273"/>
    <w:rsid w:val="000173E4"/>
    <w:rsid w:val="000175D9"/>
    <w:rsid w:val="00020951"/>
    <w:rsid w:val="00026DDA"/>
    <w:rsid w:val="00030A1A"/>
    <w:rsid w:val="0003198B"/>
    <w:rsid w:val="00031A5D"/>
    <w:rsid w:val="00033C3A"/>
    <w:rsid w:val="00033D1E"/>
    <w:rsid w:val="000350C7"/>
    <w:rsid w:val="00035A18"/>
    <w:rsid w:val="00036379"/>
    <w:rsid w:val="00040ED4"/>
    <w:rsid w:val="00040F75"/>
    <w:rsid w:val="00044AF3"/>
    <w:rsid w:val="00045379"/>
    <w:rsid w:val="0004688B"/>
    <w:rsid w:val="00050805"/>
    <w:rsid w:val="000517E9"/>
    <w:rsid w:val="00051AFB"/>
    <w:rsid w:val="00052704"/>
    <w:rsid w:val="000529B6"/>
    <w:rsid w:val="00052E37"/>
    <w:rsid w:val="00054215"/>
    <w:rsid w:val="00055158"/>
    <w:rsid w:val="000610FF"/>
    <w:rsid w:val="0006159B"/>
    <w:rsid w:val="000617D1"/>
    <w:rsid w:val="000619A5"/>
    <w:rsid w:val="00061AA9"/>
    <w:rsid w:val="00061B2C"/>
    <w:rsid w:val="0006384D"/>
    <w:rsid w:val="0006384F"/>
    <w:rsid w:val="000647E7"/>
    <w:rsid w:val="0006495F"/>
    <w:rsid w:val="00070542"/>
    <w:rsid w:val="00071821"/>
    <w:rsid w:val="00073BB2"/>
    <w:rsid w:val="000753E9"/>
    <w:rsid w:val="0007710B"/>
    <w:rsid w:val="00081DE5"/>
    <w:rsid w:val="000824A9"/>
    <w:rsid w:val="00083220"/>
    <w:rsid w:val="00083F5B"/>
    <w:rsid w:val="00084A98"/>
    <w:rsid w:val="00084F3D"/>
    <w:rsid w:val="0008529B"/>
    <w:rsid w:val="00087212"/>
    <w:rsid w:val="000903AC"/>
    <w:rsid w:val="0009127C"/>
    <w:rsid w:val="00091BDC"/>
    <w:rsid w:val="000926C3"/>
    <w:rsid w:val="000940C8"/>
    <w:rsid w:val="00094138"/>
    <w:rsid w:val="00095DAB"/>
    <w:rsid w:val="00096A6A"/>
    <w:rsid w:val="000A011C"/>
    <w:rsid w:val="000A0B5E"/>
    <w:rsid w:val="000A1541"/>
    <w:rsid w:val="000A453E"/>
    <w:rsid w:val="000A4E8C"/>
    <w:rsid w:val="000A74AC"/>
    <w:rsid w:val="000B090F"/>
    <w:rsid w:val="000B2E46"/>
    <w:rsid w:val="000B3249"/>
    <w:rsid w:val="000B350D"/>
    <w:rsid w:val="000B3932"/>
    <w:rsid w:val="000B531A"/>
    <w:rsid w:val="000B5C99"/>
    <w:rsid w:val="000B5D39"/>
    <w:rsid w:val="000B5F2F"/>
    <w:rsid w:val="000B5FCD"/>
    <w:rsid w:val="000B633E"/>
    <w:rsid w:val="000B6EA6"/>
    <w:rsid w:val="000B7131"/>
    <w:rsid w:val="000C1A9F"/>
    <w:rsid w:val="000C7110"/>
    <w:rsid w:val="000C7E68"/>
    <w:rsid w:val="000D0407"/>
    <w:rsid w:val="000D0EB1"/>
    <w:rsid w:val="000D1815"/>
    <w:rsid w:val="000D20EC"/>
    <w:rsid w:val="000D2750"/>
    <w:rsid w:val="000D3340"/>
    <w:rsid w:val="000D7244"/>
    <w:rsid w:val="000D7C6B"/>
    <w:rsid w:val="000D7DAF"/>
    <w:rsid w:val="000D7F42"/>
    <w:rsid w:val="000E093C"/>
    <w:rsid w:val="000E39C3"/>
    <w:rsid w:val="000E3C25"/>
    <w:rsid w:val="000E4435"/>
    <w:rsid w:val="000E47B4"/>
    <w:rsid w:val="000E732D"/>
    <w:rsid w:val="000F00A4"/>
    <w:rsid w:val="000F011A"/>
    <w:rsid w:val="000F0133"/>
    <w:rsid w:val="000F078E"/>
    <w:rsid w:val="000F1765"/>
    <w:rsid w:val="000F1B0A"/>
    <w:rsid w:val="000F3111"/>
    <w:rsid w:val="000F3B2A"/>
    <w:rsid w:val="000F3FA0"/>
    <w:rsid w:val="000F49A5"/>
    <w:rsid w:val="000F522D"/>
    <w:rsid w:val="000F5286"/>
    <w:rsid w:val="000F5B6D"/>
    <w:rsid w:val="001002FB"/>
    <w:rsid w:val="00100ABA"/>
    <w:rsid w:val="001013AA"/>
    <w:rsid w:val="00101771"/>
    <w:rsid w:val="00103119"/>
    <w:rsid w:val="00103A58"/>
    <w:rsid w:val="00103E79"/>
    <w:rsid w:val="00104280"/>
    <w:rsid w:val="001043C9"/>
    <w:rsid w:val="00104C25"/>
    <w:rsid w:val="00104C86"/>
    <w:rsid w:val="00106E0B"/>
    <w:rsid w:val="00107EE7"/>
    <w:rsid w:val="00110266"/>
    <w:rsid w:val="00110553"/>
    <w:rsid w:val="00110F98"/>
    <w:rsid w:val="0011123A"/>
    <w:rsid w:val="00111D48"/>
    <w:rsid w:val="0011244F"/>
    <w:rsid w:val="0011256E"/>
    <w:rsid w:val="001143D3"/>
    <w:rsid w:val="0011679B"/>
    <w:rsid w:val="001176B0"/>
    <w:rsid w:val="00117730"/>
    <w:rsid w:val="00120C2B"/>
    <w:rsid w:val="00121873"/>
    <w:rsid w:val="00122383"/>
    <w:rsid w:val="00122B06"/>
    <w:rsid w:val="001236A0"/>
    <w:rsid w:val="00124362"/>
    <w:rsid w:val="00130479"/>
    <w:rsid w:val="0013051A"/>
    <w:rsid w:val="00130B74"/>
    <w:rsid w:val="00130BC2"/>
    <w:rsid w:val="001333CE"/>
    <w:rsid w:val="00133825"/>
    <w:rsid w:val="00133962"/>
    <w:rsid w:val="00134949"/>
    <w:rsid w:val="00134ADE"/>
    <w:rsid w:val="00135AFB"/>
    <w:rsid w:val="001363DE"/>
    <w:rsid w:val="0013777E"/>
    <w:rsid w:val="00137B9F"/>
    <w:rsid w:val="00140166"/>
    <w:rsid w:val="00141FBA"/>
    <w:rsid w:val="0014439E"/>
    <w:rsid w:val="001455BD"/>
    <w:rsid w:val="00145791"/>
    <w:rsid w:val="00145879"/>
    <w:rsid w:val="001473B8"/>
    <w:rsid w:val="00151AFE"/>
    <w:rsid w:val="001522E3"/>
    <w:rsid w:val="001524EA"/>
    <w:rsid w:val="001537D9"/>
    <w:rsid w:val="001542E6"/>
    <w:rsid w:val="00155791"/>
    <w:rsid w:val="00155F39"/>
    <w:rsid w:val="001565E0"/>
    <w:rsid w:val="001569DC"/>
    <w:rsid w:val="00160778"/>
    <w:rsid w:val="00161903"/>
    <w:rsid w:val="0016201A"/>
    <w:rsid w:val="00164047"/>
    <w:rsid w:val="00164A41"/>
    <w:rsid w:val="00166EE9"/>
    <w:rsid w:val="0016797C"/>
    <w:rsid w:val="00170374"/>
    <w:rsid w:val="0017186F"/>
    <w:rsid w:val="00173E1B"/>
    <w:rsid w:val="001742C3"/>
    <w:rsid w:val="0017479F"/>
    <w:rsid w:val="001747B0"/>
    <w:rsid w:val="001758D3"/>
    <w:rsid w:val="0017670F"/>
    <w:rsid w:val="00176DD1"/>
    <w:rsid w:val="00177385"/>
    <w:rsid w:val="00177564"/>
    <w:rsid w:val="001802AF"/>
    <w:rsid w:val="001807DA"/>
    <w:rsid w:val="00180EE8"/>
    <w:rsid w:val="00181238"/>
    <w:rsid w:val="00181D60"/>
    <w:rsid w:val="00182AD4"/>
    <w:rsid w:val="00182CB6"/>
    <w:rsid w:val="001835D2"/>
    <w:rsid w:val="00184635"/>
    <w:rsid w:val="00184C8E"/>
    <w:rsid w:val="00186E16"/>
    <w:rsid w:val="00187D14"/>
    <w:rsid w:val="00187FCC"/>
    <w:rsid w:val="00191A25"/>
    <w:rsid w:val="0019238B"/>
    <w:rsid w:val="00192C76"/>
    <w:rsid w:val="001932F4"/>
    <w:rsid w:val="0019455F"/>
    <w:rsid w:val="001949A8"/>
    <w:rsid w:val="00194F5B"/>
    <w:rsid w:val="00197594"/>
    <w:rsid w:val="001A03D7"/>
    <w:rsid w:val="001A2120"/>
    <w:rsid w:val="001A232B"/>
    <w:rsid w:val="001A2B7A"/>
    <w:rsid w:val="001A3A8F"/>
    <w:rsid w:val="001A3C2A"/>
    <w:rsid w:val="001A592D"/>
    <w:rsid w:val="001A5FF0"/>
    <w:rsid w:val="001A6852"/>
    <w:rsid w:val="001A7364"/>
    <w:rsid w:val="001B1201"/>
    <w:rsid w:val="001B140B"/>
    <w:rsid w:val="001B16C7"/>
    <w:rsid w:val="001B1951"/>
    <w:rsid w:val="001B39EB"/>
    <w:rsid w:val="001B4EAF"/>
    <w:rsid w:val="001B5512"/>
    <w:rsid w:val="001B5D1B"/>
    <w:rsid w:val="001B68BB"/>
    <w:rsid w:val="001B7965"/>
    <w:rsid w:val="001B7DD4"/>
    <w:rsid w:val="001C0198"/>
    <w:rsid w:val="001C1C6A"/>
    <w:rsid w:val="001C2BF7"/>
    <w:rsid w:val="001D14E1"/>
    <w:rsid w:val="001D187E"/>
    <w:rsid w:val="001D259A"/>
    <w:rsid w:val="001D3E0F"/>
    <w:rsid w:val="001D400F"/>
    <w:rsid w:val="001D46AB"/>
    <w:rsid w:val="001D51B4"/>
    <w:rsid w:val="001D56EF"/>
    <w:rsid w:val="001D581D"/>
    <w:rsid w:val="001D5EB9"/>
    <w:rsid w:val="001D7191"/>
    <w:rsid w:val="001D78B0"/>
    <w:rsid w:val="001E08AC"/>
    <w:rsid w:val="001E12CA"/>
    <w:rsid w:val="001E1D1C"/>
    <w:rsid w:val="001E35D9"/>
    <w:rsid w:val="001E3880"/>
    <w:rsid w:val="001E624B"/>
    <w:rsid w:val="001E777E"/>
    <w:rsid w:val="001F0591"/>
    <w:rsid w:val="001F0BE7"/>
    <w:rsid w:val="001F41E7"/>
    <w:rsid w:val="001F4263"/>
    <w:rsid w:val="001F54BF"/>
    <w:rsid w:val="00200EFE"/>
    <w:rsid w:val="002020F3"/>
    <w:rsid w:val="0020264D"/>
    <w:rsid w:val="0020399B"/>
    <w:rsid w:val="00204C1B"/>
    <w:rsid w:val="00204C79"/>
    <w:rsid w:val="00205761"/>
    <w:rsid w:val="002059F3"/>
    <w:rsid w:val="00205B69"/>
    <w:rsid w:val="00207169"/>
    <w:rsid w:val="002077DD"/>
    <w:rsid w:val="00210021"/>
    <w:rsid w:val="002102B5"/>
    <w:rsid w:val="00211E33"/>
    <w:rsid w:val="00211F5B"/>
    <w:rsid w:val="00213C3D"/>
    <w:rsid w:val="00214106"/>
    <w:rsid w:val="002152BC"/>
    <w:rsid w:val="00215570"/>
    <w:rsid w:val="002166F4"/>
    <w:rsid w:val="002166FE"/>
    <w:rsid w:val="00222019"/>
    <w:rsid w:val="0022269F"/>
    <w:rsid w:val="00222B2B"/>
    <w:rsid w:val="00222F34"/>
    <w:rsid w:val="0022304E"/>
    <w:rsid w:val="002245C0"/>
    <w:rsid w:val="002300C0"/>
    <w:rsid w:val="002307A1"/>
    <w:rsid w:val="002309CE"/>
    <w:rsid w:val="002311EA"/>
    <w:rsid w:val="002315D0"/>
    <w:rsid w:val="00233968"/>
    <w:rsid w:val="00236FBD"/>
    <w:rsid w:val="00237131"/>
    <w:rsid w:val="00241F68"/>
    <w:rsid w:val="002443D8"/>
    <w:rsid w:val="00245693"/>
    <w:rsid w:val="00245AEC"/>
    <w:rsid w:val="002460A8"/>
    <w:rsid w:val="00246607"/>
    <w:rsid w:val="00251173"/>
    <w:rsid w:val="00251B9E"/>
    <w:rsid w:val="00251F4E"/>
    <w:rsid w:val="002521C6"/>
    <w:rsid w:val="00252DA0"/>
    <w:rsid w:val="00254D92"/>
    <w:rsid w:val="00255C0A"/>
    <w:rsid w:val="00256ECB"/>
    <w:rsid w:val="00257385"/>
    <w:rsid w:val="0025777D"/>
    <w:rsid w:val="00257EC8"/>
    <w:rsid w:val="00260060"/>
    <w:rsid w:val="002601FA"/>
    <w:rsid w:val="002603A3"/>
    <w:rsid w:val="00260576"/>
    <w:rsid w:val="002609AB"/>
    <w:rsid w:val="00260A99"/>
    <w:rsid w:val="00260D53"/>
    <w:rsid w:val="00262540"/>
    <w:rsid w:val="002641DF"/>
    <w:rsid w:val="00264552"/>
    <w:rsid w:val="00264E1A"/>
    <w:rsid w:val="00266A77"/>
    <w:rsid w:val="00274041"/>
    <w:rsid w:val="00275E11"/>
    <w:rsid w:val="002768A2"/>
    <w:rsid w:val="002772E1"/>
    <w:rsid w:val="002773AE"/>
    <w:rsid w:val="00277DA4"/>
    <w:rsid w:val="00281BF2"/>
    <w:rsid w:val="00283CA0"/>
    <w:rsid w:val="00285D33"/>
    <w:rsid w:val="00286A61"/>
    <w:rsid w:val="00286A6A"/>
    <w:rsid w:val="00287AFD"/>
    <w:rsid w:val="0029056E"/>
    <w:rsid w:val="00292E94"/>
    <w:rsid w:val="002940FE"/>
    <w:rsid w:val="002944FC"/>
    <w:rsid w:val="00295B10"/>
    <w:rsid w:val="002A0DDE"/>
    <w:rsid w:val="002A1A81"/>
    <w:rsid w:val="002A1F1F"/>
    <w:rsid w:val="002B1AA1"/>
    <w:rsid w:val="002B266F"/>
    <w:rsid w:val="002B3D79"/>
    <w:rsid w:val="002B4BC7"/>
    <w:rsid w:val="002B4D2C"/>
    <w:rsid w:val="002B51D0"/>
    <w:rsid w:val="002B5DA2"/>
    <w:rsid w:val="002B7CA3"/>
    <w:rsid w:val="002C0214"/>
    <w:rsid w:val="002C0576"/>
    <w:rsid w:val="002C0EA1"/>
    <w:rsid w:val="002C2209"/>
    <w:rsid w:val="002C27DD"/>
    <w:rsid w:val="002C419D"/>
    <w:rsid w:val="002C499A"/>
    <w:rsid w:val="002C672C"/>
    <w:rsid w:val="002C6C42"/>
    <w:rsid w:val="002C72EF"/>
    <w:rsid w:val="002C7DB8"/>
    <w:rsid w:val="002D0782"/>
    <w:rsid w:val="002D1DF6"/>
    <w:rsid w:val="002D261A"/>
    <w:rsid w:val="002D349C"/>
    <w:rsid w:val="002D3527"/>
    <w:rsid w:val="002D40C7"/>
    <w:rsid w:val="002D5686"/>
    <w:rsid w:val="002D5BC9"/>
    <w:rsid w:val="002E101C"/>
    <w:rsid w:val="002E1C4E"/>
    <w:rsid w:val="002E2D4F"/>
    <w:rsid w:val="002E350F"/>
    <w:rsid w:val="002E53B5"/>
    <w:rsid w:val="002F1D2D"/>
    <w:rsid w:val="002F1D77"/>
    <w:rsid w:val="002F3CD8"/>
    <w:rsid w:val="002F3E96"/>
    <w:rsid w:val="002F56E4"/>
    <w:rsid w:val="002F607B"/>
    <w:rsid w:val="00301798"/>
    <w:rsid w:val="003017D9"/>
    <w:rsid w:val="003029F0"/>
    <w:rsid w:val="00302D10"/>
    <w:rsid w:val="00302F5F"/>
    <w:rsid w:val="003033BA"/>
    <w:rsid w:val="00304E93"/>
    <w:rsid w:val="00305870"/>
    <w:rsid w:val="003068CE"/>
    <w:rsid w:val="00307A44"/>
    <w:rsid w:val="00310706"/>
    <w:rsid w:val="00312550"/>
    <w:rsid w:val="00313270"/>
    <w:rsid w:val="003150A9"/>
    <w:rsid w:val="003171D5"/>
    <w:rsid w:val="00317A5F"/>
    <w:rsid w:val="00317D74"/>
    <w:rsid w:val="00320770"/>
    <w:rsid w:val="00320E21"/>
    <w:rsid w:val="003211C0"/>
    <w:rsid w:val="00321561"/>
    <w:rsid w:val="00322743"/>
    <w:rsid w:val="00322E04"/>
    <w:rsid w:val="00323A6E"/>
    <w:rsid w:val="00324C5A"/>
    <w:rsid w:val="00324DD4"/>
    <w:rsid w:val="00326798"/>
    <w:rsid w:val="00327CBE"/>
    <w:rsid w:val="00330412"/>
    <w:rsid w:val="0033212E"/>
    <w:rsid w:val="0033329B"/>
    <w:rsid w:val="0033405B"/>
    <w:rsid w:val="00335920"/>
    <w:rsid w:val="003412B5"/>
    <w:rsid w:val="0034217E"/>
    <w:rsid w:val="00342310"/>
    <w:rsid w:val="00344C2D"/>
    <w:rsid w:val="00344F09"/>
    <w:rsid w:val="003451D1"/>
    <w:rsid w:val="003453DD"/>
    <w:rsid w:val="00347E01"/>
    <w:rsid w:val="00351F70"/>
    <w:rsid w:val="003526F4"/>
    <w:rsid w:val="0035395F"/>
    <w:rsid w:val="00353C88"/>
    <w:rsid w:val="003543FD"/>
    <w:rsid w:val="00356CE8"/>
    <w:rsid w:val="00356DA6"/>
    <w:rsid w:val="00356EC4"/>
    <w:rsid w:val="00357B92"/>
    <w:rsid w:val="003603B7"/>
    <w:rsid w:val="003610BE"/>
    <w:rsid w:val="003618E0"/>
    <w:rsid w:val="003620F2"/>
    <w:rsid w:val="00364291"/>
    <w:rsid w:val="00365033"/>
    <w:rsid w:val="00365650"/>
    <w:rsid w:val="00365E2C"/>
    <w:rsid w:val="00367D87"/>
    <w:rsid w:val="003702F5"/>
    <w:rsid w:val="003705AB"/>
    <w:rsid w:val="003708DF"/>
    <w:rsid w:val="003712C0"/>
    <w:rsid w:val="00371CAB"/>
    <w:rsid w:val="00373EB4"/>
    <w:rsid w:val="00377476"/>
    <w:rsid w:val="00377866"/>
    <w:rsid w:val="00377A9E"/>
    <w:rsid w:val="00380984"/>
    <w:rsid w:val="00381B88"/>
    <w:rsid w:val="0038277D"/>
    <w:rsid w:val="00384969"/>
    <w:rsid w:val="00384B61"/>
    <w:rsid w:val="00384DEC"/>
    <w:rsid w:val="0038729C"/>
    <w:rsid w:val="00387A4E"/>
    <w:rsid w:val="00387A62"/>
    <w:rsid w:val="00387DCC"/>
    <w:rsid w:val="00390A6D"/>
    <w:rsid w:val="00392291"/>
    <w:rsid w:val="003928B0"/>
    <w:rsid w:val="003932B6"/>
    <w:rsid w:val="00393BD5"/>
    <w:rsid w:val="00394BF4"/>
    <w:rsid w:val="0039505B"/>
    <w:rsid w:val="00395FCC"/>
    <w:rsid w:val="00396234"/>
    <w:rsid w:val="00396483"/>
    <w:rsid w:val="003976F0"/>
    <w:rsid w:val="003978A9"/>
    <w:rsid w:val="00397D6F"/>
    <w:rsid w:val="003A19A6"/>
    <w:rsid w:val="003A32BA"/>
    <w:rsid w:val="003A378D"/>
    <w:rsid w:val="003A38DA"/>
    <w:rsid w:val="003A56F7"/>
    <w:rsid w:val="003A6622"/>
    <w:rsid w:val="003A6B22"/>
    <w:rsid w:val="003A79DB"/>
    <w:rsid w:val="003A7CEA"/>
    <w:rsid w:val="003B0F34"/>
    <w:rsid w:val="003B4818"/>
    <w:rsid w:val="003B586B"/>
    <w:rsid w:val="003B58D6"/>
    <w:rsid w:val="003B6D68"/>
    <w:rsid w:val="003C5827"/>
    <w:rsid w:val="003C61F6"/>
    <w:rsid w:val="003C68BC"/>
    <w:rsid w:val="003D0A06"/>
    <w:rsid w:val="003D1C24"/>
    <w:rsid w:val="003D1FCF"/>
    <w:rsid w:val="003D2116"/>
    <w:rsid w:val="003D2C43"/>
    <w:rsid w:val="003D3858"/>
    <w:rsid w:val="003D4F65"/>
    <w:rsid w:val="003D5C52"/>
    <w:rsid w:val="003D62E6"/>
    <w:rsid w:val="003D73CC"/>
    <w:rsid w:val="003D7722"/>
    <w:rsid w:val="003E1978"/>
    <w:rsid w:val="003E30FC"/>
    <w:rsid w:val="003E4709"/>
    <w:rsid w:val="003E672B"/>
    <w:rsid w:val="003F046A"/>
    <w:rsid w:val="003F08BB"/>
    <w:rsid w:val="003F112E"/>
    <w:rsid w:val="003F1D5A"/>
    <w:rsid w:val="003F2420"/>
    <w:rsid w:val="003F2A96"/>
    <w:rsid w:val="003F343F"/>
    <w:rsid w:val="003F35B1"/>
    <w:rsid w:val="003F4072"/>
    <w:rsid w:val="003F407F"/>
    <w:rsid w:val="00400E23"/>
    <w:rsid w:val="004021FB"/>
    <w:rsid w:val="00402556"/>
    <w:rsid w:val="00402C26"/>
    <w:rsid w:val="004030A3"/>
    <w:rsid w:val="00403547"/>
    <w:rsid w:val="004037EA"/>
    <w:rsid w:val="004056DC"/>
    <w:rsid w:val="00406181"/>
    <w:rsid w:val="0040659D"/>
    <w:rsid w:val="004102EB"/>
    <w:rsid w:val="00411249"/>
    <w:rsid w:val="00412E74"/>
    <w:rsid w:val="00415E36"/>
    <w:rsid w:val="00415E3C"/>
    <w:rsid w:val="00417BF8"/>
    <w:rsid w:val="0042068A"/>
    <w:rsid w:val="00420A94"/>
    <w:rsid w:val="00421E5F"/>
    <w:rsid w:val="00421F91"/>
    <w:rsid w:val="0042278A"/>
    <w:rsid w:val="00423C29"/>
    <w:rsid w:val="00424447"/>
    <w:rsid w:val="004250EE"/>
    <w:rsid w:val="004255BA"/>
    <w:rsid w:val="00425915"/>
    <w:rsid w:val="004261F0"/>
    <w:rsid w:val="00426531"/>
    <w:rsid w:val="004276D8"/>
    <w:rsid w:val="004300D8"/>
    <w:rsid w:val="004307A1"/>
    <w:rsid w:val="00430956"/>
    <w:rsid w:val="00431F43"/>
    <w:rsid w:val="00432851"/>
    <w:rsid w:val="00444630"/>
    <w:rsid w:val="004461B3"/>
    <w:rsid w:val="00451097"/>
    <w:rsid w:val="00451488"/>
    <w:rsid w:val="0045189F"/>
    <w:rsid w:val="00451B70"/>
    <w:rsid w:val="00452131"/>
    <w:rsid w:val="00452AAE"/>
    <w:rsid w:val="00453D39"/>
    <w:rsid w:val="004546E6"/>
    <w:rsid w:val="00455D7A"/>
    <w:rsid w:val="00460B31"/>
    <w:rsid w:val="00460E35"/>
    <w:rsid w:val="00462751"/>
    <w:rsid w:val="00463798"/>
    <w:rsid w:val="004642C0"/>
    <w:rsid w:val="0046558D"/>
    <w:rsid w:val="00465673"/>
    <w:rsid w:val="0046722C"/>
    <w:rsid w:val="00467AB2"/>
    <w:rsid w:val="00470739"/>
    <w:rsid w:val="00471164"/>
    <w:rsid w:val="0047228C"/>
    <w:rsid w:val="00472422"/>
    <w:rsid w:val="00473E6E"/>
    <w:rsid w:val="00475E85"/>
    <w:rsid w:val="004803D6"/>
    <w:rsid w:val="0048065F"/>
    <w:rsid w:val="0048340D"/>
    <w:rsid w:val="004837AA"/>
    <w:rsid w:val="00484C71"/>
    <w:rsid w:val="00485180"/>
    <w:rsid w:val="004853DC"/>
    <w:rsid w:val="00487485"/>
    <w:rsid w:val="0049028C"/>
    <w:rsid w:val="004907F5"/>
    <w:rsid w:val="00491140"/>
    <w:rsid w:val="00496B5D"/>
    <w:rsid w:val="00496CF2"/>
    <w:rsid w:val="00497250"/>
    <w:rsid w:val="004A0B8A"/>
    <w:rsid w:val="004A182E"/>
    <w:rsid w:val="004A3063"/>
    <w:rsid w:val="004A369D"/>
    <w:rsid w:val="004A43EA"/>
    <w:rsid w:val="004A57DA"/>
    <w:rsid w:val="004A69C3"/>
    <w:rsid w:val="004A7837"/>
    <w:rsid w:val="004B0E57"/>
    <w:rsid w:val="004B17ED"/>
    <w:rsid w:val="004B20F4"/>
    <w:rsid w:val="004B26D5"/>
    <w:rsid w:val="004B4FA0"/>
    <w:rsid w:val="004B5364"/>
    <w:rsid w:val="004B5470"/>
    <w:rsid w:val="004B66BE"/>
    <w:rsid w:val="004C0004"/>
    <w:rsid w:val="004C09E9"/>
    <w:rsid w:val="004C0F8D"/>
    <w:rsid w:val="004C5FBE"/>
    <w:rsid w:val="004C5FD8"/>
    <w:rsid w:val="004C667E"/>
    <w:rsid w:val="004C6891"/>
    <w:rsid w:val="004C704A"/>
    <w:rsid w:val="004D1199"/>
    <w:rsid w:val="004D1C4C"/>
    <w:rsid w:val="004D2E46"/>
    <w:rsid w:val="004D52AD"/>
    <w:rsid w:val="004D57E6"/>
    <w:rsid w:val="004E0564"/>
    <w:rsid w:val="004E499E"/>
    <w:rsid w:val="004E5588"/>
    <w:rsid w:val="004E5819"/>
    <w:rsid w:val="004E585A"/>
    <w:rsid w:val="004E68EF"/>
    <w:rsid w:val="004E7975"/>
    <w:rsid w:val="004E7FFD"/>
    <w:rsid w:val="004F0941"/>
    <w:rsid w:val="004F26CE"/>
    <w:rsid w:val="004F2860"/>
    <w:rsid w:val="004F3224"/>
    <w:rsid w:val="004F35B5"/>
    <w:rsid w:val="004F35E7"/>
    <w:rsid w:val="004F3F08"/>
    <w:rsid w:val="004F449C"/>
    <w:rsid w:val="004F4FF0"/>
    <w:rsid w:val="004F5648"/>
    <w:rsid w:val="004F6DAF"/>
    <w:rsid w:val="004F710B"/>
    <w:rsid w:val="004F744E"/>
    <w:rsid w:val="00503178"/>
    <w:rsid w:val="00504521"/>
    <w:rsid w:val="00505142"/>
    <w:rsid w:val="005060D5"/>
    <w:rsid w:val="00506804"/>
    <w:rsid w:val="00506DC0"/>
    <w:rsid w:val="005104B1"/>
    <w:rsid w:val="00510F9F"/>
    <w:rsid w:val="00511C6B"/>
    <w:rsid w:val="00512AFF"/>
    <w:rsid w:val="00514CE3"/>
    <w:rsid w:val="0051654F"/>
    <w:rsid w:val="0051717C"/>
    <w:rsid w:val="005204A7"/>
    <w:rsid w:val="00521DCD"/>
    <w:rsid w:val="00522C49"/>
    <w:rsid w:val="00524E49"/>
    <w:rsid w:val="005256BC"/>
    <w:rsid w:val="00527526"/>
    <w:rsid w:val="00527667"/>
    <w:rsid w:val="005304D0"/>
    <w:rsid w:val="005311EB"/>
    <w:rsid w:val="005364F9"/>
    <w:rsid w:val="00536BD8"/>
    <w:rsid w:val="0054032D"/>
    <w:rsid w:val="00540A0F"/>
    <w:rsid w:val="00540C86"/>
    <w:rsid w:val="00541A72"/>
    <w:rsid w:val="00542BFA"/>
    <w:rsid w:val="00542F27"/>
    <w:rsid w:val="00544B82"/>
    <w:rsid w:val="00551D5D"/>
    <w:rsid w:val="00551F95"/>
    <w:rsid w:val="00552DA0"/>
    <w:rsid w:val="00553C0A"/>
    <w:rsid w:val="0055415E"/>
    <w:rsid w:val="005557B8"/>
    <w:rsid w:val="00555B89"/>
    <w:rsid w:val="00555E43"/>
    <w:rsid w:val="00556763"/>
    <w:rsid w:val="0055722B"/>
    <w:rsid w:val="00560B36"/>
    <w:rsid w:val="00563482"/>
    <w:rsid w:val="005659B0"/>
    <w:rsid w:val="00565E34"/>
    <w:rsid w:val="00566150"/>
    <w:rsid w:val="005679E4"/>
    <w:rsid w:val="005723BB"/>
    <w:rsid w:val="00572422"/>
    <w:rsid w:val="00572816"/>
    <w:rsid w:val="00572EAF"/>
    <w:rsid w:val="00573356"/>
    <w:rsid w:val="0057498E"/>
    <w:rsid w:val="00575DBE"/>
    <w:rsid w:val="005761EF"/>
    <w:rsid w:val="005762FD"/>
    <w:rsid w:val="00576732"/>
    <w:rsid w:val="00580755"/>
    <w:rsid w:val="00580D23"/>
    <w:rsid w:val="00581C10"/>
    <w:rsid w:val="00581DD5"/>
    <w:rsid w:val="00583BC5"/>
    <w:rsid w:val="00584B35"/>
    <w:rsid w:val="00584BFF"/>
    <w:rsid w:val="00586BE1"/>
    <w:rsid w:val="00586DB3"/>
    <w:rsid w:val="00587475"/>
    <w:rsid w:val="00587E97"/>
    <w:rsid w:val="00591E0E"/>
    <w:rsid w:val="00591FA8"/>
    <w:rsid w:val="0059263C"/>
    <w:rsid w:val="00592A2D"/>
    <w:rsid w:val="00593B80"/>
    <w:rsid w:val="00595B12"/>
    <w:rsid w:val="00595F0B"/>
    <w:rsid w:val="005971C9"/>
    <w:rsid w:val="00597751"/>
    <w:rsid w:val="005A01E8"/>
    <w:rsid w:val="005A0DDE"/>
    <w:rsid w:val="005A0E5E"/>
    <w:rsid w:val="005A1A20"/>
    <w:rsid w:val="005A1B9B"/>
    <w:rsid w:val="005A4A74"/>
    <w:rsid w:val="005A61FF"/>
    <w:rsid w:val="005A6773"/>
    <w:rsid w:val="005B02CD"/>
    <w:rsid w:val="005B061F"/>
    <w:rsid w:val="005B0C4D"/>
    <w:rsid w:val="005B112F"/>
    <w:rsid w:val="005B1157"/>
    <w:rsid w:val="005B13CD"/>
    <w:rsid w:val="005B19B7"/>
    <w:rsid w:val="005B1BD9"/>
    <w:rsid w:val="005B2DB9"/>
    <w:rsid w:val="005B3DFF"/>
    <w:rsid w:val="005B41F4"/>
    <w:rsid w:val="005B5EDB"/>
    <w:rsid w:val="005B61B4"/>
    <w:rsid w:val="005C0201"/>
    <w:rsid w:val="005C140E"/>
    <w:rsid w:val="005C17FA"/>
    <w:rsid w:val="005C1A45"/>
    <w:rsid w:val="005C1F80"/>
    <w:rsid w:val="005C2191"/>
    <w:rsid w:val="005C2ECB"/>
    <w:rsid w:val="005C32DA"/>
    <w:rsid w:val="005C43BC"/>
    <w:rsid w:val="005C6627"/>
    <w:rsid w:val="005C6745"/>
    <w:rsid w:val="005C6F83"/>
    <w:rsid w:val="005C739F"/>
    <w:rsid w:val="005D0593"/>
    <w:rsid w:val="005D1344"/>
    <w:rsid w:val="005D43F5"/>
    <w:rsid w:val="005D49D3"/>
    <w:rsid w:val="005E1322"/>
    <w:rsid w:val="005E1967"/>
    <w:rsid w:val="005E308A"/>
    <w:rsid w:val="005E3E9C"/>
    <w:rsid w:val="005E5782"/>
    <w:rsid w:val="005E6295"/>
    <w:rsid w:val="005E66F4"/>
    <w:rsid w:val="005E7E03"/>
    <w:rsid w:val="005F0115"/>
    <w:rsid w:val="005F1B39"/>
    <w:rsid w:val="005F37CA"/>
    <w:rsid w:val="005F3E8F"/>
    <w:rsid w:val="005F3E94"/>
    <w:rsid w:val="005F3F24"/>
    <w:rsid w:val="005F5727"/>
    <w:rsid w:val="005F6AC4"/>
    <w:rsid w:val="005F6B32"/>
    <w:rsid w:val="005F7AB4"/>
    <w:rsid w:val="00601520"/>
    <w:rsid w:val="006021F4"/>
    <w:rsid w:val="0060234D"/>
    <w:rsid w:val="00602BF5"/>
    <w:rsid w:val="00602D8E"/>
    <w:rsid w:val="00603493"/>
    <w:rsid w:val="00603E8C"/>
    <w:rsid w:val="0060488A"/>
    <w:rsid w:val="00606809"/>
    <w:rsid w:val="006069D9"/>
    <w:rsid w:val="006106BE"/>
    <w:rsid w:val="0061157E"/>
    <w:rsid w:val="006130E9"/>
    <w:rsid w:val="00613513"/>
    <w:rsid w:val="00613AAE"/>
    <w:rsid w:val="0061486C"/>
    <w:rsid w:val="006153E7"/>
    <w:rsid w:val="006155D9"/>
    <w:rsid w:val="00615E9D"/>
    <w:rsid w:val="0061663B"/>
    <w:rsid w:val="00617372"/>
    <w:rsid w:val="00617AF4"/>
    <w:rsid w:val="00621D6F"/>
    <w:rsid w:val="0062332B"/>
    <w:rsid w:val="00625E1F"/>
    <w:rsid w:val="00627012"/>
    <w:rsid w:val="00627287"/>
    <w:rsid w:val="00630AB7"/>
    <w:rsid w:val="0063133F"/>
    <w:rsid w:val="006314DE"/>
    <w:rsid w:val="006321F3"/>
    <w:rsid w:val="00632D42"/>
    <w:rsid w:val="00633837"/>
    <w:rsid w:val="00634652"/>
    <w:rsid w:val="0063586C"/>
    <w:rsid w:val="006369BA"/>
    <w:rsid w:val="00636B55"/>
    <w:rsid w:val="00637904"/>
    <w:rsid w:val="00643B78"/>
    <w:rsid w:val="00644CA2"/>
    <w:rsid w:val="0064554C"/>
    <w:rsid w:val="0064566C"/>
    <w:rsid w:val="0064651C"/>
    <w:rsid w:val="0065028F"/>
    <w:rsid w:val="006506AE"/>
    <w:rsid w:val="0065206D"/>
    <w:rsid w:val="00653B17"/>
    <w:rsid w:val="00655F9A"/>
    <w:rsid w:val="0065685A"/>
    <w:rsid w:val="00657969"/>
    <w:rsid w:val="00661A8E"/>
    <w:rsid w:val="00661B93"/>
    <w:rsid w:val="00662180"/>
    <w:rsid w:val="00662FF4"/>
    <w:rsid w:val="00663541"/>
    <w:rsid w:val="00663ADD"/>
    <w:rsid w:val="0066436B"/>
    <w:rsid w:val="00665C86"/>
    <w:rsid w:val="006666C3"/>
    <w:rsid w:val="00666ED6"/>
    <w:rsid w:val="00667204"/>
    <w:rsid w:val="00667F24"/>
    <w:rsid w:val="006705D3"/>
    <w:rsid w:val="006730BB"/>
    <w:rsid w:val="00673B52"/>
    <w:rsid w:val="00676D92"/>
    <w:rsid w:val="006803ED"/>
    <w:rsid w:val="00680493"/>
    <w:rsid w:val="00680DC5"/>
    <w:rsid w:val="0068110B"/>
    <w:rsid w:val="006825DC"/>
    <w:rsid w:val="00682617"/>
    <w:rsid w:val="00687A8C"/>
    <w:rsid w:val="00695091"/>
    <w:rsid w:val="00695CC4"/>
    <w:rsid w:val="00697665"/>
    <w:rsid w:val="006979FC"/>
    <w:rsid w:val="006A1CCC"/>
    <w:rsid w:val="006A2A92"/>
    <w:rsid w:val="006A3CE4"/>
    <w:rsid w:val="006A4F50"/>
    <w:rsid w:val="006A5AAB"/>
    <w:rsid w:val="006B2773"/>
    <w:rsid w:val="006B3B3F"/>
    <w:rsid w:val="006B546C"/>
    <w:rsid w:val="006B571F"/>
    <w:rsid w:val="006B5924"/>
    <w:rsid w:val="006B64F1"/>
    <w:rsid w:val="006B6ABA"/>
    <w:rsid w:val="006C05C8"/>
    <w:rsid w:val="006C16ED"/>
    <w:rsid w:val="006C1A5E"/>
    <w:rsid w:val="006C283A"/>
    <w:rsid w:val="006C2988"/>
    <w:rsid w:val="006C2BF8"/>
    <w:rsid w:val="006C2EA2"/>
    <w:rsid w:val="006C338E"/>
    <w:rsid w:val="006C5046"/>
    <w:rsid w:val="006C591E"/>
    <w:rsid w:val="006C6A46"/>
    <w:rsid w:val="006C6FEE"/>
    <w:rsid w:val="006C702D"/>
    <w:rsid w:val="006D1E36"/>
    <w:rsid w:val="006D29C7"/>
    <w:rsid w:val="006D29DB"/>
    <w:rsid w:val="006D31FA"/>
    <w:rsid w:val="006D4D9A"/>
    <w:rsid w:val="006D4E90"/>
    <w:rsid w:val="006D65CC"/>
    <w:rsid w:val="006D6BCA"/>
    <w:rsid w:val="006D79D2"/>
    <w:rsid w:val="006D7C95"/>
    <w:rsid w:val="006E061B"/>
    <w:rsid w:val="006E0807"/>
    <w:rsid w:val="006E1579"/>
    <w:rsid w:val="006E1CE4"/>
    <w:rsid w:val="006E45A5"/>
    <w:rsid w:val="006E5A35"/>
    <w:rsid w:val="006E74EA"/>
    <w:rsid w:val="006F0E93"/>
    <w:rsid w:val="006F1025"/>
    <w:rsid w:val="006F14B7"/>
    <w:rsid w:val="006F203B"/>
    <w:rsid w:val="006F23FE"/>
    <w:rsid w:val="006F2878"/>
    <w:rsid w:val="00701CC6"/>
    <w:rsid w:val="00701D3A"/>
    <w:rsid w:val="00701F8E"/>
    <w:rsid w:val="007029E6"/>
    <w:rsid w:val="00703181"/>
    <w:rsid w:val="00703ACD"/>
    <w:rsid w:val="00703ADC"/>
    <w:rsid w:val="007042A7"/>
    <w:rsid w:val="00706568"/>
    <w:rsid w:val="00706924"/>
    <w:rsid w:val="00706B2A"/>
    <w:rsid w:val="0070710A"/>
    <w:rsid w:val="0071215D"/>
    <w:rsid w:val="007126E5"/>
    <w:rsid w:val="0071286B"/>
    <w:rsid w:val="00712DBA"/>
    <w:rsid w:val="00713747"/>
    <w:rsid w:val="00713B63"/>
    <w:rsid w:val="00714508"/>
    <w:rsid w:val="0071658E"/>
    <w:rsid w:val="00716AB8"/>
    <w:rsid w:val="00716D02"/>
    <w:rsid w:val="00720634"/>
    <w:rsid w:val="007208AA"/>
    <w:rsid w:val="00720FCA"/>
    <w:rsid w:val="00721DD3"/>
    <w:rsid w:val="0072205C"/>
    <w:rsid w:val="00722217"/>
    <w:rsid w:val="00723804"/>
    <w:rsid w:val="007243D9"/>
    <w:rsid w:val="007246E7"/>
    <w:rsid w:val="00726A04"/>
    <w:rsid w:val="00726B4B"/>
    <w:rsid w:val="00727995"/>
    <w:rsid w:val="007305BF"/>
    <w:rsid w:val="00731A34"/>
    <w:rsid w:val="00731B99"/>
    <w:rsid w:val="007328C8"/>
    <w:rsid w:val="0073322D"/>
    <w:rsid w:val="0073412D"/>
    <w:rsid w:val="007367BC"/>
    <w:rsid w:val="00737394"/>
    <w:rsid w:val="0073780A"/>
    <w:rsid w:val="0073784D"/>
    <w:rsid w:val="0074047A"/>
    <w:rsid w:val="00740A50"/>
    <w:rsid w:val="007412E8"/>
    <w:rsid w:val="00741B22"/>
    <w:rsid w:val="00742216"/>
    <w:rsid w:val="00743243"/>
    <w:rsid w:val="0074361F"/>
    <w:rsid w:val="00743E68"/>
    <w:rsid w:val="00744F91"/>
    <w:rsid w:val="007453CD"/>
    <w:rsid w:val="0074627E"/>
    <w:rsid w:val="0074639B"/>
    <w:rsid w:val="00746B52"/>
    <w:rsid w:val="007505C9"/>
    <w:rsid w:val="00750F8C"/>
    <w:rsid w:val="00752954"/>
    <w:rsid w:val="00753273"/>
    <w:rsid w:val="00753F3A"/>
    <w:rsid w:val="007541C6"/>
    <w:rsid w:val="00754A88"/>
    <w:rsid w:val="00754E92"/>
    <w:rsid w:val="00754F16"/>
    <w:rsid w:val="00755FCA"/>
    <w:rsid w:val="007563F3"/>
    <w:rsid w:val="007570B8"/>
    <w:rsid w:val="00760240"/>
    <w:rsid w:val="007623E9"/>
    <w:rsid w:val="0076252E"/>
    <w:rsid w:val="00762CEA"/>
    <w:rsid w:val="00764247"/>
    <w:rsid w:val="00764C3C"/>
    <w:rsid w:val="00766373"/>
    <w:rsid w:val="007665A1"/>
    <w:rsid w:val="007677C8"/>
    <w:rsid w:val="00767FC6"/>
    <w:rsid w:val="0077011E"/>
    <w:rsid w:val="00770294"/>
    <w:rsid w:val="00770536"/>
    <w:rsid w:val="00770C56"/>
    <w:rsid w:val="00770D0F"/>
    <w:rsid w:val="00770EB7"/>
    <w:rsid w:val="00771EA8"/>
    <w:rsid w:val="00771F92"/>
    <w:rsid w:val="00773711"/>
    <w:rsid w:val="00774313"/>
    <w:rsid w:val="00775EC6"/>
    <w:rsid w:val="007766F9"/>
    <w:rsid w:val="00782871"/>
    <w:rsid w:val="00782907"/>
    <w:rsid w:val="0078318B"/>
    <w:rsid w:val="007832CD"/>
    <w:rsid w:val="00790287"/>
    <w:rsid w:val="00790601"/>
    <w:rsid w:val="007908BB"/>
    <w:rsid w:val="00790A55"/>
    <w:rsid w:val="00790D39"/>
    <w:rsid w:val="0079262E"/>
    <w:rsid w:val="007930B2"/>
    <w:rsid w:val="00793704"/>
    <w:rsid w:val="0079403A"/>
    <w:rsid w:val="00795631"/>
    <w:rsid w:val="00795647"/>
    <w:rsid w:val="00795ED9"/>
    <w:rsid w:val="007967CC"/>
    <w:rsid w:val="007A0B16"/>
    <w:rsid w:val="007A0D1C"/>
    <w:rsid w:val="007A2091"/>
    <w:rsid w:val="007A251E"/>
    <w:rsid w:val="007A429B"/>
    <w:rsid w:val="007A5F51"/>
    <w:rsid w:val="007A60C0"/>
    <w:rsid w:val="007A67BC"/>
    <w:rsid w:val="007A6E77"/>
    <w:rsid w:val="007A75E9"/>
    <w:rsid w:val="007A7617"/>
    <w:rsid w:val="007A7747"/>
    <w:rsid w:val="007B1314"/>
    <w:rsid w:val="007B16C7"/>
    <w:rsid w:val="007B19A0"/>
    <w:rsid w:val="007B1C0E"/>
    <w:rsid w:val="007B22BC"/>
    <w:rsid w:val="007B301F"/>
    <w:rsid w:val="007B313A"/>
    <w:rsid w:val="007B36F0"/>
    <w:rsid w:val="007B4955"/>
    <w:rsid w:val="007B5026"/>
    <w:rsid w:val="007B5772"/>
    <w:rsid w:val="007B58E3"/>
    <w:rsid w:val="007B596C"/>
    <w:rsid w:val="007B66D5"/>
    <w:rsid w:val="007B76D7"/>
    <w:rsid w:val="007C0131"/>
    <w:rsid w:val="007C0BCD"/>
    <w:rsid w:val="007C2798"/>
    <w:rsid w:val="007C27D8"/>
    <w:rsid w:val="007C3FBF"/>
    <w:rsid w:val="007C45E6"/>
    <w:rsid w:val="007C64AC"/>
    <w:rsid w:val="007C7F39"/>
    <w:rsid w:val="007D086D"/>
    <w:rsid w:val="007D0A99"/>
    <w:rsid w:val="007D0D00"/>
    <w:rsid w:val="007D1D40"/>
    <w:rsid w:val="007D488B"/>
    <w:rsid w:val="007D566C"/>
    <w:rsid w:val="007D676C"/>
    <w:rsid w:val="007D73C1"/>
    <w:rsid w:val="007D792B"/>
    <w:rsid w:val="007D7D8C"/>
    <w:rsid w:val="007E029D"/>
    <w:rsid w:val="007E2107"/>
    <w:rsid w:val="007E2376"/>
    <w:rsid w:val="007E23BC"/>
    <w:rsid w:val="007E3BDD"/>
    <w:rsid w:val="007E4B13"/>
    <w:rsid w:val="007E5892"/>
    <w:rsid w:val="007E5DD9"/>
    <w:rsid w:val="007E776A"/>
    <w:rsid w:val="007E7B77"/>
    <w:rsid w:val="007F140C"/>
    <w:rsid w:val="007F2436"/>
    <w:rsid w:val="007F4BF3"/>
    <w:rsid w:val="007F7031"/>
    <w:rsid w:val="007F7AAB"/>
    <w:rsid w:val="0080191A"/>
    <w:rsid w:val="00801FDA"/>
    <w:rsid w:val="0080343B"/>
    <w:rsid w:val="008039B5"/>
    <w:rsid w:val="008052F5"/>
    <w:rsid w:val="0080769B"/>
    <w:rsid w:val="008077DD"/>
    <w:rsid w:val="00811E72"/>
    <w:rsid w:val="00812EC8"/>
    <w:rsid w:val="00814482"/>
    <w:rsid w:val="00815917"/>
    <w:rsid w:val="00816E9F"/>
    <w:rsid w:val="00817156"/>
    <w:rsid w:val="00817415"/>
    <w:rsid w:val="008204CC"/>
    <w:rsid w:val="00822E72"/>
    <w:rsid w:val="00825A82"/>
    <w:rsid w:val="00825CBA"/>
    <w:rsid w:val="00826F85"/>
    <w:rsid w:val="00827084"/>
    <w:rsid w:val="0082722B"/>
    <w:rsid w:val="008305F6"/>
    <w:rsid w:val="00830F76"/>
    <w:rsid w:val="008319B3"/>
    <w:rsid w:val="00832C4D"/>
    <w:rsid w:val="00833370"/>
    <w:rsid w:val="00835B64"/>
    <w:rsid w:val="00835C1A"/>
    <w:rsid w:val="00835D3D"/>
    <w:rsid w:val="00836045"/>
    <w:rsid w:val="00840BB7"/>
    <w:rsid w:val="008423B2"/>
    <w:rsid w:val="008425A0"/>
    <w:rsid w:val="00844565"/>
    <w:rsid w:val="0084503B"/>
    <w:rsid w:val="008451CC"/>
    <w:rsid w:val="00845788"/>
    <w:rsid w:val="008466D2"/>
    <w:rsid w:val="00847140"/>
    <w:rsid w:val="00851108"/>
    <w:rsid w:val="008517D6"/>
    <w:rsid w:val="00851E28"/>
    <w:rsid w:val="00853758"/>
    <w:rsid w:val="008538EF"/>
    <w:rsid w:val="00853988"/>
    <w:rsid w:val="0085509D"/>
    <w:rsid w:val="008557F4"/>
    <w:rsid w:val="00857008"/>
    <w:rsid w:val="00857217"/>
    <w:rsid w:val="008573E9"/>
    <w:rsid w:val="0086033B"/>
    <w:rsid w:val="00860E29"/>
    <w:rsid w:val="00861E3C"/>
    <w:rsid w:val="00862B4C"/>
    <w:rsid w:val="00866564"/>
    <w:rsid w:val="008700DA"/>
    <w:rsid w:val="0087060C"/>
    <w:rsid w:val="0087113C"/>
    <w:rsid w:val="00871790"/>
    <w:rsid w:val="00871F3E"/>
    <w:rsid w:val="00871FFC"/>
    <w:rsid w:val="008756D2"/>
    <w:rsid w:val="0087794F"/>
    <w:rsid w:val="00880108"/>
    <w:rsid w:val="008821A6"/>
    <w:rsid w:val="0088369D"/>
    <w:rsid w:val="00883768"/>
    <w:rsid w:val="008838B4"/>
    <w:rsid w:val="008879D3"/>
    <w:rsid w:val="00890895"/>
    <w:rsid w:val="00890D62"/>
    <w:rsid w:val="00891B0B"/>
    <w:rsid w:val="008930BF"/>
    <w:rsid w:val="0089532B"/>
    <w:rsid w:val="00895348"/>
    <w:rsid w:val="0089538C"/>
    <w:rsid w:val="008A03CD"/>
    <w:rsid w:val="008A054D"/>
    <w:rsid w:val="008A3267"/>
    <w:rsid w:val="008A38C8"/>
    <w:rsid w:val="008A4340"/>
    <w:rsid w:val="008A584D"/>
    <w:rsid w:val="008A6388"/>
    <w:rsid w:val="008A6920"/>
    <w:rsid w:val="008B0190"/>
    <w:rsid w:val="008B0661"/>
    <w:rsid w:val="008B0813"/>
    <w:rsid w:val="008B0DA1"/>
    <w:rsid w:val="008B1B37"/>
    <w:rsid w:val="008B1D0E"/>
    <w:rsid w:val="008B1DAA"/>
    <w:rsid w:val="008B20A8"/>
    <w:rsid w:val="008B22AF"/>
    <w:rsid w:val="008B3C22"/>
    <w:rsid w:val="008B5D82"/>
    <w:rsid w:val="008B5E75"/>
    <w:rsid w:val="008B6088"/>
    <w:rsid w:val="008B7122"/>
    <w:rsid w:val="008B7685"/>
    <w:rsid w:val="008C1DE9"/>
    <w:rsid w:val="008C1E7A"/>
    <w:rsid w:val="008C1F7A"/>
    <w:rsid w:val="008C2906"/>
    <w:rsid w:val="008C3449"/>
    <w:rsid w:val="008C35A5"/>
    <w:rsid w:val="008C450A"/>
    <w:rsid w:val="008C45EB"/>
    <w:rsid w:val="008C4D1E"/>
    <w:rsid w:val="008C6578"/>
    <w:rsid w:val="008C7420"/>
    <w:rsid w:val="008C7A8E"/>
    <w:rsid w:val="008D105E"/>
    <w:rsid w:val="008D117A"/>
    <w:rsid w:val="008D32CA"/>
    <w:rsid w:val="008D3326"/>
    <w:rsid w:val="008D46B4"/>
    <w:rsid w:val="008D54F6"/>
    <w:rsid w:val="008E0C3F"/>
    <w:rsid w:val="008E15C5"/>
    <w:rsid w:val="008E1C53"/>
    <w:rsid w:val="008E2985"/>
    <w:rsid w:val="008E2E93"/>
    <w:rsid w:val="008E33F2"/>
    <w:rsid w:val="008E38BB"/>
    <w:rsid w:val="008E3923"/>
    <w:rsid w:val="008E427C"/>
    <w:rsid w:val="008E5136"/>
    <w:rsid w:val="008E5C57"/>
    <w:rsid w:val="008E6351"/>
    <w:rsid w:val="008E6769"/>
    <w:rsid w:val="008E6AA6"/>
    <w:rsid w:val="008E6B9B"/>
    <w:rsid w:val="008E70BC"/>
    <w:rsid w:val="008E7E52"/>
    <w:rsid w:val="008F0206"/>
    <w:rsid w:val="008F276C"/>
    <w:rsid w:val="008F2D7D"/>
    <w:rsid w:val="008F4E34"/>
    <w:rsid w:val="008F56C3"/>
    <w:rsid w:val="008F6A6B"/>
    <w:rsid w:val="008F7484"/>
    <w:rsid w:val="0090196A"/>
    <w:rsid w:val="00901F78"/>
    <w:rsid w:val="009020FF"/>
    <w:rsid w:val="009023FA"/>
    <w:rsid w:val="00904122"/>
    <w:rsid w:val="00910CCB"/>
    <w:rsid w:val="00911A60"/>
    <w:rsid w:val="00912F7A"/>
    <w:rsid w:val="009132A1"/>
    <w:rsid w:val="009136C9"/>
    <w:rsid w:val="00913889"/>
    <w:rsid w:val="00913C4D"/>
    <w:rsid w:val="009161AE"/>
    <w:rsid w:val="00920453"/>
    <w:rsid w:val="0092290B"/>
    <w:rsid w:val="00922FB7"/>
    <w:rsid w:val="009231FE"/>
    <w:rsid w:val="009236EF"/>
    <w:rsid w:val="0092409E"/>
    <w:rsid w:val="009246BD"/>
    <w:rsid w:val="00924EEF"/>
    <w:rsid w:val="00925E8C"/>
    <w:rsid w:val="00926992"/>
    <w:rsid w:val="0092705B"/>
    <w:rsid w:val="00927B37"/>
    <w:rsid w:val="009309C7"/>
    <w:rsid w:val="009313CA"/>
    <w:rsid w:val="00932972"/>
    <w:rsid w:val="009331C1"/>
    <w:rsid w:val="0093633B"/>
    <w:rsid w:val="00937D55"/>
    <w:rsid w:val="00940065"/>
    <w:rsid w:val="00940350"/>
    <w:rsid w:val="00941044"/>
    <w:rsid w:val="009425F6"/>
    <w:rsid w:val="00943266"/>
    <w:rsid w:val="00945043"/>
    <w:rsid w:val="00945251"/>
    <w:rsid w:val="00946136"/>
    <w:rsid w:val="00946835"/>
    <w:rsid w:val="009470E6"/>
    <w:rsid w:val="009473C6"/>
    <w:rsid w:val="00947DB6"/>
    <w:rsid w:val="00947DBA"/>
    <w:rsid w:val="00950438"/>
    <w:rsid w:val="00950BBB"/>
    <w:rsid w:val="00951D65"/>
    <w:rsid w:val="00953E06"/>
    <w:rsid w:val="00954CAB"/>
    <w:rsid w:val="0095511A"/>
    <w:rsid w:val="0095563E"/>
    <w:rsid w:val="00957152"/>
    <w:rsid w:val="00957BE8"/>
    <w:rsid w:val="009605DA"/>
    <w:rsid w:val="00960BFD"/>
    <w:rsid w:val="0096243E"/>
    <w:rsid w:val="00962D7C"/>
    <w:rsid w:val="00962DD7"/>
    <w:rsid w:val="0096394D"/>
    <w:rsid w:val="0096528C"/>
    <w:rsid w:val="009653BE"/>
    <w:rsid w:val="00966912"/>
    <w:rsid w:val="00967FB9"/>
    <w:rsid w:val="00971C3A"/>
    <w:rsid w:val="00973FBB"/>
    <w:rsid w:val="00974E61"/>
    <w:rsid w:val="009760A6"/>
    <w:rsid w:val="00980272"/>
    <w:rsid w:val="0098045E"/>
    <w:rsid w:val="009810C5"/>
    <w:rsid w:val="00982440"/>
    <w:rsid w:val="00983686"/>
    <w:rsid w:val="00983CAF"/>
    <w:rsid w:val="009865C5"/>
    <w:rsid w:val="00987000"/>
    <w:rsid w:val="00987218"/>
    <w:rsid w:val="0098737E"/>
    <w:rsid w:val="00987E3A"/>
    <w:rsid w:val="009915C7"/>
    <w:rsid w:val="00993427"/>
    <w:rsid w:val="00993A6B"/>
    <w:rsid w:val="00993D86"/>
    <w:rsid w:val="00996603"/>
    <w:rsid w:val="00996D46"/>
    <w:rsid w:val="009A028F"/>
    <w:rsid w:val="009A14A3"/>
    <w:rsid w:val="009A1514"/>
    <w:rsid w:val="009A1773"/>
    <w:rsid w:val="009A18E2"/>
    <w:rsid w:val="009A2BB2"/>
    <w:rsid w:val="009A2C67"/>
    <w:rsid w:val="009A4137"/>
    <w:rsid w:val="009A4837"/>
    <w:rsid w:val="009A64A2"/>
    <w:rsid w:val="009B04E5"/>
    <w:rsid w:val="009B17EE"/>
    <w:rsid w:val="009B327C"/>
    <w:rsid w:val="009B37AC"/>
    <w:rsid w:val="009B3B3C"/>
    <w:rsid w:val="009B4396"/>
    <w:rsid w:val="009B59D2"/>
    <w:rsid w:val="009B7122"/>
    <w:rsid w:val="009B7136"/>
    <w:rsid w:val="009B7A9C"/>
    <w:rsid w:val="009B7D59"/>
    <w:rsid w:val="009C0CAF"/>
    <w:rsid w:val="009C0E12"/>
    <w:rsid w:val="009C0FD1"/>
    <w:rsid w:val="009C1997"/>
    <w:rsid w:val="009C32C5"/>
    <w:rsid w:val="009C437A"/>
    <w:rsid w:val="009C5E27"/>
    <w:rsid w:val="009C5E34"/>
    <w:rsid w:val="009C7393"/>
    <w:rsid w:val="009D13F7"/>
    <w:rsid w:val="009D282C"/>
    <w:rsid w:val="009D41CC"/>
    <w:rsid w:val="009D60B4"/>
    <w:rsid w:val="009E11FC"/>
    <w:rsid w:val="009E1CAD"/>
    <w:rsid w:val="009E2E74"/>
    <w:rsid w:val="009E496D"/>
    <w:rsid w:val="009E5943"/>
    <w:rsid w:val="009E6500"/>
    <w:rsid w:val="009F011D"/>
    <w:rsid w:val="009F071A"/>
    <w:rsid w:val="009F0E8D"/>
    <w:rsid w:val="009F2931"/>
    <w:rsid w:val="009F3B30"/>
    <w:rsid w:val="009F4044"/>
    <w:rsid w:val="009F4392"/>
    <w:rsid w:val="009F5524"/>
    <w:rsid w:val="009F58A1"/>
    <w:rsid w:val="009F6798"/>
    <w:rsid w:val="009F74B7"/>
    <w:rsid w:val="00A0084A"/>
    <w:rsid w:val="00A01E94"/>
    <w:rsid w:val="00A040EF"/>
    <w:rsid w:val="00A04705"/>
    <w:rsid w:val="00A07457"/>
    <w:rsid w:val="00A0762B"/>
    <w:rsid w:val="00A10AF9"/>
    <w:rsid w:val="00A12F46"/>
    <w:rsid w:val="00A149B7"/>
    <w:rsid w:val="00A14DDC"/>
    <w:rsid w:val="00A154CE"/>
    <w:rsid w:val="00A1573B"/>
    <w:rsid w:val="00A15B8D"/>
    <w:rsid w:val="00A16B80"/>
    <w:rsid w:val="00A16C2E"/>
    <w:rsid w:val="00A17C06"/>
    <w:rsid w:val="00A232B9"/>
    <w:rsid w:val="00A235FA"/>
    <w:rsid w:val="00A256E7"/>
    <w:rsid w:val="00A25D3D"/>
    <w:rsid w:val="00A26DCA"/>
    <w:rsid w:val="00A274E6"/>
    <w:rsid w:val="00A3065F"/>
    <w:rsid w:val="00A31865"/>
    <w:rsid w:val="00A31EFA"/>
    <w:rsid w:val="00A337AF"/>
    <w:rsid w:val="00A33D10"/>
    <w:rsid w:val="00A35F71"/>
    <w:rsid w:val="00A4147E"/>
    <w:rsid w:val="00A423EC"/>
    <w:rsid w:val="00A430B7"/>
    <w:rsid w:val="00A44E47"/>
    <w:rsid w:val="00A45651"/>
    <w:rsid w:val="00A458B0"/>
    <w:rsid w:val="00A45A1D"/>
    <w:rsid w:val="00A45DF6"/>
    <w:rsid w:val="00A464B2"/>
    <w:rsid w:val="00A469BB"/>
    <w:rsid w:val="00A473B4"/>
    <w:rsid w:val="00A474C6"/>
    <w:rsid w:val="00A47ADE"/>
    <w:rsid w:val="00A517D4"/>
    <w:rsid w:val="00A51C3C"/>
    <w:rsid w:val="00A5272E"/>
    <w:rsid w:val="00A5510F"/>
    <w:rsid w:val="00A55237"/>
    <w:rsid w:val="00A5529C"/>
    <w:rsid w:val="00A55A0E"/>
    <w:rsid w:val="00A56D3E"/>
    <w:rsid w:val="00A60AB5"/>
    <w:rsid w:val="00A60BE8"/>
    <w:rsid w:val="00A615A3"/>
    <w:rsid w:val="00A6174E"/>
    <w:rsid w:val="00A620B5"/>
    <w:rsid w:val="00A63190"/>
    <w:rsid w:val="00A636F1"/>
    <w:rsid w:val="00A656C6"/>
    <w:rsid w:val="00A65B70"/>
    <w:rsid w:val="00A65D39"/>
    <w:rsid w:val="00A67269"/>
    <w:rsid w:val="00A67522"/>
    <w:rsid w:val="00A678A8"/>
    <w:rsid w:val="00A7008D"/>
    <w:rsid w:val="00A70BCB"/>
    <w:rsid w:val="00A72946"/>
    <w:rsid w:val="00A760C1"/>
    <w:rsid w:val="00A80EC8"/>
    <w:rsid w:val="00A81B6B"/>
    <w:rsid w:val="00A826B0"/>
    <w:rsid w:val="00A84F9C"/>
    <w:rsid w:val="00A85ECE"/>
    <w:rsid w:val="00A87106"/>
    <w:rsid w:val="00A875AC"/>
    <w:rsid w:val="00A93ECD"/>
    <w:rsid w:val="00A95119"/>
    <w:rsid w:val="00A954CF"/>
    <w:rsid w:val="00A95728"/>
    <w:rsid w:val="00AA1E56"/>
    <w:rsid w:val="00AA2880"/>
    <w:rsid w:val="00AA3A62"/>
    <w:rsid w:val="00AA4BC4"/>
    <w:rsid w:val="00AA5542"/>
    <w:rsid w:val="00AA6416"/>
    <w:rsid w:val="00AB052A"/>
    <w:rsid w:val="00AB0FBA"/>
    <w:rsid w:val="00AB15D1"/>
    <w:rsid w:val="00AB2906"/>
    <w:rsid w:val="00AB2AFC"/>
    <w:rsid w:val="00AB2CA6"/>
    <w:rsid w:val="00AB4C76"/>
    <w:rsid w:val="00AB5003"/>
    <w:rsid w:val="00AB54EC"/>
    <w:rsid w:val="00AB6064"/>
    <w:rsid w:val="00AB61F4"/>
    <w:rsid w:val="00AC18F0"/>
    <w:rsid w:val="00AC195A"/>
    <w:rsid w:val="00AC1D5D"/>
    <w:rsid w:val="00AC4EED"/>
    <w:rsid w:val="00AC51C3"/>
    <w:rsid w:val="00AC5429"/>
    <w:rsid w:val="00AC572E"/>
    <w:rsid w:val="00AC61FF"/>
    <w:rsid w:val="00AC7438"/>
    <w:rsid w:val="00AC7FD1"/>
    <w:rsid w:val="00AD0916"/>
    <w:rsid w:val="00AD16FE"/>
    <w:rsid w:val="00AD25B5"/>
    <w:rsid w:val="00AD27FB"/>
    <w:rsid w:val="00AD3660"/>
    <w:rsid w:val="00AD50D2"/>
    <w:rsid w:val="00AD5460"/>
    <w:rsid w:val="00AD677F"/>
    <w:rsid w:val="00AD6E14"/>
    <w:rsid w:val="00AD7670"/>
    <w:rsid w:val="00AD7E5C"/>
    <w:rsid w:val="00AE04E6"/>
    <w:rsid w:val="00AE097C"/>
    <w:rsid w:val="00AE1F95"/>
    <w:rsid w:val="00AE2810"/>
    <w:rsid w:val="00AE3598"/>
    <w:rsid w:val="00AE39F9"/>
    <w:rsid w:val="00AE4AEE"/>
    <w:rsid w:val="00AE5B94"/>
    <w:rsid w:val="00AE6019"/>
    <w:rsid w:val="00AE6D13"/>
    <w:rsid w:val="00AE722E"/>
    <w:rsid w:val="00AF0691"/>
    <w:rsid w:val="00AF0990"/>
    <w:rsid w:val="00AF1557"/>
    <w:rsid w:val="00AF3A17"/>
    <w:rsid w:val="00AF49D6"/>
    <w:rsid w:val="00AF680B"/>
    <w:rsid w:val="00AF6DA4"/>
    <w:rsid w:val="00AF7AC5"/>
    <w:rsid w:val="00B0125E"/>
    <w:rsid w:val="00B01BD7"/>
    <w:rsid w:val="00B01E15"/>
    <w:rsid w:val="00B0288F"/>
    <w:rsid w:val="00B02D90"/>
    <w:rsid w:val="00B03A65"/>
    <w:rsid w:val="00B0485E"/>
    <w:rsid w:val="00B0503A"/>
    <w:rsid w:val="00B050AE"/>
    <w:rsid w:val="00B05928"/>
    <w:rsid w:val="00B0598F"/>
    <w:rsid w:val="00B05B0F"/>
    <w:rsid w:val="00B06634"/>
    <w:rsid w:val="00B07012"/>
    <w:rsid w:val="00B071BF"/>
    <w:rsid w:val="00B07C83"/>
    <w:rsid w:val="00B10CA6"/>
    <w:rsid w:val="00B12E22"/>
    <w:rsid w:val="00B15127"/>
    <w:rsid w:val="00B17026"/>
    <w:rsid w:val="00B216FD"/>
    <w:rsid w:val="00B23990"/>
    <w:rsid w:val="00B23BAB"/>
    <w:rsid w:val="00B258B1"/>
    <w:rsid w:val="00B277E5"/>
    <w:rsid w:val="00B27DEF"/>
    <w:rsid w:val="00B30FB0"/>
    <w:rsid w:val="00B3257C"/>
    <w:rsid w:val="00B331F6"/>
    <w:rsid w:val="00B3448C"/>
    <w:rsid w:val="00B34568"/>
    <w:rsid w:val="00B35A15"/>
    <w:rsid w:val="00B364B8"/>
    <w:rsid w:val="00B3701D"/>
    <w:rsid w:val="00B37971"/>
    <w:rsid w:val="00B37EAC"/>
    <w:rsid w:val="00B42398"/>
    <w:rsid w:val="00B43B2F"/>
    <w:rsid w:val="00B44C0F"/>
    <w:rsid w:val="00B44C47"/>
    <w:rsid w:val="00B47FB0"/>
    <w:rsid w:val="00B50DD8"/>
    <w:rsid w:val="00B54D56"/>
    <w:rsid w:val="00B562F9"/>
    <w:rsid w:val="00B569F4"/>
    <w:rsid w:val="00B5744C"/>
    <w:rsid w:val="00B6135F"/>
    <w:rsid w:val="00B61486"/>
    <w:rsid w:val="00B61779"/>
    <w:rsid w:val="00B61820"/>
    <w:rsid w:val="00B61990"/>
    <w:rsid w:val="00B61A8B"/>
    <w:rsid w:val="00B65902"/>
    <w:rsid w:val="00B668F2"/>
    <w:rsid w:val="00B66B58"/>
    <w:rsid w:val="00B7068F"/>
    <w:rsid w:val="00B709D4"/>
    <w:rsid w:val="00B70BA6"/>
    <w:rsid w:val="00B71153"/>
    <w:rsid w:val="00B71EAC"/>
    <w:rsid w:val="00B7279C"/>
    <w:rsid w:val="00B72938"/>
    <w:rsid w:val="00B74A46"/>
    <w:rsid w:val="00B75E0B"/>
    <w:rsid w:val="00B75E62"/>
    <w:rsid w:val="00B76485"/>
    <w:rsid w:val="00B76CB2"/>
    <w:rsid w:val="00B8119F"/>
    <w:rsid w:val="00B81C83"/>
    <w:rsid w:val="00B836EE"/>
    <w:rsid w:val="00B84D2C"/>
    <w:rsid w:val="00B8579F"/>
    <w:rsid w:val="00B85826"/>
    <w:rsid w:val="00B85E90"/>
    <w:rsid w:val="00B90FC3"/>
    <w:rsid w:val="00B9431A"/>
    <w:rsid w:val="00B94401"/>
    <w:rsid w:val="00B94543"/>
    <w:rsid w:val="00B94EA0"/>
    <w:rsid w:val="00B95350"/>
    <w:rsid w:val="00B961BB"/>
    <w:rsid w:val="00B96424"/>
    <w:rsid w:val="00BA0CAB"/>
    <w:rsid w:val="00BA14EE"/>
    <w:rsid w:val="00BA1A75"/>
    <w:rsid w:val="00BA2FF1"/>
    <w:rsid w:val="00BA405F"/>
    <w:rsid w:val="00BA55FC"/>
    <w:rsid w:val="00BA6246"/>
    <w:rsid w:val="00BB2507"/>
    <w:rsid w:val="00BB2B88"/>
    <w:rsid w:val="00BB502C"/>
    <w:rsid w:val="00BB69B1"/>
    <w:rsid w:val="00BB6DD3"/>
    <w:rsid w:val="00BB7B73"/>
    <w:rsid w:val="00BB7C3E"/>
    <w:rsid w:val="00BC0253"/>
    <w:rsid w:val="00BC0653"/>
    <w:rsid w:val="00BC0E1B"/>
    <w:rsid w:val="00BC13AC"/>
    <w:rsid w:val="00BC1414"/>
    <w:rsid w:val="00BC20F0"/>
    <w:rsid w:val="00BC283E"/>
    <w:rsid w:val="00BC33A8"/>
    <w:rsid w:val="00BC3D30"/>
    <w:rsid w:val="00BC4444"/>
    <w:rsid w:val="00BC46AC"/>
    <w:rsid w:val="00BC46D8"/>
    <w:rsid w:val="00BC521F"/>
    <w:rsid w:val="00BC5236"/>
    <w:rsid w:val="00BC5B62"/>
    <w:rsid w:val="00BC5CF8"/>
    <w:rsid w:val="00BC6EA8"/>
    <w:rsid w:val="00BC757F"/>
    <w:rsid w:val="00BC7A84"/>
    <w:rsid w:val="00BD03A7"/>
    <w:rsid w:val="00BD0D4A"/>
    <w:rsid w:val="00BD0E60"/>
    <w:rsid w:val="00BD21AC"/>
    <w:rsid w:val="00BD5941"/>
    <w:rsid w:val="00BD599D"/>
    <w:rsid w:val="00BD5C7F"/>
    <w:rsid w:val="00BD6F91"/>
    <w:rsid w:val="00BD70F5"/>
    <w:rsid w:val="00BD7A4E"/>
    <w:rsid w:val="00BE1125"/>
    <w:rsid w:val="00BE1DFD"/>
    <w:rsid w:val="00BE228F"/>
    <w:rsid w:val="00BE2DEF"/>
    <w:rsid w:val="00BE4661"/>
    <w:rsid w:val="00BE6563"/>
    <w:rsid w:val="00BE68D4"/>
    <w:rsid w:val="00BE6B4D"/>
    <w:rsid w:val="00BF0749"/>
    <w:rsid w:val="00BF0CA9"/>
    <w:rsid w:val="00BF2E83"/>
    <w:rsid w:val="00BF3762"/>
    <w:rsid w:val="00BF4909"/>
    <w:rsid w:val="00BF4AD0"/>
    <w:rsid w:val="00BF52D1"/>
    <w:rsid w:val="00BF570E"/>
    <w:rsid w:val="00BF74ED"/>
    <w:rsid w:val="00BF772C"/>
    <w:rsid w:val="00BF7EDC"/>
    <w:rsid w:val="00C011F0"/>
    <w:rsid w:val="00C01595"/>
    <w:rsid w:val="00C04618"/>
    <w:rsid w:val="00C053E0"/>
    <w:rsid w:val="00C05569"/>
    <w:rsid w:val="00C05A44"/>
    <w:rsid w:val="00C061B9"/>
    <w:rsid w:val="00C064E2"/>
    <w:rsid w:val="00C066F2"/>
    <w:rsid w:val="00C06A1E"/>
    <w:rsid w:val="00C078D5"/>
    <w:rsid w:val="00C07D11"/>
    <w:rsid w:val="00C10099"/>
    <w:rsid w:val="00C10321"/>
    <w:rsid w:val="00C12454"/>
    <w:rsid w:val="00C12603"/>
    <w:rsid w:val="00C137F4"/>
    <w:rsid w:val="00C13A7E"/>
    <w:rsid w:val="00C14BFA"/>
    <w:rsid w:val="00C20ABB"/>
    <w:rsid w:val="00C20B26"/>
    <w:rsid w:val="00C225AE"/>
    <w:rsid w:val="00C226AE"/>
    <w:rsid w:val="00C23134"/>
    <w:rsid w:val="00C23246"/>
    <w:rsid w:val="00C23EC9"/>
    <w:rsid w:val="00C25541"/>
    <w:rsid w:val="00C25C07"/>
    <w:rsid w:val="00C25CE7"/>
    <w:rsid w:val="00C267A0"/>
    <w:rsid w:val="00C27872"/>
    <w:rsid w:val="00C3025E"/>
    <w:rsid w:val="00C30B5A"/>
    <w:rsid w:val="00C3106A"/>
    <w:rsid w:val="00C32693"/>
    <w:rsid w:val="00C3298F"/>
    <w:rsid w:val="00C356B0"/>
    <w:rsid w:val="00C37C2D"/>
    <w:rsid w:val="00C403DF"/>
    <w:rsid w:val="00C43EE2"/>
    <w:rsid w:val="00C454C2"/>
    <w:rsid w:val="00C46377"/>
    <w:rsid w:val="00C46B1D"/>
    <w:rsid w:val="00C46C1B"/>
    <w:rsid w:val="00C50654"/>
    <w:rsid w:val="00C5127C"/>
    <w:rsid w:val="00C526BB"/>
    <w:rsid w:val="00C5330D"/>
    <w:rsid w:val="00C5389C"/>
    <w:rsid w:val="00C55461"/>
    <w:rsid w:val="00C562F0"/>
    <w:rsid w:val="00C56AAE"/>
    <w:rsid w:val="00C5701B"/>
    <w:rsid w:val="00C60A87"/>
    <w:rsid w:val="00C63838"/>
    <w:rsid w:val="00C63D79"/>
    <w:rsid w:val="00C64E31"/>
    <w:rsid w:val="00C6501F"/>
    <w:rsid w:val="00C702E0"/>
    <w:rsid w:val="00C704FC"/>
    <w:rsid w:val="00C713ED"/>
    <w:rsid w:val="00C72367"/>
    <w:rsid w:val="00C72D70"/>
    <w:rsid w:val="00C7368D"/>
    <w:rsid w:val="00C738C2"/>
    <w:rsid w:val="00C75C62"/>
    <w:rsid w:val="00C76466"/>
    <w:rsid w:val="00C76F40"/>
    <w:rsid w:val="00C77F13"/>
    <w:rsid w:val="00C802E6"/>
    <w:rsid w:val="00C804FA"/>
    <w:rsid w:val="00C81AB3"/>
    <w:rsid w:val="00C83DC0"/>
    <w:rsid w:val="00C8446E"/>
    <w:rsid w:val="00C86BAB"/>
    <w:rsid w:val="00C86F8F"/>
    <w:rsid w:val="00C90097"/>
    <w:rsid w:val="00C904C9"/>
    <w:rsid w:val="00C91861"/>
    <w:rsid w:val="00C91BFB"/>
    <w:rsid w:val="00C92B86"/>
    <w:rsid w:val="00C935C9"/>
    <w:rsid w:val="00C939DE"/>
    <w:rsid w:val="00C939E8"/>
    <w:rsid w:val="00C940F2"/>
    <w:rsid w:val="00C9521C"/>
    <w:rsid w:val="00C959E4"/>
    <w:rsid w:val="00C96082"/>
    <w:rsid w:val="00C96E30"/>
    <w:rsid w:val="00C975EB"/>
    <w:rsid w:val="00C97B52"/>
    <w:rsid w:val="00C97CE6"/>
    <w:rsid w:val="00CA0CAF"/>
    <w:rsid w:val="00CA11B9"/>
    <w:rsid w:val="00CA2552"/>
    <w:rsid w:val="00CA2CA2"/>
    <w:rsid w:val="00CA3AE9"/>
    <w:rsid w:val="00CA408D"/>
    <w:rsid w:val="00CA4232"/>
    <w:rsid w:val="00CA52D3"/>
    <w:rsid w:val="00CA6A12"/>
    <w:rsid w:val="00CB03BE"/>
    <w:rsid w:val="00CB08B4"/>
    <w:rsid w:val="00CB111C"/>
    <w:rsid w:val="00CB3096"/>
    <w:rsid w:val="00CB3320"/>
    <w:rsid w:val="00CB3378"/>
    <w:rsid w:val="00CB54EF"/>
    <w:rsid w:val="00CB5C18"/>
    <w:rsid w:val="00CB65AA"/>
    <w:rsid w:val="00CB7EE8"/>
    <w:rsid w:val="00CC0B63"/>
    <w:rsid w:val="00CC0BAF"/>
    <w:rsid w:val="00CC0D4A"/>
    <w:rsid w:val="00CC1119"/>
    <w:rsid w:val="00CC1145"/>
    <w:rsid w:val="00CC1570"/>
    <w:rsid w:val="00CC2418"/>
    <w:rsid w:val="00CC25FB"/>
    <w:rsid w:val="00CC33D8"/>
    <w:rsid w:val="00CC371B"/>
    <w:rsid w:val="00CC3E3A"/>
    <w:rsid w:val="00CC6797"/>
    <w:rsid w:val="00CC6B64"/>
    <w:rsid w:val="00CC6BAF"/>
    <w:rsid w:val="00CC6CA5"/>
    <w:rsid w:val="00CC71E0"/>
    <w:rsid w:val="00CD0552"/>
    <w:rsid w:val="00CD0B5A"/>
    <w:rsid w:val="00CD1521"/>
    <w:rsid w:val="00CD1B15"/>
    <w:rsid w:val="00CD3BAD"/>
    <w:rsid w:val="00CD46F4"/>
    <w:rsid w:val="00CD479F"/>
    <w:rsid w:val="00CD7726"/>
    <w:rsid w:val="00CD7A0B"/>
    <w:rsid w:val="00CD7A1D"/>
    <w:rsid w:val="00CE114C"/>
    <w:rsid w:val="00CE1C6F"/>
    <w:rsid w:val="00CE1E63"/>
    <w:rsid w:val="00CE3048"/>
    <w:rsid w:val="00CE37B5"/>
    <w:rsid w:val="00CE4609"/>
    <w:rsid w:val="00CE57DC"/>
    <w:rsid w:val="00CE5DE1"/>
    <w:rsid w:val="00CE5F16"/>
    <w:rsid w:val="00CE6039"/>
    <w:rsid w:val="00CE71E3"/>
    <w:rsid w:val="00CF0CC1"/>
    <w:rsid w:val="00CF2E34"/>
    <w:rsid w:val="00CF46D3"/>
    <w:rsid w:val="00CF62C6"/>
    <w:rsid w:val="00CF6656"/>
    <w:rsid w:val="00CF67EA"/>
    <w:rsid w:val="00D01181"/>
    <w:rsid w:val="00D018B9"/>
    <w:rsid w:val="00D01CAE"/>
    <w:rsid w:val="00D0340C"/>
    <w:rsid w:val="00D04405"/>
    <w:rsid w:val="00D04BA4"/>
    <w:rsid w:val="00D04C8A"/>
    <w:rsid w:val="00D0500A"/>
    <w:rsid w:val="00D05708"/>
    <w:rsid w:val="00D06605"/>
    <w:rsid w:val="00D117EE"/>
    <w:rsid w:val="00D12653"/>
    <w:rsid w:val="00D12A00"/>
    <w:rsid w:val="00D12C13"/>
    <w:rsid w:val="00D139FE"/>
    <w:rsid w:val="00D14D99"/>
    <w:rsid w:val="00D14DE3"/>
    <w:rsid w:val="00D168D3"/>
    <w:rsid w:val="00D203A2"/>
    <w:rsid w:val="00D206B4"/>
    <w:rsid w:val="00D2325D"/>
    <w:rsid w:val="00D2392B"/>
    <w:rsid w:val="00D23B76"/>
    <w:rsid w:val="00D23ECE"/>
    <w:rsid w:val="00D24772"/>
    <w:rsid w:val="00D25392"/>
    <w:rsid w:val="00D27108"/>
    <w:rsid w:val="00D3010B"/>
    <w:rsid w:val="00D30C91"/>
    <w:rsid w:val="00D3114F"/>
    <w:rsid w:val="00D31B02"/>
    <w:rsid w:val="00D32165"/>
    <w:rsid w:val="00D3216E"/>
    <w:rsid w:val="00D327E8"/>
    <w:rsid w:val="00D32939"/>
    <w:rsid w:val="00D334D9"/>
    <w:rsid w:val="00D33F79"/>
    <w:rsid w:val="00D347C4"/>
    <w:rsid w:val="00D35D58"/>
    <w:rsid w:val="00D36B9B"/>
    <w:rsid w:val="00D37025"/>
    <w:rsid w:val="00D375A9"/>
    <w:rsid w:val="00D41D27"/>
    <w:rsid w:val="00D4209C"/>
    <w:rsid w:val="00D430D7"/>
    <w:rsid w:val="00D43D26"/>
    <w:rsid w:val="00D443DF"/>
    <w:rsid w:val="00D45F4D"/>
    <w:rsid w:val="00D4685E"/>
    <w:rsid w:val="00D46FD0"/>
    <w:rsid w:val="00D50797"/>
    <w:rsid w:val="00D51FBB"/>
    <w:rsid w:val="00D52DA2"/>
    <w:rsid w:val="00D53E10"/>
    <w:rsid w:val="00D54F1E"/>
    <w:rsid w:val="00D55969"/>
    <w:rsid w:val="00D55DA4"/>
    <w:rsid w:val="00D57212"/>
    <w:rsid w:val="00D572DA"/>
    <w:rsid w:val="00D601F1"/>
    <w:rsid w:val="00D6276D"/>
    <w:rsid w:val="00D62D10"/>
    <w:rsid w:val="00D66AE6"/>
    <w:rsid w:val="00D67E9E"/>
    <w:rsid w:val="00D71887"/>
    <w:rsid w:val="00D71CCA"/>
    <w:rsid w:val="00D732DC"/>
    <w:rsid w:val="00D73E93"/>
    <w:rsid w:val="00D761F8"/>
    <w:rsid w:val="00D811E1"/>
    <w:rsid w:val="00D81E13"/>
    <w:rsid w:val="00D82451"/>
    <w:rsid w:val="00D831D5"/>
    <w:rsid w:val="00D83DAC"/>
    <w:rsid w:val="00D83F7A"/>
    <w:rsid w:val="00D848F5"/>
    <w:rsid w:val="00D8571C"/>
    <w:rsid w:val="00D86342"/>
    <w:rsid w:val="00D864AE"/>
    <w:rsid w:val="00D86610"/>
    <w:rsid w:val="00D8700E"/>
    <w:rsid w:val="00D87503"/>
    <w:rsid w:val="00D875A9"/>
    <w:rsid w:val="00D87A2C"/>
    <w:rsid w:val="00D87EC5"/>
    <w:rsid w:val="00D9112E"/>
    <w:rsid w:val="00D92C26"/>
    <w:rsid w:val="00D92E60"/>
    <w:rsid w:val="00D93067"/>
    <w:rsid w:val="00D9373D"/>
    <w:rsid w:val="00D938EC"/>
    <w:rsid w:val="00D9467B"/>
    <w:rsid w:val="00D96B0E"/>
    <w:rsid w:val="00D96F51"/>
    <w:rsid w:val="00DA2B98"/>
    <w:rsid w:val="00DA4A89"/>
    <w:rsid w:val="00DA50A5"/>
    <w:rsid w:val="00DB06E7"/>
    <w:rsid w:val="00DB11A2"/>
    <w:rsid w:val="00DB133F"/>
    <w:rsid w:val="00DB1A5D"/>
    <w:rsid w:val="00DB2639"/>
    <w:rsid w:val="00DB2CB1"/>
    <w:rsid w:val="00DB2D2F"/>
    <w:rsid w:val="00DB311D"/>
    <w:rsid w:val="00DB3283"/>
    <w:rsid w:val="00DB4861"/>
    <w:rsid w:val="00DB601B"/>
    <w:rsid w:val="00DB62D9"/>
    <w:rsid w:val="00DC01B8"/>
    <w:rsid w:val="00DC51CE"/>
    <w:rsid w:val="00DC5E27"/>
    <w:rsid w:val="00DC5F55"/>
    <w:rsid w:val="00DC6047"/>
    <w:rsid w:val="00DC6723"/>
    <w:rsid w:val="00DC74A8"/>
    <w:rsid w:val="00DD0154"/>
    <w:rsid w:val="00DD1D8B"/>
    <w:rsid w:val="00DD1EAC"/>
    <w:rsid w:val="00DD2D43"/>
    <w:rsid w:val="00DD2EE6"/>
    <w:rsid w:val="00DD4F53"/>
    <w:rsid w:val="00DD5E79"/>
    <w:rsid w:val="00DD767B"/>
    <w:rsid w:val="00DE1440"/>
    <w:rsid w:val="00DE14AB"/>
    <w:rsid w:val="00DE1A91"/>
    <w:rsid w:val="00DE1E2C"/>
    <w:rsid w:val="00DE2EFC"/>
    <w:rsid w:val="00DE3E11"/>
    <w:rsid w:val="00DE54AC"/>
    <w:rsid w:val="00DE694D"/>
    <w:rsid w:val="00DE6F5A"/>
    <w:rsid w:val="00DE7DFD"/>
    <w:rsid w:val="00DF01E4"/>
    <w:rsid w:val="00DF023C"/>
    <w:rsid w:val="00DF0B22"/>
    <w:rsid w:val="00DF1B29"/>
    <w:rsid w:val="00DF2616"/>
    <w:rsid w:val="00DF2868"/>
    <w:rsid w:val="00DF3F3A"/>
    <w:rsid w:val="00DF4992"/>
    <w:rsid w:val="00DF4B84"/>
    <w:rsid w:val="00DF6C9E"/>
    <w:rsid w:val="00DF7D0C"/>
    <w:rsid w:val="00DF7DD8"/>
    <w:rsid w:val="00DF7E5D"/>
    <w:rsid w:val="00E000DD"/>
    <w:rsid w:val="00E01EB5"/>
    <w:rsid w:val="00E03FF3"/>
    <w:rsid w:val="00E0566F"/>
    <w:rsid w:val="00E05C8D"/>
    <w:rsid w:val="00E05EE9"/>
    <w:rsid w:val="00E06C55"/>
    <w:rsid w:val="00E1078D"/>
    <w:rsid w:val="00E11924"/>
    <w:rsid w:val="00E11DC3"/>
    <w:rsid w:val="00E13267"/>
    <w:rsid w:val="00E142DB"/>
    <w:rsid w:val="00E14F45"/>
    <w:rsid w:val="00E15FFD"/>
    <w:rsid w:val="00E16385"/>
    <w:rsid w:val="00E16562"/>
    <w:rsid w:val="00E16D0D"/>
    <w:rsid w:val="00E20FE8"/>
    <w:rsid w:val="00E21037"/>
    <w:rsid w:val="00E21244"/>
    <w:rsid w:val="00E21629"/>
    <w:rsid w:val="00E2455D"/>
    <w:rsid w:val="00E27D11"/>
    <w:rsid w:val="00E30173"/>
    <w:rsid w:val="00E30B9B"/>
    <w:rsid w:val="00E315A5"/>
    <w:rsid w:val="00E32D82"/>
    <w:rsid w:val="00E33572"/>
    <w:rsid w:val="00E35629"/>
    <w:rsid w:val="00E359F4"/>
    <w:rsid w:val="00E37412"/>
    <w:rsid w:val="00E37CE2"/>
    <w:rsid w:val="00E40AA3"/>
    <w:rsid w:val="00E428EF"/>
    <w:rsid w:val="00E42A46"/>
    <w:rsid w:val="00E42D5F"/>
    <w:rsid w:val="00E43BE5"/>
    <w:rsid w:val="00E461F2"/>
    <w:rsid w:val="00E50C48"/>
    <w:rsid w:val="00E50CE8"/>
    <w:rsid w:val="00E512B3"/>
    <w:rsid w:val="00E520F1"/>
    <w:rsid w:val="00E534CD"/>
    <w:rsid w:val="00E54A7D"/>
    <w:rsid w:val="00E54E6A"/>
    <w:rsid w:val="00E556A1"/>
    <w:rsid w:val="00E573E0"/>
    <w:rsid w:val="00E6581D"/>
    <w:rsid w:val="00E66BFA"/>
    <w:rsid w:val="00E678BD"/>
    <w:rsid w:val="00E7033E"/>
    <w:rsid w:val="00E70531"/>
    <w:rsid w:val="00E70B0D"/>
    <w:rsid w:val="00E71406"/>
    <w:rsid w:val="00E7228A"/>
    <w:rsid w:val="00E738D4"/>
    <w:rsid w:val="00E73996"/>
    <w:rsid w:val="00E73E07"/>
    <w:rsid w:val="00E757EF"/>
    <w:rsid w:val="00E773CB"/>
    <w:rsid w:val="00E776EC"/>
    <w:rsid w:val="00E77916"/>
    <w:rsid w:val="00E80114"/>
    <w:rsid w:val="00E80A7A"/>
    <w:rsid w:val="00E8113B"/>
    <w:rsid w:val="00E83AE2"/>
    <w:rsid w:val="00E84204"/>
    <w:rsid w:val="00E85C2A"/>
    <w:rsid w:val="00E86B8C"/>
    <w:rsid w:val="00E86D20"/>
    <w:rsid w:val="00E86E20"/>
    <w:rsid w:val="00E8712F"/>
    <w:rsid w:val="00E874EC"/>
    <w:rsid w:val="00E87ECD"/>
    <w:rsid w:val="00E91A15"/>
    <w:rsid w:val="00E91BA5"/>
    <w:rsid w:val="00E92899"/>
    <w:rsid w:val="00E95996"/>
    <w:rsid w:val="00E9660C"/>
    <w:rsid w:val="00E96D14"/>
    <w:rsid w:val="00E97B95"/>
    <w:rsid w:val="00EA0692"/>
    <w:rsid w:val="00EA0BEB"/>
    <w:rsid w:val="00EA0C5C"/>
    <w:rsid w:val="00EA16EB"/>
    <w:rsid w:val="00EA19D0"/>
    <w:rsid w:val="00EA2786"/>
    <w:rsid w:val="00EA37B8"/>
    <w:rsid w:val="00EA4F24"/>
    <w:rsid w:val="00EA57F5"/>
    <w:rsid w:val="00EA5875"/>
    <w:rsid w:val="00EA7127"/>
    <w:rsid w:val="00EB1FA1"/>
    <w:rsid w:val="00EB287A"/>
    <w:rsid w:val="00EB2E6A"/>
    <w:rsid w:val="00EB3CE2"/>
    <w:rsid w:val="00EB5BF7"/>
    <w:rsid w:val="00EB5FD4"/>
    <w:rsid w:val="00EB7ADF"/>
    <w:rsid w:val="00EC00E6"/>
    <w:rsid w:val="00EC0F02"/>
    <w:rsid w:val="00EC1C27"/>
    <w:rsid w:val="00EC243B"/>
    <w:rsid w:val="00EC262B"/>
    <w:rsid w:val="00EC292C"/>
    <w:rsid w:val="00EC2EC3"/>
    <w:rsid w:val="00EC2F1D"/>
    <w:rsid w:val="00EC6458"/>
    <w:rsid w:val="00EC65C5"/>
    <w:rsid w:val="00EC6B0C"/>
    <w:rsid w:val="00EC70B5"/>
    <w:rsid w:val="00EC7A1C"/>
    <w:rsid w:val="00ED4BC2"/>
    <w:rsid w:val="00ED5E86"/>
    <w:rsid w:val="00ED6A3B"/>
    <w:rsid w:val="00ED6B00"/>
    <w:rsid w:val="00ED793C"/>
    <w:rsid w:val="00EE0273"/>
    <w:rsid w:val="00EE02AF"/>
    <w:rsid w:val="00EE20A5"/>
    <w:rsid w:val="00EE33C2"/>
    <w:rsid w:val="00EE33F3"/>
    <w:rsid w:val="00EE4799"/>
    <w:rsid w:val="00EE70C3"/>
    <w:rsid w:val="00EE7524"/>
    <w:rsid w:val="00EE7BD4"/>
    <w:rsid w:val="00EF1028"/>
    <w:rsid w:val="00EF2E47"/>
    <w:rsid w:val="00EF3B13"/>
    <w:rsid w:val="00EF56F6"/>
    <w:rsid w:val="00EF5E84"/>
    <w:rsid w:val="00EF762A"/>
    <w:rsid w:val="00F015A5"/>
    <w:rsid w:val="00F02147"/>
    <w:rsid w:val="00F023BC"/>
    <w:rsid w:val="00F0246D"/>
    <w:rsid w:val="00F0259D"/>
    <w:rsid w:val="00F035DD"/>
    <w:rsid w:val="00F05BF7"/>
    <w:rsid w:val="00F06B65"/>
    <w:rsid w:val="00F10FAC"/>
    <w:rsid w:val="00F110F4"/>
    <w:rsid w:val="00F12874"/>
    <w:rsid w:val="00F12C6C"/>
    <w:rsid w:val="00F13198"/>
    <w:rsid w:val="00F146E2"/>
    <w:rsid w:val="00F14CF8"/>
    <w:rsid w:val="00F151DD"/>
    <w:rsid w:val="00F15904"/>
    <w:rsid w:val="00F15A9D"/>
    <w:rsid w:val="00F1728A"/>
    <w:rsid w:val="00F205FA"/>
    <w:rsid w:val="00F20F07"/>
    <w:rsid w:val="00F22AC6"/>
    <w:rsid w:val="00F243D6"/>
    <w:rsid w:val="00F24455"/>
    <w:rsid w:val="00F275ED"/>
    <w:rsid w:val="00F27989"/>
    <w:rsid w:val="00F326D6"/>
    <w:rsid w:val="00F32C37"/>
    <w:rsid w:val="00F33C4C"/>
    <w:rsid w:val="00F34133"/>
    <w:rsid w:val="00F34A04"/>
    <w:rsid w:val="00F37C94"/>
    <w:rsid w:val="00F40ECB"/>
    <w:rsid w:val="00F42F96"/>
    <w:rsid w:val="00F448F8"/>
    <w:rsid w:val="00F47188"/>
    <w:rsid w:val="00F56A45"/>
    <w:rsid w:val="00F56D0D"/>
    <w:rsid w:val="00F60BA3"/>
    <w:rsid w:val="00F60FDA"/>
    <w:rsid w:val="00F61460"/>
    <w:rsid w:val="00F61805"/>
    <w:rsid w:val="00F6393A"/>
    <w:rsid w:val="00F64236"/>
    <w:rsid w:val="00F642A5"/>
    <w:rsid w:val="00F6465A"/>
    <w:rsid w:val="00F64846"/>
    <w:rsid w:val="00F65214"/>
    <w:rsid w:val="00F65322"/>
    <w:rsid w:val="00F65370"/>
    <w:rsid w:val="00F667A8"/>
    <w:rsid w:val="00F66AF4"/>
    <w:rsid w:val="00F66CC5"/>
    <w:rsid w:val="00F66CF1"/>
    <w:rsid w:val="00F702C2"/>
    <w:rsid w:val="00F7297A"/>
    <w:rsid w:val="00F72B78"/>
    <w:rsid w:val="00F732A1"/>
    <w:rsid w:val="00F74B3A"/>
    <w:rsid w:val="00F74F08"/>
    <w:rsid w:val="00F75120"/>
    <w:rsid w:val="00F751BC"/>
    <w:rsid w:val="00F75DD3"/>
    <w:rsid w:val="00F765CA"/>
    <w:rsid w:val="00F77664"/>
    <w:rsid w:val="00F8063F"/>
    <w:rsid w:val="00F817F0"/>
    <w:rsid w:val="00F82D73"/>
    <w:rsid w:val="00F83277"/>
    <w:rsid w:val="00F833D1"/>
    <w:rsid w:val="00F838CB"/>
    <w:rsid w:val="00F84501"/>
    <w:rsid w:val="00F84FED"/>
    <w:rsid w:val="00F86037"/>
    <w:rsid w:val="00F86278"/>
    <w:rsid w:val="00F862D1"/>
    <w:rsid w:val="00F86BFC"/>
    <w:rsid w:val="00F873E8"/>
    <w:rsid w:val="00F87487"/>
    <w:rsid w:val="00F87C39"/>
    <w:rsid w:val="00F87C5A"/>
    <w:rsid w:val="00F87D0B"/>
    <w:rsid w:val="00F9034A"/>
    <w:rsid w:val="00F9096D"/>
    <w:rsid w:val="00F90A77"/>
    <w:rsid w:val="00F91ACA"/>
    <w:rsid w:val="00F91B62"/>
    <w:rsid w:val="00F92386"/>
    <w:rsid w:val="00F9601E"/>
    <w:rsid w:val="00F9750D"/>
    <w:rsid w:val="00FA0333"/>
    <w:rsid w:val="00FA101E"/>
    <w:rsid w:val="00FA14F8"/>
    <w:rsid w:val="00FA152B"/>
    <w:rsid w:val="00FA3897"/>
    <w:rsid w:val="00FA3C51"/>
    <w:rsid w:val="00FA45DB"/>
    <w:rsid w:val="00FA5EA8"/>
    <w:rsid w:val="00FA5EBA"/>
    <w:rsid w:val="00FA7C3A"/>
    <w:rsid w:val="00FA7C72"/>
    <w:rsid w:val="00FA7F9C"/>
    <w:rsid w:val="00FB053E"/>
    <w:rsid w:val="00FB0DEE"/>
    <w:rsid w:val="00FB1154"/>
    <w:rsid w:val="00FB116D"/>
    <w:rsid w:val="00FB208A"/>
    <w:rsid w:val="00FB2468"/>
    <w:rsid w:val="00FB3491"/>
    <w:rsid w:val="00FB37FA"/>
    <w:rsid w:val="00FB4778"/>
    <w:rsid w:val="00FB4B4A"/>
    <w:rsid w:val="00FC0A1E"/>
    <w:rsid w:val="00FC1DC7"/>
    <w:rsid w:val="00FC2F98"/>
    <w:rsid w:val="00FC4782"/>
    <w:rsid w:val="00FC4D4A"/>
    <w:rsid w:val="00FC56FF"/>
    <w:rsid w:val="00FC57CC"/>
    <w:rsid w:val="00FD11ED"/>
    <w:rsid w:val="00FD11F7"/>
    <w:rsid w:val="00FD3E53"/>
    <w:rsid w:val="00FD593E"/>
    <w:rsid w:val="00FD6525"/>
    <w:rsid w:val="00FD7167"/>
    <w:rsid w:val="00FD78E2"/>
    <w:rsid w:val="00FD7B6D"/>
    <w:rsid w:val="00FE06F2"/>
    <w:rsid w:val="00FE09BB"/>
    <w:rsid w:val="00FE0B0A"/>
    <w:rsid w:val="00FE1392"/>
    <w:rsid w:val="00FE18A4"/>
    <w:rsid w:val="00FE3320"/>
    <w:rsid w:val="00FE388E"/>
    <w:rsid w:val="00FE682F"/>
    <w:rsid w:val="00FE6947"/>
    <w:rsid w:val="00FE7B7F"/>
    <w:rsid w:val="00FF044D"/>
    <w:rsid w:val="00FF0C1D"/>
    <w:rsid w:val="00FF19C8"/>
    <w:rsid w:val="00FF19E9"/>
    <w:rsid w:val="00FF5E53"/>
    <w:rsid w:val="00FF7D37"/>
    <w:rsid w:val="029047D0"/>
    <w:rsid w:val="029E45E8"/>
    <w:rsid w:val="0329630D"/>
    <w:rsid w:val="050C0325"/>
    <w:rsid w:val="05EC2C20"/>
    <w:rsid w:val="05FF6079"/>
    <w:rsid w:val="06D10D0E"/>
    <w:rsid w:val="0810757F"/>
    <w:rsid w:val="08C666F4"/>
    <w:rsid w:val="09FC3D8E"/>
    <w:rsid w:val="0A7E6D9C"/>
    <w:rsid w:val="0B4D215A"/>
    <w:rsid w:val="0BD025FC"/>
    <w:rsid w:val="0CDB6831"/>
    <w:rsid w:val="0E671CD1"/>
    <w:rsid w:val="0F397D39"/>
    <w:rsid w:val="10C57012"/>
    <w:rsid w:val="11DF5FA2"/>
    <w:rsid w:val="17BA2861"/>
    <w:rsid w:val="190A11DD"/>
    <w:rsid w:val="190F185A"/>
    <w:rsid w:val="1A037959"/>
    <w:rsid w:val="1F14751C"/>
    <w:rsid w:val="200F67FD"/>
    <w:rsid w:val="207A7748"/>
    <w:rsid w:val="22183A32"/>
    <w:rsid w:val="24835B00"/>
    <w:rsid w:val="24AF1549"/>
    <w:rsid w:val="27434B03"/>
    <w:rsid w:val="27DE1DA5"/>
    <w:rsid w:val="29B245B8"/>
    <w:rsid w:val="2A00169D"/>
    <w:rsid w:val="2A421BD1"/>
    <w:rsid w:val="2C432D63"/>
    <w:rsid w:val="2CBA400F"/>
    <w:rsid w:val="2D1B27CA"/>
    <w:rsid w:val="2D735235"/>
    <w:rsid w:val="2E402799"/>
    <w:rsid w:val="2FC83D2B"/>
    <w:rsid w:val="31626F8C"/>
    <w:rsid w:val="33666FEF"/>
    <w:rsid w:val="35253695"/>
    <w:rsid w:val="357E462F"/>
    <w:rsid w:val="375F74E7"/>
    <w:rsid w:val="38BD7889"/>
    <w:rsid w:val="3B8F6D67"/>
    <w:rsid w:val="3BA5016B"/>
    <w:rsid w:val="3C906581"/>
    <w:rsid w:val="3CDB4A34"/>
    <w:rsid w:val="3D0F7309"/>
    <w:rsid w:val="3F512A34"/>
    <w:rsid w:val="407542B7"/>
    <w:rsid w:val="40F520EE"/>
    <w:rsid w:val="44B3391D"/>
    <w:rsid w:val="44EC5682"/>
    <w:rsid w:val="45257D24"/>
    <w:rsid w:val="48E04D05"/>
    <w:rsid w:val="4AE11621"/>
    <w:rsid w:val="4C4924F2"/>
    <w:rsid w:val="4C920C99"/>
    <w:rsid w:val="4D07445F"/>
    <w:rsid w:val="514375CC"/>
    <w:rsid w:val="51550A28"/>
    <w:rsid w:val="56422D93"/>
    <w:rsid w:val="5DFA3596"/>
    <w:rsid w:val="5EEC7502"/>
    <w:rsid w:val="5F887AB6"/>
    <w:rsid w:val="64565F31"/>
    <w:rsid w:val="65026EED"/>
    <w:rsid w:val="657E61C7"/>
    <w:rsid w:val="66FC2B12"/>
    <w:rsid w:val="67CD2E22"/>
    <w:rsid w:val="681E47D4"/>
    <w:rsid w:val="685E2E71"/>
    <w:rsid w:val="6CE249D8"/>
    <w:rsid w:val="6DE60668"/>
    <w:rsid w:val="6F3E6FFD"/>
    <w:rsid w:val="6F7C279E"/>
    <w:rsid w:val="6FA1285D"/>
    <w:rsid w:val="6FF922AC"/>
    <w:rsid w:val="709C6E9D"/>
    <w:rsid w:val="70EB60F4"/>
    <w:rsid w:val="715F09AC"/>
    <w:rsid w:val="719C4971"/>
    <w:rsid w:val="771E5720"/>
    <w:rsid w:val="7EBE576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qFormat="1" w:unhideWhenUsed="0" w:uiPriority="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imes New Roman" w:hAnsi="Times New Roman" w:eastAsiaTheme="minorHAnsi" w:cstheme="minorBidi"/>
      <w:kern w:val="2"/>
      <w:sz w:val="22"/>
      <w:szCs w:val="22"/>
      <w:lang w:val="pt-BR" w:eastAsia="en-US" w:bidi="ar-SA"/>
    </w:rPr>
  </w:style>
  <w:style w:type="paragraph" w:styleId="2">
    <w:name w:val="heading 1"/>
    <w:basedOn w:val="1"/>
    <w:next w:val="1"/>
    <w:link w:val="36"/>
    <w:qFormat/>
    <w:uiPriority w:val="0"/>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37"/>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38"/>
    <w:unhideWhenUsed/>
    <w:qFormat/>
    <w:uiPriority w:val="0"/>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9"/>
    <w:unhideWhenUsed/>
    <w:qFormat/>
    <w:uiPriority w:val="0"/>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40"/>
    <w:unhideWhenUsed/>
    <w:qFormat/>
    <w:uiPriority w:val="0"/>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41"/>
    <w:unhideWhenUsed/>
    <w:qFormat/>
    <w:uiPriority w:val="0"/>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42"/>
    <w:unhideWhenUsed/>
    <w:qFormat/>
    <w:uiPriority w:val="0"/>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43"/>
    <w:unhideWhenUsed/>
    <w:qFormat/>
    <w:uiPriority w:val="0"/>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44"/>
    <w:unhideWhenUsed/>
    <w:qFormat/>
    <w:uiPriority w:val="0"/>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semiHidden/>
    <w:qFormat/>
    <w:uiPriority w:val="0"/>
    <w:rPr>
      <w:vertAlign w:val="superscript"/>
    </w:rPr>
  </w:style>
  <w:style w:type="character" w:styleId="14">
    <w:name w:val="annotation reference"/>
    <w:basedOn w:val="11"/>
    <w:semiHidden/>
    <w:unhideWhenUsed/>
    <w:qFormat/>
    <w:uiPriority w:val="99"/>
    <w:rPr>
      <w:sz w:val="16"/>
      <w:szCs w:val="16"/>
    </w:rPr>
  </w:style>
  <w:style w:type="character" w:styleId="15">
    <w:name w:val="footnote reference"/>
    <w:qFormat/>
    <w:uiPriority w:val="99"/>
    <w:rPr>
      <w:rFonts w:ascii="Times New Roman" w:hAnsi="Times New Roman"/>
      <w:sz w:val="24"/>
      <w:szCs w:val="24"/>
      <w:vertAlign w:val="superscript"/>
    </w:r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toc 2"/>
    <w:basedOn w:val="1"/>
    <w:next w:val="1"/>
    <w:autoRedefine/>
    <w:unhideWhenUsed/>
    <w:qFormat/>
    <w:uiPriority w:val="39"/>
    <w:pPr>
      <w:spacing w:after="100"/>
      <w:ind w:left="220"/>
    </w:pPr>
  </w:style>
  <w:style w:type="paragraph" w:styleId="18">
    <w:name w:val="annotation text"/>
    <w:basedOn w:val="1"/>
    <w:link w:val="57"/>
    <w:unhideWhenUsed/>
    <w:qFormat/>
    <w:uiPriority w:val="99"/>
    <w:pPr>
      <w:spacing w:line="240" w:lineRule="auto"/>
    </w:pPr>
    <w:rPr>
      <w:sz w:val="20"/>
      <w:szCs w:val="20"/>
    </w:rPr>
  </w:style>
  <w:style w:type="paragraph" w:styleId="19">
    <w:name w:val="Body Text Indent 2"/>
    <w:basedOn w:val="1"/>
    <w:link w:val="90"/>
    <w:qFormat/>
    <w:uiPriority w:val="0"/>
    <w:pPr>
      <w:tabs>
        <w:tab w:val="left" w:pos="720"/>
      </w:tabs>
      <w:overflowPunct w:val="0"/>
      <w:spacing w:before="120" w:after="120" w:line="240" w:lineRule="auto"/>
      <w:ind w:left="720" w:hanging="720"/>
      <w:jc w:val="both"/>
      <w:textAlignment w:val="baseline"/>
    </w:pPr>
    <w:rPr>
      <w:rFonts w:eastAsia="Times New Roman" w:cs="Times New Roman"/>
      <w:bCs/>
      <w:iCs/>
      <w:kern w:val="0"/>
      <w:szCs w:val="20"/>
      <w:lang w:val="en-US" w:eastAsia="pt-BR"/>
    </w:rPr>
  </w:style>
  <w:style w:type="paragraph" w:styleId="20">
    <w:name w:val="Title"/>
    <w:basedOn w:val="1"/>
    <w:next w:val="1"/>
    <w:link w:val="4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1">
    <w:name w:val="endnote text"/>
    <w:basedOn w:val="1"/>
    <w:link w:val="61"/>
    <w:semiHidden/>
    <w:qFormat/>
    <w:uiPriority w:val="0"/>
    <w:pPr>
      <w:spacing w:before="120" w:after="120" w:line="240" w:lineRule="auto"/>
      <w:jc w:val="both"/>
    </w:pPr>
    <w:rPr>
      <w:rFonts w:eastAsia="Times New Roman" w:cs="Times New Roman"/>
      <w:bCs/>
      <w:iCs/>
      <w:kern w:val="0"/>
      <w:sz w:val="24"/>
      <w:szCs w:val="24"/>
      <w:lang w:eastAsia="pt-BR"/>
    </w:rPr>
  </w:style>
  <w:style w:type="paragraph" w:styleId="22">
    <w:name w:val="index 2"/>
    <w:basedOn w:val="1"/>
    <w:next w:val="1"/>
    <w:semiHidden/>
    <w:qFormat/>
    <w:uiPriority w:val="0"/>
    <w:pPr>
      <w:tabs>
        <w:tab w:val="right" w:leader="dot" w:pos="9360"/>
      </w:tabs>
      <w:suppressAutoHyphens/>
      <w:spacing w:before="120" w:after="120" w:line="240" w:lineRule="auto"/>
      <w:ind w:left="1440" w:right="720" w:hanging="720"/>
      <w:jc w:val="both"/>
    </w:pPr>
    <w:rPr>
      <w:rFonts w:eastAsia="Times New Roman" w:cs="Times New Roman"/>
      <w:bCs/>
      <w:iCs/>
      <w:kern w:val="0"/>
      <w:sz w:val="24"/>
      <w:szCs w:val="24"/>
      <w:lang w:eastAsia="pt-BR"/>
    </w:rPr>
  </w:style>
  <w:style w:type="paragraph" w:styleId="23">
    <w:name w:val="toc 4"/>
    <w:basedOn w:val="1"/>
    <w:next w:val="1"/>
    <w:autoRedefine/>
    <w:unhideWhenUsed/>
    <w:qFormat/>
    <w:uiPriority w:val="39"/>
    <w:pPr>
      <w:spacing w:after="100"/>
      <w:ind w:left="660"/>
    </w:pPr>
  </w:style>
  <w:style w:type="paragraph" w:styleId="24">
    <w:name w:val="header"/>
    <w:basedOn w:val="1"/>
    <w:link w:val="54"/>
    <w:unhideWhenUsed/>
    <w:qFormat/>
    <w:uiPriority w:val="99"/>
    <w:pPr>
      <w:tabs>
        <w:tab w:val="center" w:pos="4513"/>
        <w:tab w:val="right" w:pos="9026"/>
      </w:tabs>
      <w:spacing w:after="0" w:line="240" w:lineRule="auto"/>
    </w:pPr>
  </w:style>
  <w:style w:type="paragraph" w:styleId="25">
    <w:name w:val="annotation subject"/>
    <w:basedOn w:val="18"/>
    <w:next w:val="18"/>
    <w:link w:val="58"/>
    <w:semiHidden/>
    <w:unhideWhenUsed/>
    <w:qFormat/>
    <w:uiPriority w:val="99"/>
    <w:rPr>
      <w:b/>
      <w:bCs/>
    </w:rPr>
  </w:style>
  <w:style w:type="paragraph" w:styleId="26">
    <w:name w:val="footer"/>
    <w:basedOn w:val="1"/>
    <w:link w:val="55"/>
    <w:unhideWhenUsed/>
    <w:qFormat/>
    <w:uiPriority w:val="99"/>
    <w:pPr>
      <w:tabs>
        <w:tab w:val="center" w:pos="4513"/>
        <w:tab w:val="right" w:pos="9026"/>
      </w:tabs>
      <w:spacing w:after="0" w:line="240" w:lineRule="auto"/>
    </w:pPr>
  </w:style>
  <w:style w:type="paragraph" w:styleId="27">
    <w:name w:val="Document Map"/>
    <w:basedOn w:val="1"/>
    <w:link w:val="62"/>
    <w:semiHidden/>
    <w:qFormat/>
    <w:uiPriority w:val="0"/>
    <w:pPr>
      <w:shd w:val="clear" w:color="auto" w:fill="000080"/>
      <w:spacing w:before="120" w:after="120" w:line="240" w:lineRule="auto"/>
      <w:jc w:val="both"/>
    </w:pPr>
    <w:rPr>
      <w:rFonts w:ascii="Tahoma" w:hAnsi="Tahoma" w:eastAsia="Times New Roman" w:cs="Times New Roman"/>
      <w:bCs/>
      <w:iCs/>
      <w:kern w:val="0"/>
      <w:sz w:val="24"/>
      <w:szCs w:val="24"/>
      <w:lang w:eastAsia="pt-BR"/>
    </w:rPr>
  </w:style>
  <w:style w:type="paragraph" w:styleId="28">
    <w:name w:val="toa heading"/>
    <w:basedOn w:val="1"/>
    <w:next w:val="1"/>
    <w:semiHidden/>
    <w:qFormat/>
    <w:uiPriority w:val="0"/>
    <w:pPr>
      <w:tabs>
        <w:tab w:val="right" w:pos="9360"/>
      </w:tabs>
      <w:suppressAutoHyphens/>
      <w:spacing w:before="120" w:after="120" w:line="240" w:lineRule="auto"/>
      <w:jc w:val="both"/>
    </w:pPr>
    <w:rPr>
      <w:rFonts w:eastAsia="Times New Roman" w:cs="Times New Roman"/>
      <w:bCs/>
      <w:iCs/>
      <w:kern w:val="0"/>
      <w:sz w:val="24"/>
      <w:szCs w:val="24"/>
      <w:lang w:eastAsia="pt-BR"/>
    </w:rPr>
  </w:style>
  <w:style w:type="paragraph" w:styleId="29">
    <w:name w:val="index 1"/>
    <w:basedOn w:val="1"/>
    <w:next w:val="1"/>
    <w:semiHidden/>
    <w:qFormat/>
    <w:uiPriority w:val="0"/>
    <w:pPr>
      <w:tabs>
        <w:tab w:val="right" w:leader="dot" w:pos="9360"/>
      </w:tabs>
      <w:suppressAutoHyphens/>
      <w:spacing w:before="120" w:after="120" w:line="240" w:lineRule="auto"/>
      <w:ind w:left="1440" w:right="720" w:hanging="1440"/>
      <w:jc w:val="both"/>
    </w:pPr>
    <w:rPr>
      <w:rFonts w:eastAsia="Times New Roman" w:cs="Times New Roman"/>
      <w:bCs/>
      <w:iCs/>
      <w:kern w:val="0"/>
      <w:sz w:val="24"/>
      <w:szCs w:val="24"/>
      <w:lang w:eastAsia="pt-BR"/>
    </w:rPr>
  </w:style>
  <w:style w:type="paragraph" w:styleId="30">
    <w:name w:val="Balloon Text"/>
    <w:basedOn w:val="1"/>
    <w:link w:val="89"/>
    <w:semiHidden/>
    <w:unhideWhenUsed/>
    <w:qFormat/>
    <w:uiPriority w:val="99"/>
    <w:pPr>
      <w:spacing w:after="0" w:line="240" w:lineRule="auto"/>
    </w:pPr>
    <w:rPr>
      <w:rFonts w:ascii="Tahoma" w:hAnsi="Tahoma" w:cs="Tahoma"/>
      <w:sz w:val="16"/>
      <w:szCs w:val="16"/>
    </w:rPr>
  </w:style>
  <w:style w:type="paragraph" w:styleId="31">
    <w:name w:val="Subtitle"/>
    <w:basedOn w:val="1"/>
    <w:next w:val="1"/>
    <w:link w:val="4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List 2"/>
    <w:basedOn w:val="1"/>
    <w:autoRedefine/>
    <w:qFormat/>
    <w:uiPriority w:val="0"/>
    <w:pPr>
      <w:framePr w:hSpace="141" w:wrap="around" w:vAnchor="margin" w:hAnchor="margin" w:xAlign="center" w:y="720"/>
      <w:tabs>
        <w:tab w:val="left" w:pos="-648"/>
      </w:tabs>
      <w:spacing w:before="120" w:after="120" w:line="240" w:lineRule="auto"/>
      <w:ind w:left="1012" w:hanging="425"/>
    </w:pPr>
    <w:rPr>
      <w:rFonts w:eastAsia="Times New Roman" w:cs="Times New Roman"/>
      <w:iCs/>
      <w:kern w:val="0"/>
      <w:lang w:eastAsia="pt-BR"/>
    </w:rPr>
  </w:style>
  <w:style w:type="paragraph" w:styleId="33">
    <w:name w:val="footnote text"/>
    <w:basedOn w:val="1"/>
    <w:link w:val="60"/>
    <w:semiHidden/>
    <w:unhideWhenUsed/>
    <w:qFormat/>
    <w:uiPriority w:val="99"/>
    <w:pPr>
      <w:spacing w:after="0" w:line="240" w:lineRule="auto"/>
    </w:pPr>
    <w:rPr>
      <w:sz w:val="20"/>
      <w:szCs w:val="20"/>
    </w:rPr>
  </w:style>
  <w:style w:type="paragraph" w:styleId="34">
    <w:name w:val="toc 1"/>
    <w:basedOn w:val="1"/>
    <w:next w:val="1"/>
    <w:autoRedefine/>
    <w:unhideWhenUsed/>
    <w:qFormat/>
    <w:uiPriority w:val="39"/>
    <w:pPr>
      <w:spacing w:after="100"/>
    </w:pPr>
  </w:style>
  <w:style w:type="table" w:styleId="35">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6">
    <w:name w:val="Título 1 Char"/>
    <w:basedOn w:val="11"/>
    <w:link w:val="2"/>
    <w:qFormat/>
    <w:uiPriority w:val="0"/>
    <w:rPr>
      <w:rFonts w:asciiTheme="majorHAnsi" w:hAnsiTheme="majorHAnsi" w:eastAsiaTheme="majorEastAsia" w:cstheme="majorBidi"/>
      <w:color w:val="104862" w:themeColor="accent1" w:themeShade="BF"/>
      <w:sz w:val="40"/>
      <w:szCs w:val="40"/>
    </w:rPr>
  </w:style>
  <w:style w:type="character" w:customStyle="1" w:styleId="37">
    <w:name w:val="Título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38">
    <w:name w:val="Título 3 Char"/>
    <w:basedOn w:val="11"/>
    <w:link w:val="4"/>
    <w:qFormat/>
    <w:uiPriority w:val="0"/>
    <w:rPr>
      <w:rFonts w:eastAsiaTheme="majorEastAsia" w:cstheme="majorBidi"/>
      <w:color w:val="104862" w:themeColor="accent1" w:themeShade="BF"/>
      <w:sz w:val="28"/>
      <w:szCs w:val="28"/>
    </w:rPr>
  </w:style>
  <w:style w:type="character" w:customStyle="1" w:styleId="39">
    <w:name w:val="Título 4 Char"/>
    <w:basedOn w:val="11"/>
    <w:link w:val="5"/>
    <w:qFormat/>
    <w:uiPriority w:val="0"/>
    <w:rPr>
      <w:rFonts w:eastAsiaTheme="majorEastAsia" w:cstheme="majorBidi"/>
      <w:i/>
      <w:iCs/>
      <w:color w:val="104862" w:themeColor="accent1" w:themeShade="BF"/>
    </w:rPr>
  </w:style>
  <w:style w:type="character" w:customStyle="1" w:styleId="40">
    <w:name w:val="Título 5 Char"/>
    <w:basedOn w:val="11"/>
    <w:link w:val="6"/>
    <w:qFormat/>
    <w:uiPriority w:val="0"/>
    <w:rPr>
      <w:rFonts w:eastAsiaTheme="majorEastAsia" w:cstheme="majorBidi"/>
      <w:color w:val="104862" w:themeColor="accent1" w:themeShade="BF"/>
    </w:rPr>
  </w:style>
  <w:style w:type="character" w:customStyle="1" w:styleId="41">
    <w:name w:val="Título 6 Char"/>
    <w:basedOn w:val="11"/>
    <w:link w:val="7"/>
    <w:qFormat/>
    <w:uiPriority w:val="0"/>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42">
    <w:name w:val="Título 7 Char"/>
    <w:basedOn w:val="11"/>
    <w:link w:val="8"/>
    <w:qFormat/>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3">
    <w:name w:val="Título 8 Char"/>
    <w:basedOn w:val="11"/>
    <w:link w:val="9"/>
    <w:qFormat/>
    <w:uiPriority w:val="0"/>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44">
    <w:name w:val="Título 9 Char"/>
    <w:basedOn w:val="11"/>
    <w:link w:val="10"/>
    <w:qFormat/>
    <w:uiPriority w:val="0"/>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45">
    <w:name w:val="Título Char"/>
    <w:basedOn w:val="11"/>
    <w:link w:val="20"/>
    <w:qFormat/>
    <w:uiPriority w:val="10"/>
    <w:rPr>
      <w:rFonts w:asciiTheme="majorHAnsi" w:hAnsiTheme="majorHAnsi" w:eastAsiaTheme="majorEastAsia" w:cstheme="majorBidi"/>
      <w:spacing w:val="-10"/>
      <w:kern w:val="28"/>
      <w:sz w:val="56"/>
      <w:szCs w:val="56"/>
    </w:rPr>
  </w:style>
  <w:style w:type="character" w:customStyle="1" w:styleId="46">
    <w:name w:val="Subtítulo Char"/>
    <w:basedOn w:val="1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7">
    <w:name w:val="Quote"/>
    <w:basedOn w:val="1"/>
    <w:next w:val="1"/>
    <w:link w:val="4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8">
    <w:name w:val="Citação Char"/>
    <w:basedOn w:val="11"/>
    <w:link w:val="47"/>
    <w:qFormat/>
    <w:uiPriority w:val="29"/>
    <w:rPr>
      <w:i/>
      <w:iCs/>
      <w:color w:val="404040" w:themeColor="text1" w:themeTint="BF"/>
      <w14:textFill>
        <w14:solidFill>
          <w14:schemeClr w14:val="tx1">
            <w14:lumMod w14:val="75000"/>
            <w14:lumOff w14:val="25000"/>
          </w14:schemeClr>
        </w14:solidFill>
      </w14:textFill>
    </w:rPr>
  </w:style>
  <w:style w:type="paragraph" w:styleId="49">
    <w:name w:val="List Paragraph"/>
    <w:basedOn w:val="1"/>
    <w:link w:val="93"/>
    <w:qFormat/>
    <w:uiPriority w:val="1"/>
    <w:pPr>
      <w:ind w:left="720"/>
      <w:contextualSpacing/>
    </w:pPr>
  </w:style>
  <w:style w:type="character" w:customStyle="1" w:styleId="50">
    <w:name w:val="Intense Emphasis"/>
    <w:basedOn w:val="11"/>
    <w:qFormat/>
    <w:uiPriority w:val="21"/>
    <w:rPr>
      <w:i/>
      <w:iCs/>
      <w:color w:val="104862" w:themeColor="accent1" w:themeShade="BF"/>
    </w:rPr>
  </w:style>
  <w:style w:type="paragraph" w:styleId="51">
    <w:name w:val="Intense Quote"/>
    <w:basedOn w:val="1"/>
    <w:next w:val="1"/>
    <w:link w:val="5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52">
    <w:name w:val="Citação Intensa Char"/>
    <w:basedOn w:val="11"/>
    <w:link w:val="51"/>
    <w:qFormat/>
    <w:uiPriority w:val="30"/>
    <w:rPr>
      <w:i/>
      <w:iCs/>
      <w:color w:val="104862" w:themeColor="accent1" w:themeShade="BF"/>
    </w:rPr>
  </w:style>
  <w:style w:type="character" w:customStyle="1" w:styleId="53">
    <w:name w:val="Intense Reference"/>
    <w:basedOn w:val="11"/>
    <w:qFormat/>
    <w:uiPriority w:val="32"/>
    <w:rPr>
      <w:b/>
      <w:bCs/>
      <w:smallCaps/>
      <w:color w:val="104862" w:themeColor="accent1" w:themeShade="BF"/>
      <w:spacing w:val="5"/>
    </w:rPr>
  </w:style>
  <w:style w:type="character" w:customStyle="1" w:styleId="54">
    <w:name w:val="Cabeçalho Char"/>
    <w:basedOn w:val="11"/>
    <w:link w:val="24"/>
    <w:qFormat/>
    <w:uiPriority w:val="99"/>
    <w:rPr>
      <w:rFonts w:ascii="Times New Roman" w:hAnsi="Times New Roman"/>
    </w:rPr>
  </w:style>
  <w:style w:type="character" w:customStyle="1" w:styleId="55">
    <w:name w:val="Rodapé Char"/>
    <w:basedOn w:val="11"/>
    <w:link w:val="26"/>
    <w:qFormat/>
    <w:uiPriority w:val="99"/>
    <w:rPr>
      <w:rFonts w:ascii="Times New Roman" w:hAnsi="Times New Roman"/>
    </w:rPr>
  </w:style>
  <w:style w:type="paragraph" w:customStyle="1" w:styleId="56">
    <w:name w:val="Revision"/>
    <w:hidden/>
    <w:semiHidden/>
    <w:qFormat/>
    <w:uiPriority w:val="99"/>
    <w:pPr>
      <w:spacing w:after="0" w:line="240" w:lineRule="auto"/>
    </w:pPr>
    <w:rPr>
      <w:rFonts w:ascii="Times New Roman" w:hAnsi="Times New Roman" w:eastAsiaTheme="minorHAnsi" w:cstheme="minorBidi"/>
      <w:kern w:val="2"/>
      <w:sz w:val="22"/>
      <w:szCs w:val="22"/>
      <w:lang w:val="es-BO" w:eastAsia="en-US" w:bidi="ar-SA"/>
    </w:rPr>
  </w:style>
  <w:style w:type="character" w:customStyle="1" w:styleId="57">
    <w:name w:val="Texto de comentário Char"/>
    <w:basedOn w:val="11"/>
    <w:link w:val="18"/>
    <w:qFormat/>
    <w:uiPriority w:val="99"/>
    <w:rPr>
      <w:rFonts w:ascii="Times New Roman" w:hAnsi="Times New Roman"/>
      <w:sz w:val="20"/>
      <w:szCs w:val="20"/>
    </w:rPr>
  </w:style>
  <w:style w:type="character" w:customStyle="1" w:styleId="58">
    <w:name w:val="Assunto do comentário Char"/>
    <w:basedOn w:val="57"/>
    <w:link w:val="25"/>
    <w:semiHidden/>
    <w:qFormat/>
    <w:uiPriority w:val="99"/>
    <w:rPr>
      <w:rFonts w:ascii="Times New Roman" w:hAnsi="Times New Roman"/>
      <w:b/>
      <w:bCs/>
      <w:sz w:val="20"/>
      <w:szCs w:val="20"/>
    </w:rPr>
  </w:style>
  <w:style w:type="character" w:customStyle="1" w:styleId="59">
    <w:name w:val="Menção Pendente1"/>
    <w:basedOn w:val="11"/>
    <w:semiHidden/>
    <w:unhideWhenUsed/>
    <w:qFormat/>
    <w:uiPriority w:val="99"/>
    <w:rPr>
      <w:color w:val="605E5C"/>
      <w:shd w:val="clear" w:color="auto" w:fill="E1DFDD"/>
    </w:rPr>
  </w:style>
  <w:style w:type="character" w:customStyle="1" w:styleId="60">
    <w:name w:val="Texto de nota de rodapé Char"/>
    <w:basedOn w:val="11"/>
    <w:link w:val="33"/>
    <w:semiHidden/>
    <w:qFormat/>
    <w:uiPriority w:val="99"/>
    <w:rPr>
      <w:rFonts w:ascii="Times New Roman" w:hAnsi="Times New Roman"/>
      <w:sz w:val="20"/>
      <w:szCs w:val="20"/>
      <w:lang w:val="pt-BR"/>
    </w:rPr>
  </w:style>
  <w:style w:type="character" w:customStyle="1" w:styleId="61">
    <w:name w:val="Texto de nota de fim Char"/>
    <w:basedOn w:val="11"/>
    <w:link w:val="21"/>
    <w:semiHidden/>
    <w:qFormat/>
    <w:uiPriority w:val="0"/>
    <w:rPr>
      <w:rFonts w:ascii="Times New Roman" w:hAnsi="Times New Roman" w:eastAsia="Times New Roman" w:cs="Times New Roman"/>
      <w:bCs/>
      <w:iCs/>
      <w:kern w:val="0"/>
      <w:sz w:val="24"/>
      <w:szCs w:val="24"/>
      <w:lang w:val="pt-BR" w:eastAsia="pt-BR"/>
    </w:rPr>
  </w:style>
  <w:style w:type="character" w:customStyle="1" w:styleId="62">
    <w:name w:val="Mapa do Documento Char"/>
    <w:basedOn w:val="11"/>
    <w:link w:val="27"/>
    <w:semiHidden/>
    <w:qFormat/>
    <w:uiPriority w:val="0"/>
    <w:rPr>
      <w:rFonts w:ascii="Tahoma" w:hAnsi="Tahoma" w:eastAsia="Times New Roman" w:cs="Times New Roman"/>
      <w:bCs/>
      <w:iCs/>
      <w:kern w:val="0"/>
      <w:sz w:val="24"/>
      <w:szCs w:val="24"/>
      <w:shd w:val="clear" w:color="auto" w:fill="000080"/>
      <w:lang w:val="pt-BR" w:eastAsia="pt-BR"/>
    </w:rPr>
  </w:style>
  <w:style w:type="paragraph" w:customStyle="1" w:styleId="63">
    <w:name w:val="Texto de balão1"/>
    <w:basedOn w:val="1"/>
    <w:semiHidden/>
    <w:qFormat/>
    <w:uiPriority w:val="0"/>
    <w:pPr>
      <w:spacing w:before="120" w:after="120" w:line="240" w:lineRule="auto"/>
      <w:jc w:val="both"/>
    </w:pPr>
    <w:rPr>
      <w:rFonts w:ascii="Tahoma" w:hAnsi="Tahoma" w:eastAsia="Times New Roman" w:cs="Tahoma"/>
      <w:bCs/>
      <w:iCs/>
      <w:kern w:val="0"/>
      <w:sz w:val="16"/>
      <w:szCs w:val="16"/>
      <w:lang w:eastAsia="pt-BR"/>
    </w:rPr>
  </w:style>
  <w:style w:type="character" w:customStyle="1" w:styleId="64">
    <w:name w:val="Footnote Characters"/>
    <w:semiHidden/>
    <w:qFormat/>
    <w:uiPriority w:val="0"/>
    <w:rPr>
      <w:rFonts w:cs="Times New Roman"/>
      <w:b/>
      <w:vertAlign w:val="superscript"/>
    </w:rPr>
  </w:style>
  <w:style w:type="table" w:customStyle="1" w:styleId="65">
    <w:name w:val="Tabela de Grade 1 Clara1"/>
    <w:basedOn w:val="12"/>
    <w:qFormat/>
    <w:uiPriority w:val="46"/>
    <w:pPr>
      <w:spacing w:after="0" w:line="240" w:lineRule="auto"/>
    </w:pPr>
    <w:rPr>
      <w:lang w:val="pt-BR"/>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66">
    <w:name w:val="Tabela com grade1"/>
    <w:basedOn w:val="12"/>
    <w:qFormat/>
    <w:uiPriority w:val="39"/>
    <w:pPr>
      <w:spacing w:after="0" w:line="240" w:lineRule="auto"/>
    </w:pPr>
    <w:rPr>
      <w:lang w:val="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7">
    <w:name w:val="Tabla con cuadrícula1"/>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8">
    <w:name w:val="Table Normal1"/>
    <w:semiHidden/>
    <w:unhideWhenUsed/>
    <w:qFormat/>
    <w:uiPriority w:val="2"/>
    <w:pPr>
      <w:widowControl w:val="0"/>
      <w:autoSpaceDE w:val="0"/>
      <w:autoSpaceDN w:val="0"/>
      <w:spacing w:after="0" w:line="240" w:lineRule="auto"/>
    </w:pPr>
    <w:rPr>
      <w:kern w:val="0"/>
      <w:lang w:val="en-US"/>
    </w:rPr>
    <w:tblPr>
      <w:tblCellMar>
        <w:top w:w="0" w:type="dxa"/>
        <w:left w:w="0" w:type="dxa"/>
        <w:bottom w:w="0" w:type="dxa"/>
        <w:right w:w="0" w:type="dxa"/>
      </w:tblCellMar>
    </w:tblPr>
  </w:style>
  <w:style w:type="paragraph" w:customStyle="1" w:styleId="69">
    <w:name w:val="TITULO11"/>
    <w:basedOn w:val="1"/>
    <w:link w:val="70"/>
    <w:qFormat/>
    <w:uiPriority w:val="0"/>
    <w:pPr>
      <w:spacing w:before="120" w:after="120" w:line="240" w:lineRule="auto"/>
      <w:jc w:val="center"/>
    </w:pPr>
    <w:rPr>
      <w:b/>
      <w:bCs/>
    </w:rPr>
  </w:style>
  <w:style w:type="character" w:customStyle="1" w:styleId="70">
    <w:name w:val="TITULO11 Car"/>
    <w:basedOn w:val="11"/>
    <w:link w:val="69"/>
    <w:qFormat/>
    <w:uiPriority w:val="0"/>
    <w:rPr>
      <w:rFonts w:ascii="Times New Roman" w:hAnsi="Times New Roman"/>
      <w:b/>
      <w:bCs/>
      <w:lang w:val="pt-BR"/>
    </w:rPr>
  </w:style>
  <w:style w:type="paragraph" w:customStyle="1" w:styleId="71">
    <w:name w:val="SUBTITULO11"/>
    <w:basedOn w:val="1"/>
    <w:link w:val="72"/>
    <w:qFormat/>
    <w:uiPriority w:val="0"/>
    <w:pPr>
      <w:spacing w:before="120" w:after="120" w:line="240" w:lineRule="auto"/>
      <w:ind w:left="454" w:hanging="425"/>
    </w:pPr>
    <w:rPr>
      <w:b/>
      <w:bCs/>
    </w:rPr>
  </w:style>
  <w:style w:type="character" w:customStyle="1" w:styleId="72">
    <w:name w:val="SUBTITULO11 Car"/>
    <w:basedOn w:val="11"/>
    <w:link w:val="71"/>
    <w:qFormat/>
    <w:uiPriority w:val="0"/>
    <w:rPr>
      <w:rFonts w:ascii="Times New Roman" w:hAnsi="Times New Roman"/>
      <w:b/>
      <w:bCs/>
      <w:lang w:val="pt-BR"/>
    </w:rPr>
  </w:style>
  <w:style w:type="paragraph" w:customStyle="1" w:styleId="73">
    <w:name w:val="TITULO22"/>
    <w:basedOn w:val="1"/>
    <w:link w:val="74"/>
    <w:qFormat/>
    <w:uiPriority w:val="0"/>
    <w:pPr>
      <w:jc w:val="center"/>
    </w:pPr>
    <w:rPr>
      <w:b/>
      <w:bCs/>
      <w:sz w:val="20"/>
      <w:szCs w:val="20"/>
    </w:rPr>
  </w:style>
  <w:style w:type="character" w:customStyle="1" w:styleId="74">
    <w:name w:val="TITULO22 Car"/>
    <w:basedOn w:val="11"/>
    <w:link w:val="73"/>
    <w:qFormat/>
    <w:uiPriority w:val="0"/>
    <w:rPr>
      <w:rFonts w:ascii="Times New Roman" w:hAnsi="Times New Roman"/>
      <w:b/>
      <w:bCs/>
      <w:sz w:val="20"/>
      <w:szCs w:val="20"/>
      <w:lang w:val="pt-BR"/>
    </w:rPr>
  </w:style>
  <w:style w:type="paragraph" w:customStyle="1" w:styleId="75">
    <w:name w:val="Estilo11"/>
    <w:basedOn w:val="1"/>
    <w:link w:val="76"/>
    <w:qFormat/>
    <w:uiPriority w:val="0"/>
    <w:pPr>
      <w:spacing w:before="60" w:after="60"/>
    </w:pPr>
    <w:rPr>
      <w:b/>
      <w:bCs/>
    </w:rPr>
  </w:style>
  <w:style w:type="character" w:customStyle="1" w:styleId="76">
    <w:name w:val="Estilo11 Car"/>
    <w:basedOn w:val="11"/>
    <w:link w:val="75"/>
    <w:qFormat/>
    <w:uiPriority w:val="0"/>
    <w:rPr>
      <w:rFonts w:ascii="Times New Roman" w:hAnsi="Times New Roman"/>
      <w:b/>
      <w:bCs/>
      <w:lang w:val="pt-BR"/>
    </w:rPr>
  </w:style>
  <w:style w:type="paragraph" w:customStyle="1" w:styleId="77">
    <w:name w:val="TITULO33"/>
    <w:basedOn w:val="1"/>
    <w:link w:val="78"/>
    <w:qFormat/>
    <w:uiPriority w:val="0"/>
    <w:pPr>
      <w:jc w:val="center"/>
    </w:pPr>
    <w:rPr>
      <w:b/>
      <w:bCs/>
      <w:iCs/>
    </w:rPr>
  </w:style>
  <w:style w:type="character" w:customStyle="1" w:styleId="78">
    <w:name w:val="TITULO33 Car"/>
    <w:basedOn w:val="11"/>
    <w:link w:val="77"/>
    <w:qFormat/>
    <w:uiPriority w:val="0"/>
    <w:rPr>
      <w:rFonts w:ascii="Times New Roman" w:hAnsi="Times New Roman"/>
      <w:b/>
      <w:bCs/>
      <w:iCs/>
      <w:lang w:val="pt-BR"/>
    </w:rPr>
  </w:style>
  <w:style w:type="paragraph" w:customStyle="1" w:styleId="79">
    <w:name w:val="Estilo33"/>
    <w:basedOn w:val="1"/>
    <w:link w:val="80"/>
    <w:qFormat/>
    <w:uiPriority w:val="0"/>
    <w:pPr>
      <w:jc w:val="both"/>
    </w:pPr>
    <w:rPr>
      <w:b/>
      <w:bCs/>
      <w:iCs/>
    </w:rPr>
  </w:style>
  <w:style w:type="character" w:customStyle="1" w:styleId="80">
    <w:name w:val="Estilo33 Car"/>
    <w:basedOn w:val="11"/>
    <w:link w:val="79"/>
    <w:qFormat/>
    <w:uiPriority w:val="0"/>
    <w:rPr>
      <w:rFonts w:ascii="Times New Roman" w:hAnsi="Times New Roman"/>
      <w:b/>
      <w:bCs/>
      <w:iCs/>
      <w:lang w:val="pt-BR"/>
    </w:rPr>
  </w:style>
  <w:style w:type="paragraph" w:customStyle="1" w:styleId="81">
    <w:name w:val="TITULO44"/>
    <w:basedOn w:val="1"/>
    <w:link w:val="82"/>
    <w:qFormat/>
    <w:uiPriority w:val="0"/>
    <w:pPr>
      <w:spacing w:before="120" w:after="120" w:line="240" w:lineRule="auto"/>
      <w:jc w:val="center"/>
    </w:pPr>
    <w:rPr>
      <w:b/>
      <w:iCs/>
    </w:rPr>
  </w:style>
  <w:style w:type="character" w:customStyle="1" w:styleId="82">
    <w:name w:val="TITULO44 Car"/>
    <w:basedOn w:val="11"/>
    <w:link w:val="81"/>
    <w:qFormat/>
    <w:uiPriority w:val="0"/>
    <w:rPr>
      <w:rFonts w:ascii="Times New Roman" w:hAnsi="Times New Roman"/>
      <w:b/>
      <w:iCs/>
      <w:lang w:val="pt-BR"/>
    </w:rPr>
  </w:style>
  <w:style w:type="paragraph" w:customStyle="1" w:styleId="83">
    <w:name w:val="SUBTITULO22"/>
    <w:basedOn w:val="1"/>
    <w:link w:val="84"/>
    <w:qFormat/>
    <w:uiPriority w:val="0"/>
    <w:pPr>
      <w:spacing w:before="120" w:after="120" w:line="240" w:lineRule="auto"/>
      <w:ind w:left="458" w:hanging="425"/>
      <w:jc w:val="both"/>
    </w:pPr>
    <w:rPr>
      <w:b/>
      <w:iCs/>
    </w:rPr>
  </w:style>
  <w:style w:type="character" w:customStyle="1" w:styleId="84">
    <w:name w:val="SUBTITULO22 Car"/>
    <w:basedOn w:val="11"/>
    <w:link w:val="83"/>
    <w:qFormat/>
    <w:uiPriority w:val="0"/>
    <w:rPr>
      <w:rFonts w:ascii="Times New Roman" w:hAnsi="Times New Roman"/>
      <w:b/>
      <w:iCs/>
      <w:lang w:val="pt-BR"/>
    </w:rPr>
  </w:style>
  <w:style w:type="paragraph" w:customStyle="1" w:styleId="85">
    <w:name w:val="Estilo55"/>
    <w:basedOn w:val="1"/>
    <w:link w:val="86"/>
    <w:qFormat/>
    <w:uiPriority w:val="0"/>
    <w:pPr>
      <w:jc w:val="center"/>
    </w:pPr>
    <w:rPr>
      <w:b/>
      <w:bCs/>
    </w:rPr>
  </w:style>
  <w:style w:type="character" w:customStyle="1" w:styleId="86">
    <w:name w:val="Estilo55 Car"/>
    <w:basedOn w:val="11"/>
    <w:link w:val="85"/>
    <w:qFormat/>
    <w:uiPriority w:val="0"/>
    <w:rPr>
      <w:rFonts w:ascii="Times New Roman" w:hAnsi="Times New Roman"/>
      <w:b/>
      <w:bCs/>
      <w:lang w:val="pt-BR"/>
    </w:rPr>
  </w:style>
  <w:style w:type="paragraph" w:customStyle="1" w:styleId="87">
    <w:name w:val="GRANTITULO11"/>
    <w:basedOn w:val="1"/>
    <w:link w:val="88"/>
    <w:qFormat/>
    <w:uiPriority w:val="0"/>
    <w:pPr>
      <w:jc w:val="center"/>
    </w:pPr>
    <w:rPr>
      <w:b/>
      <w:bCs/>
    </w:rPr>
  </w:style>
  <w:style w:type="character" w:customStyle="1" w:styleId="88">
    <w:name w:val="GRANTITULO11 Car"/>
    <w:basedOn w:val="11"/>
    <w:link w:val="87"/>
    <w:qFormat/>
    <w:uiPriority w:val="0"/>
    <w:rPr>
      <w:rFonts w:ascii="Times New Roman" w:hAnsi="Times New Roman"/>
      <w:b/>
      <w:bCs/>
      <w:lang w:val="pt-BR"/>
    </w:rPr>
  </w:style>
  <w:style w:type="character" w:customStyle="1" w:styleId="89">
    <w:name w:val="Texto de balão Char"/>
    <w:basedOn w:val="11"/>
    <w:link w:val="30"/>
    <w:semiHidden/>
    <w:qFormat/>
    <w:uiPriority w:val="99"/>
    <w:rPr>
      <w:rFonts w:ascii="Tahoma" w:hAnsi="Tahoma" w:cs="Tahoma"/>
      <w:sz w:val="16"/>
      <w:szCs w:val="16"/>
      <w:lang w:val="pt-BR"/>
    </w:rPr>
  </w:style>
  <w:style w:type="character" w:customStyle="1" w:styleId="90">
    <w:name w:val="Recuo de corpo de texto 2 Char"/>
    <w:basedOn w:val="11"/>
    <w:link w:val="19"/>
    <w:qFormat/>
    <w:uiPriority w:val="0"/>
    <w:rPr>
      <w:rFonts w:ascii="Times New Roman" w:hAnsi="Times New Roman" w:eastAsia="Times New Roman" w:cs="Times New Roman"/>
      <w:bCs/>
      <w:iCs/>
      <w:kern w:val="0"/>
      <w:szCs w:val="20"/>
      <w:lang w:val="en-US" w:eastAsia="pt-BR"/>
    </w:rPr>
  </w:style>
  <w:style w:type="paragraph" w:customStyle="1" w:styleId="91">
    <w:name w:val="Subtítulo 2"/>
    <w:basedOn w:val="1"/>
    <w:next w:val="1"/>
    <w:link w:val="92"/>
    <w:autoRedefine/>
    <w:qFormat/>
    <w:uiPriority w:val="0"/>
    <w:pPr>
      <w:tabs>
        <w:tab w:val="left" w:pos="1800"/>
      </w:tabs>
      <w:spacing w:before="120" w:after="120" w:line="240" w:lineRule="auto"/>
    </w:pPr>
    <w:rPr>
      <w:rFonts w:eastAsia="Calibri" w:cs="Times New Roman"/>
      <w:b/>
      <w:bCs/>
      <w:spacing w:val="-3"/>
      <w:kern w:val="0"/>
      <w:szCs w:val="18"/>
      <w:lang w:eastAsia="pt-BR"/>
    </w:rPr>
  </w:style>
  <w:style w:type="character" w:customStyle="1" w:styleId="92">
    <w:name w:val="Subtítulo 2 Char1"/>
    <w:basedOn w:val="11"/>
    <w:link w:val="91"/>
    <w:qFormat/>
    <w:uiPriority w:val="0"/>
    <w:rPr>
      <w:rFonts w:ascii="Times New Roman" w:hAnsi="Times New Roman" w:eastAsia="Calibri" w:cs="Times New Roman"/>
      <w:b/>
      <w:bCs/>
      <w:spacing w:val="-3"/>
      <w:kern w:val="0"/>
      <w:szCs w:val="18"/>
      <w:lang w:val="pt-BR" w:eastAsia="pt-BR"/>
    </w:rPr>
  </w:style>
  <w:style w:type="character" w:customStyle="1" w:styleId="93">
    <w:name w:val="Parágrafo da Lista Char"/>
    <w:link w:val="49"/>
    <w:qFormat/>
    <w:locked/>
    <w:uiPriority w:val="1"/>
    <w:rPr>
      <w:rFonts w:ascii="Times New Roman" w:hAnsi="Times New Roman"/>
      <w:lang w:val="pt-BR"/>
    </w:rPr>
  </w:style>
  <w:style w:type="paragraph" w:customStyle="1" w:styleId="94">
    <w:name w:val="Style 11"/>
    <w:basedOn w:val="1"/>
    <w:qFormat/>
    <w:uiPriority w:val="0"/>
    <w:pPr>
      <w:widowControl w:val="0"/>
      <w:spacing w:after="0" w:line="384" w:lineRule="atLeast"/>
      <w:jc w:val="both"/>
    </w:pPr>
    <w:rPr>
      <w:rFonts w:eastAsia="Times New Roman" w:cs="Times New Roman"/>
      <w:bCs/>
      <w:iCs/>
      <w:kern w:val="0"/>
      <w:sz w:val="18"/>
      <w:szCs w:val="18"/>
      <w:lang w:val="en-US" w:eastAsia="pt-BR"/>
    </w:rPr>
  </w:style>
  <w:style w:type="paragraph" w:customStyle="1" w:styleId="95">
    <w:name w:val="Default"/>
    <w:qFormat/>
    <w:uiPriority w:val="0"/>
    <w:pPr>
      <w:spacing w:after="160" w:afterLines="50" w:line="240" w:lineRule="auto"/>
      <w:jc w:val="both"/>
    </w:pPr>
    <w:rPr>
      <w:rFonts w:ascii="Times New Roman" w:hAnsi="Times New Roman" w:eastAsia="Times New Roman" w:cs="Times New Roman"/>
      <w:color w:val="000000"/>
      <w:kern w:val="0"/>
      <w:sz w:val="24"/>
      <w:szCs w:val="24"/>
      <w:lang w:val="pt-BR" w:eastAsia="pt-BR" w:bidi="ar-SA"/>
    </w:rPr>
  </w:style>
  <w:style w:type="character" w:customStyle="1" w:styleId="96">
    <w:name w:val="Comentário 7"/>
    <w:qFormat/>
    <w:uiPriority w:val="0"/>
    <w:rPr>
      <w:i/>
      <w:color w:val="auto"/>
      <w:sz w:val="24"/>
      <w:u w:color="548DD4"/>
      <w:vertAlign w:val="baseline"/>
      <w:lang w:val="pt-BR"/>
    </w:rPr>
  </w:style>
  <w:style w:type="character" w:customStyle="1" w:styleId="97">
    <w:name w:val="Explicação Char"/>
    <w:qFormat/>
    <w:uiPriority w:val="0"/>
    <w:rPr>
      <w:i/>
      <w:sz w:val="24"/>
      <w:szCs w:val="24"/>
      <w:lang w:val="pt-BR" w:eastAsia="pt-BR" w:bidi="ar-SA"/>
    </w:rPr>
  </w:style>
  <w:style w:type="paragraph" w:customStyle="1" w:styleId="98">
    <w:name w:val="Comentário 2"/>
    <w:basedOn w:val="1"/>
    <w:next w:val="1"/>
    <w:link w:val="99"/>
    <w:autoRedefine/>
    <w:qFormat/>
    <w:uiPriority w:val="0"/>
    <w:pPr>
      <w:tabs>
        <w:tab w:val="left" w:pos="1440"/>
        <w:tab w:val="left" w:pos="6480"/>
      </w:tabs>
      <w:spacing w:after="0" w:line="240" w:lineRule="auto"/>
    </w:pPr>
    <w:rPr>
      <w:rFonts w:ascii="Times New Roman Negrito" w:hAnsi="Times New Roman Negrito" w:eastAsia="MS Mincho" w:cs="Times New Roman"/>
      <w:b/>
      <w:bCs/>
      <w:color w:val="FF0000"/>
      <w:kern w:val="0"/>
      <w:szCs w:val="24"/>
      <w:lang w:eastAsia="it-IT"/>
    </w:rPr>
  </w:style>
  <w:style w:type="character" w:customStyle="1" w:styleId="99">
    <w:name w:val="Comentário 2 Char"/>
    <w:link w:val="98"/>
    <w:qFormat/>
    <w:uiPriority w:val="0"/>
    <w:rPr>
      <w:rFonts w:ascii="Times New Roman Negrito" w:hAnsi="Times New Roman Negrito" w:eastAsia="MS Mincho" w:cs="Times New Roman"/>
      <w:b/>
      <w:bCs/>
      <w:color w:val="FF0000"/>
      <w:kern w:val="0"/>
      <w:szCs w:val="24"/>
      <w:lang w:val="pt-BR" w:eastAsia="it-IT"/>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2.jpeg"/><Relationship Id="rId27" Type="http://schemas.openxmlformats.org/officeDocument/2006/relationships/theme" Target="theme/theme1.xml"/><Relationship Id="rId26" Type="http://schemas.openxmlformats.org/officeDocument/2006/relationships/header" Target="header19.xml"/><Relationship Id="rId25" Type="http://schemas.openxmlformats.org/officeDocument/2006/relationships/header" Target="header18.xml"/><Relationship Id="rId24" Type="http://schemas.openxmlformats.org/officeDocument/2006/relationships/header" Target="header17.xml"/><Relationship Id="rId23" Type="http://schemas.openxmlformats.org/officeDocument/2006/relationships/header" Target="header16.xml"/><Relationship Id="rId22" Type="http://schemas.openxmlformats.org/officeDocument/2006/relationships/header" Target="header15.xml"/><Relationship Id="rId21" Type="http://schemas.openxmlformats.org/officeDocument/2006/relationships/header" Target="header14.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8FE46C-78FE-4DF5-B531-24BA82FD2468}">
  <ds:schemaRefs/>
</ds:datastoreItem>
</file>

<file path=docProps/app.xml><?xml version="1.0" encoding="utf-8"?>
<Properties xmlns="http://schemas.openxmlformats.org/officeDocument/2006/extended-properties" xmlns:vt="http://schemas.openxmlformats.org/officeDocument/2006/docPropsVTypes">
  <Template>Normal</Template>
  <Pages>157</Pages>
  <Words>46860</Words>
  <Characters>253048</Characters>
  <Lines>2108</Lines>
  <Paragraphs>598</Paragraphs>
  <TotalTime>276</TotalTime>
  <ScaleCrop>false</ScaleCrop>
  <LinksUpToDate>false</LinksUpToDate>
  <CharactersWithSpaces>299310</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2024-10-30T15:26:00Z</dcterms:created>
  <dc:creator>Flores, Jacqueline</dc:creator>
  <cp:lastModifiedBy>paulo.crodelini</cp:lastModifiedBy>
  <cp:lastPrinted>2025-10-17T12:00:00Z</cp:lastPrinted>
  <dcterms:modified xsi:type="dcterms:W3CDTF">2025-11-13T12:08:47Z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A7C6DB03A51E4078BB2BB51E873C88FE_13</vt:lpwstr>
  </property>
</Properties>
</file>