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ascii="Arial" w:hAnsi="Arial" w:cs="Arial" w:eastAsiaTheme="minorEastAsia"/>
          <w:b/>
          <w:sz w:val="21"/>
          <w:szCs w:val="21"/>
        </w:rPr>
        <w:t xml:space="preserve">PREGÃO ELETRÔNICO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030</w:t>
      </w:r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2025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item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“14.”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IV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Ecofont_Spranq_eco_Sans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WenQuanYi Micro Hei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Zurich BT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Times New Roman"/>
    <w:panose1 w:val="00000000000000000000"/>
    <w:charset w:val="00"/>
    <w:family w:val="swiss"/>
    <w:pitch w:val="default"/>
    <w:sig w:usb0="00000000" w:usb1="00000000" w:usb2="00000028" w:usb3="00000000" w:csb0="0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SimSun"/>
    <w:panose1 w:val="020B0604020202020204"/>
    <w:charset w:val="86"/>
    <w:family w:val="auto"/>
    <w:pitch w:val="default"/>
    <w:sig w:usb0="00000000" w:usb1="00000000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53890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60988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5F658D3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6973F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7E2207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4B4B90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8A50B2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9E3FBD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2025-05-21T16:35:00Z</cp:lastPrinted>
  <dcterms:modified xsi:type="dcterms:W3CDTF">2025-07-16T13:53:01Z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