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C3467" w14:textId="3FC55F95" w:rsidR="0056349F" w:rsidRPr="0056349F" w:rsidRDefault="0056349F" w:rsidP="00FC1BFA">
      <w:pPr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56349F">
        <w:rPr>
          <w:rFonts w:ascii="Century Gothic" w:hAnsi="Century Gothic"/>
          <w:b/>
          <w:bCs/>
          <w:sz w:val="18"/>
          <w:szCs w:val="18"/>
          <w:u w:val="single"/>
        </w:rPr>
        <w:t>Análise e Correção da Planilha Orçamentária da PROPONENTE</w:t>
      </w:r>
      <w:r>
        <w:rPr>
          <w:rFonts w:ascii="Century Gothic" w:hAnsi="Century Gothic"/>
          <w:b/>
          <w:bCs/>
          <w:sz w:val="18"/>
          <w:szCs w:val="18"/>
          <w:u w:val="single"/>
        </w:rPr>
        <w:t>:</w:t>
      </w:r>
    </w:p>
    <w:p w14:paraId="45D34F58" w14:textId="77058495" w:rsidR="0056349F" w:rsidRDefault="00FC1BFA" w:rsidP="00FC1BFA">
      <w:pPr>
        <w:jc w:val="both"/>
        <w:rPr>
          <w:rFonts w:ascii="Century Gothic" w:hAnsi="Century Gothic"/>
          <w:sz w:val="18"/>
          <w:szCs w:val="18"/>
        </w:rPr>
      </w:pPr>
      <w:r w:rsidRPr="00FC1BFA">
        <w:rPr>
          <w:rFonts w:ascii="Century Gothic" w:hAnsi="Century Gothic"/>
          <w:sz w:val="18"/>
          <w:szCs w:val="18"/>
        </w:rPr>
        <w:t xml:space="preserve">Em relação a planilha orçamentária fornecida pela </w:t>
      </w:r>
      <w:r w:rsidRPr="00FC1BFA">
        <w:rPr>
          <w:rFonts w:ascii="Century Gothic" w:hAnsi="Century Gothic"/>
          <w:b/>
          <w:bCs/>
          <w:sz w:val="18"/>
          <w:szCs w:val="18"/>
        </w:rPr>
        <w:t>PROPONENTE</w:t>
      </w:r>
      <w:r w:rsidRPr="00FC1BFA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 xml:space="preserve">em </w:t>
      </w:r>
      <w:r w:rsidRPr="00FC1BFA">
        <w:rPr>
          <w:rFonts w:ascii="Century Gothic" w:hAnsi="Century Gothic"/>
          <w:b/>
          <w:bCs/>
          <w:sz w:val="18"/>
          <w:szCs w:val="18"/>
        </w:rPr>
        <w:t>04 de julho de 2024</w:t>
      </w:r>
      <w:r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FC1BFA">
        <w:rPr>
          <w:rFonts w:ascii="Century Gothic" w:hAnsi="Century Gothic"/>
          <w:sz w:val="18"/>
          <w:szCs w:val="18"/>
        </w:rPr>
        <w:t>após reiteração</w:t>
      </w:r>
      <w:r>
        <w:rPr>
          <w:rFonts w:ascii="Century Gothic" w:hAnsi="Century Gothic"/>
          <w:sz w:val="18"/>
          <w:szCs w:val="18"/>
        </w:rPr>
        <w:t xml:space="preserve"> do </w:t>
      </w:r>
      <w:r>
        <w:rPr>
          <w:rFonts w:ascii="Century Gothic" w:hAnsi="Century Gothic"/>
          <w:b/>
          <w:bCs/>
          <w:sz w:val="18"/>
          <w:szCs w:val="18"/>
        </w:rPr>
        <w:t>PREGOEIRO</w:t>
      </w:r>
      <w:r>
        <w:rPr>
          <w:rFonts w:ascii="Century Gothic" w:hAnsi="Century Gothic"/>
          <w:sz w:val="18"/>
          <w:szCs w:val="18"/>
        </w:rPr>
        <w:t xml:space="preserve"> </w:t>
      </w:r>
      <w:r w:rsidR="0056349F">
        <w:rPr>
          <w:rFonts w:ascii="Century Gothic" w:hAnsi="Century Gothic"/>
          <w:sz w:val="18"/>
          <w:szCs w:val="18"/>
        </w:rPr>
        <w:t xml:space="preserve">sobre a necessidade de sanear erros materiais identificados nas composições de preços e formulações do documento apresentado no processo licitatório, que culminou no </w:t>
      </w:r>
      <w:r w:rsidR="0056349F" w:rsidRPr="0056349F">
        <w:rPr>
          <w:rFonts w:ascii="Century Gothic" w:hAnsi="Century Gothic"/>
          <w:b/>
          <w:bCs/>
          <w:sz w:val="18"/>
          <w:szCs w:val="18"/>
        </w:rPr>
        <w:t>valor final ofertado de $ 28.980.409,30</w:t>
      </w:r>
      <w:r w:rsidR="0056349F">
        <w:rPr>
          <w:rFonts w:ascii="Century Gothic" w:hAnsi="Century Gothic"/>
          <w:sz w:val="18"/>
          <w:szCs w:val="18"/>
        </w:rPr>
        <w:t xml:space="preserve">, foram observadas divergências significativas. </w:t>
      </w:r>
      <w:r w:rsidR="0056349F" w:rsidRPr="0056349F">
        <w:rPr>
          <w:rFonts w:ascii="Century Gothic" w:hAnsi="Century Gothic"/>
          <w:sz w:val="18"/>
          <w:szCs w:val="18"/>
        </w:rPr>
        <w:t>Essas inconsistências envolvem ausência de encargos trabalhistas, quantitativos desconexos com a realidade e aspectos tributários não verificados, que alteram substancialmente os valores propostos.</w:t>
      </w:r>
    </w:p>
    <w:p w14:paraId="18B9E5C7" w14:textId="7E324352" w:rsidR="0056349F" w:rsidRDefault="0056349F" w:rsidP="00FC1BFA">
      <w:pPr>
        <w:jc w:val="both"/>
        <w:rPr>
          <w:rFonts w:ascii="Century Gothic" w:hAnsi="Century Gothic"/>
          <w:sz w:val="18"/>
          <w:szCs w:val="18"/>
        </w:rPr>
      </w:pPr>
      <w:r w:rsidRPr="0056349F">
        <w:rPr>
          <w:rFonts w:ascii="Century Gothic" w:hAnsi="Century Gothic"/>
          <w:sz w:val="18"/>
          <w:szCs w:val="18"/>
        </w:rPr>
        <w:t>As correções de planilhas orçamentárias e propostas comerciais devem seguir rigor documental e os princípios estabelecidos pela Lei Federal nº 14.133/2021, garantindo a competitividade e isonomia do processo licitatório.</w:t>
      </w:r>
    </w:p>
    <w:p w14:paraId="30F388B2" w14:textId="6421934E" w:rsidR="0056349F" w:rsidRDefault="0056349F" w:rsidP="00FC1BFA">
      <w:pPr>
        <w:jc w:val="both"/>
        <w:rPr>
          <w:rFonts w:ascii="Century Gothic" w:hAnsi="Century Gothic"/>
          <w:sz w:val="18"/>
          <w:szCs w:val="18"/>
        </w:rPr>
      </w:pPr>
      <w:r w:rsidRPr="0056349F">
        <w:rPr>
          <w:rFonts w:ascii="Century Gothic" w:hAnsi="Century Gothic"/>
          <w:sz w:val="18"/>
          <w:szCs w:val="18"/>
        </w:rPr>
        <w:t xml:space="preserve">No caso específico de </w:t>
      </w:r>
      <w:r w:rsidRPr="0056349F">
        <w:rPr>
          <w:rFonts w:ascii="Century Gothic" w:hAnsi="Century Gothic"/>
          <w:b/>
          <w:bCs/>
          <w:sz w:val="18"/>
          <w:szCs w:val="18"/>
        </w:rPr>
        <w:t>erro material</w:t>
      </w:r>
      <w:r w:rsidRPr="0056349F">
        <w:rPr>
          <w:rFonts w:ascii="Century Gothic" w:hAnsi="Century Gothic"/>
          <w:sz w:val="18"/>
          <w:szCs w:val="18"/>
        </w:rPr>
        <w:t>, a Lei nº 14.133/2021 define como erro material aqueles evidentes e inequívocos que não afetam o conteúdo substancial da proposta, sendo passíveis de correção sem prejuízo ao princípio da isonomia. Essas correções podem ser realizadas durante a fase de julgamento das propostas, desde que não alterem a substância da proposta originalmente apresentada.</w:t>
      </w:r>
    </w:p>
    <w:p w14:paraId="0A36096D" w14:textId="05AB91C7" w:rsidR="0056349F" w:rsidRPr="0056349F" w:rsidRDefault="0056349F" w:rsidP="00FC1BFA">
      <w:pPr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56349F">
        <w:rPr>
          <w:rFonts w:ascii="Century Gothic" w:hAnsi="Century Gothic"/>
          <w:b/>
          <w:bCs/>
          <w:sz w:val="18"/>
          <w:szCs w:val="18"/>
          <w:u w:val="single"/>
        </w:rPr>
        <w:t>Jurisprudências Relevante:</w:t>
      </w:r>
    </w:p>
    <w:p w14:paraId="4F083B8A" w14:textId="2654470A" w:rsidR="00FC1BFA" w:rsidRPr="00FC1BFA" w:rsidRDefault="00FC1BFA" w:rsidP="00FC1BFA">
      <w:pPr>
        <w:jc w:val="both"/>
        <w:rPr>
          <w:rFonts w:ascii="Century Gothic" w:hAnsi="Century Gothic"/>
          <w:sz w:val="18"/>
          <w:szCs w:val="18"/>
        </w:rPr>
      </w:pPr>
      <w:r w:rsidRPr="00FC1BFA">
        <w:rPr>
          <w:rFonts w:ascii="Century Gothic" w:hAnsi="Century Gothic"/>
          <w:sz w:val="18"/>
          <w:szCs w:val="18"/>
        </w:rPr>
        <w:t>Quanto ao tema, cabe verificar a emenda do Acórdão TCU nº 1.211/2021 – Plenário:</w:t>
      </w:r>
    </w:p>
    <w:p w14:paraId="71A3E08E" w14:textId="233BDE93" w:rsidR="00FC1BFA" w:rsidRPr="00FC1BFA" w:rsidRDefault="00FC1BFA" w:rsidP="00D95846">
      <w:pPr>
        <w:shd w:val="clear" w:color="auto" w:fill="D9D9D9" w:themeFill="background1" w:themeFillShade="D9"/>
        <w:ind w:left="2832"/>
        <w:jc w:val="both"/>
        <w:rPr>
          <w:rFonts w:ascii="Century Gothic" w:hAnsi="Century Gothic"/>
          <w:sz w:val="18"/>
          <w:szCs w:val="18"/>
        </w:rPr>
      </w:pPr>
      <w:r w:rsidRPr="00FC1BFA">
        <w:rPr>
          <w:rFonts w:ascii="Century Gothic" w:hAnsi="Century Gothic"/>
          <w:sz w:val="18"/>
          <w:szCs w:val="18"/>
        </w:rPr>
        <w:t>“</w:t>
      </w:r>
      <w:r w:rsidRPr="00971B94">
        <w:rPr>
          <w:rFonts w:ascii="Century Gothic" w:hAnsi="Century Gothic"/>
          <w:b/>
          <w:bCs/>
          <w:sz w:val="18"/>
          <w:szCs w:val="18"/>
        </w:rPr>
        <w:t>Admitir a juntada</w:t>
      </w:r>
      <w:r w:rsidRPr="00FC1BFA">
        <w:rPr>
          <w:rFonts w:ascii="Century Gothic" w:hAnsi="Century Gothic"/>
          <w:sz w:val="18"/>
          <w:szCs w:val="18"/>
        </w:rPr>
        <w:t xml:space="preserve"> de documentos que apenas venham a </w:t>
      </w:r>
      <w:r w:rsidRPr="00971B94">
        <w:rPr>
          <w:rFonts w:ascii="Century Gothic" w:hAnsi="Century Gothic"/>
          <w:b/>
          <w:bCs/>
          <w:sz w:val="18"/>
          <w:szCs w:val="18"/>
        </w:rPr>
        <w:t>atestar condição pré-existente</w:t>
      </w:r>
      <w:r w:rsidRPr="00FC1BFA">
        <w:rPr>
          <w:rFonts w:ascii="Century Gothic" w:hAnsi="Century Gothic"/>
          <w:sz w:val="18"/>
          <w:szCs w:val="18"/>
        </w:rPr>
        <w:t xml:space="preserve"> à abertura da sessão pública do certame </w:t>
      </w:r>
      <w:r w:rsidRPr="00971B94">
        <w:rPr>
          <w:rFonts w:ascii="Century Gothic" w:hAnsi="Century Gothic"/>
          <w:b/>
          <w:bCs/>
          <w:sz w:val="18"/>
          <w:szCs w:val="18"/>
        </w:rPr>
        <w:t>não fere os princípios</w:t>
      </w:r>
      <w:r w:rsidRPr="00FC1BFA">
        <w:rPr>
          <w:rFonts w:ascii="Century Gothic" w:hAnsi="Century Gothic"/>
          <w:sz w:val="18"/>
          <w:szCs w:val="18"/>
        </w:rPr>
        <w:t xml:space="preserve"> da isonomia e igualdade entre as licitantes e o oposto, ou seja, a desclassificação do licitante, sem que lhe seja conferida oportunidade para sanear os seus documentos de habilitação e/ou proposta, resulta em objetivo dissociado do interesse público, com a prevalência do processo (meio) sobre o resultado almejado (fim).</w:t>
      </w:r>
    </w:p>
    <w:p w14:paraId="2FF5537B" w14:textId="48BBCFFA" w:rsidR="00FC1BFA" w:rsidRDefault="00FC1BFA" w:rsidP="00D95846">
      <w:pPr>
        <w:shd w:val="clear" w:color="auto" w:fill="D9D9D9" w:themeFill="background1" w:themeFillShade="D9"/>
        <w:spacing w:after="0"/>
        <w:ind w:left="2832"/>
        <w:jc w:val="both"/>
        <w:rPr>
          <w:rFonts w:ascii="Century Gothic" w:hAnsi="Century Gothic"/>
          <w:sz w:val="18"/>
          <w:szCs w:val="18"/>
        </w:rPr>
      </w:pPr>
      <w:r w:rsidRPr="00971B94">
        <w:rPr>
          <w:rFonts w:ascii="Century Gothic" w:hAnsi="Century Gothic"/>
          <w:b/>
          <w:bCs/>
          <w:sz w:val="18"/>
          <w:szCs w:val="18"/>
        </w:rPr>
        <w:t>O pregoeiro</w:t>
      </w:r>
      <w:r w:rsidRPr="00FC1BFA">
        <w:rPr>
          <w:rFonts w:ascii="Century Gothic" w:hAnsi="Century Gothic"/>
          <w:sz w:val="18"/>
          <w:szCs w:val="18"/>
        </w:rPr>
        <w:t xml:space="preserve">, durante as fases de julgamento das propostas e/ou habilitação, </w:t>
      </w:r>
      <w:r w:rsidRPr="00971B94">
        <w:rPr>
          <w:rFonts w:ascii="Century Gothic" w:hAnsi="Century Gothic"/>
          <w:b/>
          <w:bCs/>
          <w:sz w:val="18"/>
          <w:szCs w:val="18"/>
        </w:rPr>
        <w:t>deve sanear</w:t>
      </w:r>
      <w:r w:rsidRPr="00FC1BFA">
        <w:rPr>
          <w:rFonts w:ascii="Century Gothic" w:hAnsi="Century Gothic"/>
          <w:sz w:val="18"/>
          <w:szCs w:val="18"/>
        </w:rPr>
        <w:t xml:space="preserve"> eventuais erros ou falhas que não alterem a substância das propostas, dos documentos e sua validade jurídica, mediante decisão fundamentada, registrada em ata e acessível aos licitantes, nos termos dos </w:t>
      </w:r>
      <w:proofErr w:type="spellStart"/>
      <w:r w:rsidRPr="00FC1BFA">
        <w:rPr>
          <w:rFonts w:ascii="Century Gothic" w:hAnsi="Century Gothic"/>
          <w:sz w:val="18"/>
          <w:szCs w:val="18"/>
        </w:rPr>
        <w:t>arts</w:t>
      </w:r>
      <w:proofErr w:type="spellEnd"/>
      <w:r w:rsidRPr="00FC1BFA">
        <w:rPr>
          <w:rFonts w:ascii="Century Gothic" w:hAnsi="Century Gothic"/>
          <w:sz w:val="18"/>
          <w:szCs w:val="18"/>
        </w:rPr>
        <w:t xml:space="preserve">. 8º, inciso XII, alínea "h"; 17, inciso VI; e 47 do Decreto 10.024/2019; sendo que a </w:t>
      </w:r>
      <w:r w:rsidRPr="00971B94">
        <w:rPr>
          <w:rFonts w:ascii="Century Gothic" w:hAnsi="Century Gothic"/>
          <w:b/>
          <w:bCs/>
          <w:sz w:val="18"/>
          <w:szCs w:val="18"/>
        </w:rPr>
        <w:t>vedação à inclusão de novo documento</w:t>
      </w:r>
      <w:r w:rsidRPr="00FC1BFA">
        <w:rPr>
          <w:rFonts w:ascii="Century Gothic" w:hAnsi="Century Gothic"/>
          <w:sz w:val="18"/>
          <w:szCs w:val="18"/>
        </w:rPr>
        <w:t xml:space="preserve">, prevista no art. 43, §3º, da Lei 8.666/1993 e no art. 64 da Nova Lei de Licitações (Lei 14.133/2021), </w:t>
      </w:r>
      <w:r w:rsidR="00971B94" w:rsidRPr="00971B94">
        <w:rPr>
          <w:rFonts w:ascii="Century Gothic" w:hAnsi="Century Gothic"/>
          <w:b/>
          <w:bCs/>
          <w:sz w:val="18"/>
          <w:szCs w:val="18"/>
        </w:rPr>
        <w:t xml:space="preserve">NÃO ALCANÇA </w:t>
      </w:r>
      <w:r w:rsidRPr="00971B94">
        <w:rPr>
          <w:rFonts w:ascii="Century Gothic" w:hAnsi="Century Gothic"/>
          <w:b/>
          <w:bCs/>
          <w:sz w:val="18"/>
          <w:szCs w:val="18"/>
        </w:rPr>
        <w:t>documento ausente, comprobatório de condição atendida pelo licitante quando apresentou sua proposta, que não foi juntado com os demais comprovantes de habilitação e/ou da proposta, por equívoco ou falha, o qual deverá ser solicitado e avaliado pelo pregoeiro.</w:t>
      </w:r>
      <w:r w:rsidRPr="00FC1BFA">
        <w:rPr>
          <w:rFonts w:ascii="Century Gothic" w:hAnsi="Century Gothic"/>
          <w:sz w:val="18"/>
          <w:szCs w:val="18"/>
        </w:rPr>
        <w:t>”</w:t>
      </w:r>
    </w:p>
    <w:p w14:paraId="2B27FE74" w14:textId="4531A5E8" w:rsidR="00971B94" w:rsidRDefault="00971B94" w:rsidP="00D95846">
      <w:pPr>
        <w:shd w:val="clear" w:color="auto" w:fill="D9D9D9" w:themeFill="background1" w:themeFillShade="D9"/>
        <w:ind w:left="2832"/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(grifo nosso)</w:t>
      </w:r>
    </w:p>
    <w:p w14:paraId="14E04F78" w14:textId="7B5E984C" w:rsidR="0056349F" w:rsidRPr="0056349F" w:rsidRDefault="0056349F" w:rsidP="00971B94">
      <w:pPr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56349F">
        <w:rPr>
          <w:rFonts w:ascii="Century Gothic" w:hAnsi="Century Gothic"/>
          <w:b/>
          <w:bCs/>
          <w:sz w:val="18"/>
          <w:szCs w:val="18"/>
          <w:u w:val="single"/>
        </w:rPr>
        <w:t>Análise das Divergências:</w:t>
      </w:r>
    </w:p>
    <w:p w14:paraId="2C033F61" w14:textId="733FD82B" w:rsidR="0002349F" w:rsidRDefault="0056349F" w:rsidP="00971B94">
      <w:pPr>
        <w:jc w:val="both"/>
        <w:rPr>
          <w:rFonts w:ascii="Century Gothic" w:hAnsi="Century Gothic"/>
          <w:sz w:val="18"/>
          <w:szCs w:val="18"/>
        </w:rPr>
      </w:pPr>
      <w:r w:rsidRPr="0056349F">
        <w:rPr>
          <w:rFonts w:ascii="Century Gothic" w:hAnsi="Century Gothic"/>
          <w:sz w:val="18"/>
          <w:szCs w:val="18"/>
        </w:rPr>
        <w:t xml:space="preserve">Segue a juntada da planilha orçamentária fornecida pela PROPONENTE, empresa CASSAROTI, em </w:t>
      </w:r>
      <w:r w:rsidRPr="0056349F">
        <w:rPr>
          <w:rFonts w:ascii="Century Gothic" w:hAnsi="Century Gothic"/>
          <w:b/>
          <w:bCs/>
          <w:sz w:val="18"/>
          <w:szCs w:val="18"/>
        </w:rPr>
        <w:t>04 de julho de 2024</w:t>
      </w:r>
      <w:r w:rsidRPr="0056349F">
        <w:rPr>
          <w:rFonts w:ascii="Century Gothic" w:hAnsi="Century Gothic"/>
          <w:sz w:val="18"/>
          <w:szCs w:val="18"/>
        </w:rPr>
        <w:t xml:space="preserve">, e o </w:t>
      </w:r>
      <w:r w:rsidRPr="0056349F">
        <w:rPr>
          <w:rFonts w:ascii="Century Gothic" w:hAnsi="Century Gothic"/>
          <w:b/>
          <w:bCs/>
          <w:sz w:val="18"/>
          <w:szCs w:val="18"/>
        </w:rPr>
        <w:t>comparativo com as adequações obrigatórias que refletem a diferença entre a planilha orçamentária e o valor final ofertado</w:t>
      </w:r>
      <w:r w:rsidRPr="0056349F">
        <w:rPr>
          <w:rFonts w:ascii="Century Gothic" w:hAnsi="Century Gothic"/>
          <w:sz w:val="18"/>
          <w:szCs w:val="18"/>
        </w:rPr>
        <w:t>. As divergências observadas comprometem o montante final da proposta e indicam inconsistências que violam os princípios de transparência e competitividade do processo licitatório, especialmente no que se refere à previsão adequada de encargos para a composição da mão de obra das diferentes classes de profissionais previstas no certame. Tais divergências, verificadas pela Administração, indicam erro material insanável e desvio significativo.</w:t>
      </w:r>
      <w:r w:rsidR="0002349F">
        <w:rPr>
          <w:rFonts w:ascii="Century Gothic" w:hAnsi="Century Gothic"/>
          <w:sz w:val="18"/>
          <w:szCs w:val="18"/>
        </w:rPr>
        <w:br w:type="page"/>
      </w:r>
    </w:p>
    <w:p w14:paraId="47EBEDE9" w14:textId="743C4B8B" w:rsidR="0002349F" w:rsidRPr="00232CFE" w:rsidRDefault="0002349F" w:rsidP="00971B94">
      <w:pPr>
        <w:jc w:val="both"/>
        <w:rPr>
          <w:rFonts w:ascii="Century Gothic" w:hAnsi="Century Gothic"/>
          <w:b/>
          <w:bCs/>
          <w:sz w:val="18"/>
          <w:szCs w:val="18"/>
        </w:rPr>
      </w:pPr>
      <w:r w:rsidRPr="00232CFE">
        <w:rPr>
          <w:rFonts w:ascii="Century Gothic" w:hAnsi="Century Gothic"/>
          <w:b/>
          <w:bCs/>
          <w:sz w:val="18"/>
          <w:szCs w:val="18"/>
        </w:rPr>
        <w:lastRenderedPageBreak/>
        <w:t xml:space="preserve">Comparativo da aba </w:t>
      </w:r>
      <w:r w:rsidR="00232CFE">
        <w:rPr>
          <w:rFonts w:ascii="Century Gothic" w:hAnsi="Century Gothic"/>
          <w:b/>
          <w:bCs/>
          <w:sz w:val="18"/>
          <w:szCs w:val="18"/>
        </w:rPr>
        <w:t>“</w:t>
      </w:r>
      <w:r w:rsidRPr="00232CFE">
        <w:rPr>
          <w:rFonts w:ascii="Century Gothic" w:hAnsi="Century Gothic"/>
          <w:b/>
          <w:bCs/>
          <w:sz w:val="18"/>
          <w:szCs w:val="18"/>
        </w:rPr>
        <w:t xml:space="preserve">(1) </w:t>
      </w:r>
      <w:proofErr w:type="spellStart"/>
      <w:r w:rsidRPr="00232CFE">
        <w:rPr>
          <w:rFonts w:ascii="Century Gothic" w:hAnsi="Century Gothic"/>
          <w:b/>
          <w:bCs/>
          <w:sz w:val="18"/>
          <w:szCs w:val="18"/>
        </w:rPr>
        <w:t>Plan_Cotação</w:t>
      </w:r>
      <w:proofErr w:type="spellEnd"/>
      <w:r w:rsidRPr="00232CFE">
        <w:rPr>
          <w:rFonts w:ascii="Century Gothic" w:hAnsi="Century Gothic"/>
          <w:b/>
          <w:bCs/>
          <w:sz w:val="18"/>
          <w:szCs w:val="18"/>
        </w:rPr>
        <w:t xml:space="preserve"> (Anual)</w:t>
      </w:r>
      <w:r w:rsidR="00232CFE">
        <w:rPr>
          <w:rFonts w:ascii="Century Gothic" w:hAnsi="Century Gothic"/>
          <w:b/>
          <w:bCs/>
          <w:sz w:val="18"/>
          <w:szCs w:val="18"/>
        </w:rPr>
        <w:t>”</w:t>
      </w:r>
      <w:r w:rsidRPr="00232CFE">
        <w:rPr>
          <w:rFonts w:ascii="Century Gothic" w:hAnsi="Century Gothic"/>
          <w:b/>
          <w:bCs/>
          <w:sz w:val="18"/>
          <w:szCs w:val="18"/>
        </w:rPr>
        <w:t>:</w:t>
      </w:r>
    </w:p>
    <w:p w14:paraId="1CF27D0F" w14:textId="77777777" w:rsidR="0002349F" w:rsidRDefault="0002349F" w:rsidP="0002349F">
      <w:pPr>
        <w:keepNext/>
        <w:spacing w:after="0"/>
        <w:jc w:val="both"/>
      </w:pPr>
      <w:r w:rsidRPr="0002349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4905E607" wp14:editId="39B9BF1A">
            <wp:extent cx="5400000" cy="3465771"/>
            <wp:effectExtent l="19050" t="19050" r="10795" b="20955"/>
            <wp:docPr id="1431434901" name="Imagem 1" descr="Uma imagem contendo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434901" name="Imagem 1" descr="Uma imagem contendo Texto&#10;&#10;Descrição gerad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465771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2E17C88" w14:textId="5A1A8923" w:rsidR="00E27D88" w:rsidRPr="0002349F" w:rsidRDefault="0002349F" w:rsidP="0002349F">
      <w:pPr>
        <w:pStyle w:val="Legenda"/>
      </w:pPr>
      <w:r w:rsidRPr="0002349F">
        <w:t xml:space="preserve">Figura </w:t>
      </w:r>
      <w:fldSimple w:instr=" SEQ Figura \* ARABIC ">
        <w:r>
          <w:rPr>
            <w:noProof/>
          </w:rPr>
          <w:t>1</w:t>
        </w:r>
      </w:fldSimple>
      <w:r w:rsidRPr="0002349F">
        <w:t xml:space="preserve"> – </w:t>
      </w:r>
      <w:r w:rsidR="00037937">
        <w:t>Aba</w:t>
      </w:r>
      <w:r w:rsidR="00037937" w:rsidRPr="00037937">
        <w:t xml:space="preserve"> “(1) </w:t>
      </w:r>
      <w:proofErr w:type="spellStart"/>
      <w:r w:rsidR="00037937" w:rsidRPr="00037937">
        <w:t>Plan_Cotação</w:t>
      </w:r>
      <w:proofErr w:type="spellEnd"/>
      <w:r w:rsidR="00037937" w:rsidRPr="00037937">
        <w:t xml:space="preserve"> (Anual)”</w:t>
      </w:r>
      <w:r w:rsidR="00037937">
        <w:t xml:space="preserve"> da planilha</w:t>
      </w:r>
      <w:r w:rsidRPr="0002349F">
        <w:t xml:space="preserve"> apresentada pela PROPONENTE.</w:t>
      </w:r>
    </w:p>
    <w:p w14:paraId="557FDAE1" w14:textId="77777777" w:rsidR="0002349F" w:rsidRDefault="0002349F" w:rsidP="0002349F">
      <w:pPr>
        <w:keepNext/>
        <w:spacing w:after="0"/>
        <w:jc w:val="both"/>
      </w:pPr>
      <w:r w:rsidRPr="0002349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330F39D4" wp14:editId="3AA992B9">
            <wp:extent cx="5400000" cy="3279826"/>
            <wp:effectExtent l="19050" t="19050" r="10795" b="15875"/>
            <wp:docPr id="2018478798" name="Imagem 1" descr="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478798" name="Imagem 1" descr="Interface gráfica do usuário&#10;&#10;Descrição gerada automa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27982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0AC282" w14:textId="5A431D65" w:rsidR="0002349F" w:rsidRDefault="0002349F" w:rsidP="0002349F">
      <w:pPr>
        <w:pStyle w:val="Legenda"/>
      </w:pPr>
      <w:r>
        <w:t xml:space="preserve">Figura </w:t>
      </w:r>
      <w:fldSimple w:instr=" SEQ Figura \* ARABIC ">
        <w:r>
          <w:rPr>
            <w:noProof/>
          </w:rPr>
          <w:t>2</w:t>
        </w:r>
      </w:fldSimple>
      <w:r>
        <w:t xml:space="preserve"> - </w:t>
      </w:r>
      <w:r w:rsidR="00037937">
        <w:t>Aba</w:t>
      </w:r>
      <w:r w:rsidR="00037937" w:rsidRPr="00037937">
        <w:t xml:space="preserve"> “(1) </w:t>
      </w:r>
      <w:proofErr w:type="spellStart"/>
      <w:r w:rsidR="00037937" w:rsidRPr="00037937">
        <w:t>Plan_Cotação</w:t>
      </w:r>
      <w:proofErr w:type="spellEnd"/>
      <w:r w:rsidR="00037937" w:rsidRPr="00037937">
        <w:t xml:space="preserve"> (Anual)”</w:t>
      </w:r>
      <w:r w:rsidR="00037937">
        <w:t xml:space="preserve"> da p</w:t>
      </w:r>
      <w:r w:rsidRPr="0002349F">
        <w:t xml:space="preserve">lanilha </w:t>
      </w:r>
      <w:r>
        <w:t>com as correções verificadas pela PMTL.</w:t>
      </w:r>
    </w:p>
    <w:p w14:paraId="38ED97A0" w14:textId="68D9FE76" w:rsidR="0056349F" w:rsidRDefault="0056349F" w:rsidP="0002349F">
      <w:pPr>
        <w:jc w:val="both"/>
        <w:rPr>
          <w:rFonts w:ascii="Century Gothic" w:hAnsi="Century Gothic"/>
          <w:sz w:val="18"/>
          <w:szCs w:val="18"/>
        </w:rPr>
      </w:pPr>
      <w:r w:rsidRPr="0056349F">
        <w:rPr>
          <w:rFonts w:ascii="Century Gothic" w:hAnsi="Century Gothic"/>
          <w:sz w:val="18"/>
          <w:szCs w:val="18"/>
        </w:rPr>
        <w:t xml:space="preserve">Nota-se uma divergência de </w:t>
      </w:r>
      <w:r w:rsidRPr="0056349F">
        <w:rPr>
          <w:rFonts w:ascii="Century Gothic" w:hAnsi="Century Gothic"/>
          <w:b/>
          <w:bCs/>
          <w:sz w:val="18"/>
          <w:szCs w:val="18"/>
        </w:rPr>
        <w:t>R$ 122.942,05</w:t>
      </w:r>
      <w:r w:rsidRPr="0056349F">
        <w:rPr>
          <w:rFonts w:ascii="Century Gothic" w:hAnsi="Century Gothic"/>
          <w:sz w:val="18"/>
          <w:szCs w:val="18"/>
        </w:rPr>
        <w:t xml:space="preserve"> em relação à proposta ofertada pela PROPONENTE. Essa inconsistência resulta de erros, incluindo a não consideração de encargos trabalhistas e cálculos indevidos nas composições de mão de obra, violando os princípios de transparência e competitividade do processo licitatório.</w:t>
      </w:r>
    </w:p>
    <w:p w14:paraId="36F6E7AC" w14:textId="50EE228D" w:rsidR="00232CFE" w:rsidRPr="00232CFE" w:rsidRDefault="00232CFE" w:rsidP="00232CFE">
      <w:pPr>
        <w:jc w:val="both"/>
        <w:rPr>
          <w:rFonts w:ascii="Century Gothic" w:hAnsi="Century Gothic"/>
          <w:b/>
          <w:bCs/>
          <w:sz w:val="18"/>
          <w:szCs w:val="18"/>
        </w:rPr>
      </w:pPr>
      <w:r w:rsidRPr="00232CFE">
        <w:rPr>
          <w:rFonts w:ascii="Century Gothic" w:hAnsi="Century Gothic"/>
          <w:b/>
          <w:bCs/>
          <w:sz w:val="18"/>
          <w:szCs w:val="18"/>
        </w:rPr>
        <w:t xml:space="preserve">Comparativo da aba “(C) </w:t>
      </w:r>
      <w:proofErr w:type="spellStart"/>
      <w:r w:rsidRPr="00232CFE">
        <w:rPr>
          <w:rFonts w:ascii="Century Gothic" w:hAnsi="Century Gothic"/>
          <w:b/>
          <w:bCs/>
          <w:sz w:val="18"/>
          <w:szCs w:val="18"/>
        </w:rPr>
        <w:t>MO_Logística</w:t>
      </w:r>
      <w:proofErr w:type="spellEnd"/>
      <w:r w:rsidRPr="00232CFE">
        <w:rPr>
          <w:rFonts w:ascii="Century Gothic" w:hAnsi="Century Gothic"/>
          <w:b/>
          <w:bCs/>
          <w:sz w:val="18"/>
          <w:szCs w:val="18"/>
        </w:rPr>
        <w:t>”:</w:t>
      </w:r>
    </w:p>
    <w:p w14:paraId="0A48D065" w14:textId="77628EC9" w:rsidR="00232CFE" w:rsidRPr="00617C87" w:rsidRDefault="00617C87" w:rsidP="00617C87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617C87">
        <w:rPr>
          <w:rFonts w:ascii="Century Gothic" w:hAnsi="Century Gothic"/>
          <w:sz w:val="18"/>
          <w:szCs w:val="18"/>
        </w:rPr>
        <w:t xml:space="preserve">No Módulo 2 – Encargos e Benefícios (Submódulo 2 – Encargos Previdenciários, FGTS e outras contribuições) </w:t>
      </w:r>
      <w:r w:rsidRPr="00617C87">
        <w:rPr>
          <w:rFonts w:ascii="Century Gothic" w:hAnsi="Century Gothic"/>
          <w:b/>
          <w:bCs/>
          <w:sz w:val="18"/>
          <w:szCs w:val="18"/>
        </w:rPr>
        <w:t xml:space="preserve">não foram calculados os encargos para o 13º salários e adicional </w:t>
      </w:r>
      <w:r w:rsidRPr="00617C87">
        <w:rPr>
          <w:rFonts w:ascii="Century Gothic" w:hAnsi="Century Gothic"/>
          <w:b/>
          <w:bCs/>
          <w:sz w:val="18"/>
          <w:szCs w:val="18"/>
        </w:rPr>
        <w:lastRenderedPageBreak/>
        <w:t>de férias</w:t>
      </w:r>
      <w:r w:rsidRPr="00617C87">
        <w:rPr>
          <w:rFonts w:ascii="Century Gothic" w:hAnsi="Century Gothic"/>
          <w:sz w:val="18"/>
          <w:szCs w:val="18"/>
        </w:rPr>
        <w:t xml:space="preserve">. Verifica-se que a </w:t>
      </w:r>
      <w:r w:rsidRPr="00617C87">
        <w:rPr>
          <w:rFonts w:ascii="Century Gothic" w:hAnsi="Century Gothic"/>
          <w:b/>
          <w:bCs/>
          <w:sz w:val="18"/>
          <w:szCs w:val="18"/>
        </w:rPr>
        <w:t>PROPONENTE</w:t>
      </w:r>
      <w:r w:rsidRPr="00617C87">
        <w:rPr>
          <w:rFonts w:ascii="Century Gothic" w:hAnsi="Century Gothic"/>
          <w:sz w:val="18"/>
          <w:szCs w:val="18"/>
        </w:rPr>
        <w:t xml:space="preserve"> considerou a incidência dos encargos previdenciários, FGTS e outras contribuições somente sobre o “Total da remuneração” (Módulo 1), enquanto o correto seria considerar o somatório </w:t>
      </w:r>
      <w:r>
        <w:rPr>
          <w:rFonts w:ascii="Century Gothic" w:hAnsi="Century Gothic"/>
          <w:sz w:val="18"/>
          <w:szCs w:val="18"/>
        </w:rPr>
        <w:t>entre este e os valores do “Subtotal do 13º salário e adicional e férias” (Módulo 2, Submódulo 1). Vejamos:</w:t>
      </w:r>
    </w:p>
    <w:p w14:paraId="214880E5" w14:textId="2F2144FE" w:rsidR="0002349F" w:rsidRDefault="00617C87" w:rsidP="00617C87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617C87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2A609679" wp14:editId="453E3ECC">
            <wp:extent cx="5400040" cy="2510155"/>
            <wp:effectExtent l="19050" t="19050" r="10160" b="23495"/>
            <wp:docPr id="676605135" name="Imagem 1" descr="Tabel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605135" name="Imagem 1" descr="Tabela&#10;&#10;Descrição gerada automaticamente com confiança média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015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B32CED" w14:textId="76EB3A3A" w:rsidR="00617C87" w:rsidRPr="0002349F" w:rsidRDefault="00617C87" w:rsidP="00617C87">
      <w:pPr>
        <w:pStyle w:val="Legenda"/>
      </w:pPr>
      <w:r w:rsidRPr="0002349F">
        <w:t xml:space="preserve">Figura </w:t>
      </w:r>
      <w:fldSimple w:instr=" SEQ Figura \* ARABIC ">
        <w:r>
          <w:rPr>
            <w:noProof/>
          </w:rPr>
          <w:t>1</w:t>
        </w:r>
      </w:fldSimple>
      <w:r w:rsidRPr="0002349F">
        <w:t xml:space="preserve"> – </w:t>
      </w:r>
      <w:r w:rsidR="00037937">
        <w:t xml:space="preserve">Aba </w:t>
      </w:r>
      <w:r w:rsidR="00037937" w:rsidRPr="00037937">
        <w:t xml:space="preserve">“(C) </w:t>
      </w:r>
      <w:proofErr w:type="spellStart"/>
      <w:r w:rsidR="00037937" w:rsidRPr="00037937">
        <w:t>MO_Logística</w:t>
      </w:r>
      <w:proofErr w:type="spellEnd"/>
      <w:r w:rsidR="00037937" w:rsidRPr="00037937">
        <w:t>”</w:t>
      </w:r>
      <w:r w:rsidR="00037937">
        <w:t>, Módulo 2, da p</w:t>
      </w:r>
      <w:r w:rsidRPr="0002349F">
        <w:t>lanilha apresentada pela PROPONENTE.</w:t>
      </w:r>
    </w:p>
    <w:p w14:paraId="5E15E7AB" w14:textId="0E8BAFEC" w:rsidR="00617C87" w:rsidRDefault="00617C87" w:rsidP="00617C87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617C87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1FE8A483" wp14:editId="7CFFA5A8">
            <wp:extent cx="5400040" cy="2482850"/>
            <wp:effectExtent l="19050" t="19050" r="10160" b="12700"/>
            <wp:docPr id="1651470885" name="Imagem 1" descr="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470885" name="Imagem 1" descr="Tabela&#10;&#10;Descrição gerada automa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8285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49B737" w14:textId="7C8569C7" w:rsidR="00617C87" w:rsidRDefault="00617C87" w:rsidP="00617C87">
      <w:pPr>
        <w:pStyle w:val="Legenda"/>
      </w:pPr>
      <w:r>
        <w:t xml:space="preserve">Figura </w:t>
      </w:r>
      <w:fldSimple w:instr=" SEQ Figura \* ARABIC ">
        <w:r>
          <w:rPr>
            <w:noProof/>
          </w:rPr>
          <w:t>2</w:t>
        </w:r>
      </w:fldSimple>
      <w:r>
        <w:t xml:space="preserve"> - </w:t>
      </w:r>
      <w:r w:rsidR="00037937">
        <w:t xml:space="preserve">Aba </w:t>
      </w:r>
      <w:r w:rsidR="00037937" w:rsidRPr="00037937">
        <w:t xml:space="preserve">“(C) </w:t>
      </w:r>
      <w:proofErr w:type="spellStart"/>
      <w:r w:rsidR="00037937" w:rsidRPr="00037937">
        <w:t>MO_Logística</w:t>
      </w:r>
      <w:proofErr w:type="spellEnd"/>
      <w:r w:rsidR="00037937" w:rsidRPr="00037937">
        <w:t>”</w:t>
      </w:r>
      <w:r w:rsidR="00037937">
        <w:t>, Módulo 2, da p</w:t>
      </w:r>
      <w:r w:rsidRPr="0002349F">
        <w:t xml:space="preserve">lanilha </w:t>
      </w:r>
      <w:r>
        <w:t>com as correções verificadas pela PMTL.</w:t>
      </w:r>
    </w:p>
    <w:p w14:paraId="2EFEF63F" w14:textId="69A0E08E" w:rsidR="000819DD" w:rsidRDefault="000819DD" w:rsidP="000819DD">
      <w:r>
        <w:br w:type="page"/>
      </w:r>
    </w:p>
    <w:p w14:paraId="6D42D75F" w14:textId="4115B6F0" w:rsidR="00617C87" w:rsidRPr="00037937" w:rsidRDefault="00037937" w:rsidP="00037937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037937">
        <w:rPr>
          <w:rFonts w:ascii="Century Gothic" w:hAnsi="Century Gothic"/>
          <w:sz w:val="18"/>
          <w:szCs w:val="18"/>
        </w:rPr>
        <w:lastRenderedPageBreak/>
        <w:t>Ainda</w:t>
      </w:r>
      <w:r>
        <w:rPr>
          <w:rFonts w:ascii="Century Gothic" w:hAnsi="Century Gothic"/>
          <w:sz w:val="18"/>
          <w:szCs w:val="18"/>
        </w:rPr>
        <w:t xml:space="preserve">, nesta mesma aba, também </w:t>
      </w:r>
      <w:r w:rsidR="000819DD">
        <w:rPr>
          <w:rFonts w:ascii="Century Gothic" w:hAnsi="Century Gothic"/>
          <w:sz w:val="18"/>
          <w:szCs w:val="18"/>
        </w:rPr>
        <w:t>se verificou</w:t>
      </w:r>
      <w:r>
        <w:rPr>
          <w:rFonts w:ascii="Century Gothic" w:hAnsi="Century Gothic"/>
          <w:sz w:val="18"/>
          <w:szCs w:val="18"/>
        </w:rPr>
        <w:t xml:space="preserve"> inconsistências nos cálculos apresentados no Módulo 4 – Custo de Reposição do Profissional Ausente</w:t>
      </w:r>
      <w:r w:rsidR="000819DD">
        <w:rPr>
          <w:rFonts w:ascii="Century Gothic" w:hAnsi="Century Gothic"/>
          <w:sz w:val="18"/>
          <w:szCs w:val="18"/>
        </w:rPr>
        <w:t>, identificando-se erro no cálculo do valor “proporcional de férias, 1/3 e 13º salário sobre o custo de reposição”, bem como na fórmula de cálculo do “total do custo de reposição do profissional ausente”, conforme segue:</w:t>
      </w:r>
    </w:p>
    <w:p w14:paraId="717EA38A" w14:textId="6D228147" w:rsidR="00037937" w:rsidRDefault="00037937" w:rsidP="00037937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037937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5FC6736F" wp14:editId="1E3A4069">
            <wp:extent cx="5400040" cy="1322070"/>
            <wp:effectExtent l="19050" t="19050" r="10160" b="11430"/>
            <wp:docPr id="385101880" name="Imagem 1" descr="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101880" name="Imagem 1" descr="Tabela&#10;&#10;Descrição gerada automa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207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80E121" w14:textId="754481CE" w:rsidR="00037937" w:rsidRPr="0002349F" w:rsidRDefault="00037937" w:rsidP="00037937">
      <w:pPr>
        <w:pStyle w:val="Legenda"/>
      </w:pPr>
      <w:r w:rsidRPr="0002349F">
        <w:t xml:space="preserve">Figura </w:t>
      </w:r>
      <w:fldSimple w:instr=" SEQ Figura \* ARABIC ">
        <w:r>
          <w:rPr>
            <w:noProof/>
          </w:rPr>
          <w:t>1</w:t>
        </w:r>
      </w:fldSimple>
      <w:r w:rsidRPr="0002349F">
        <w:t xml:space="preserve"> – </w:t>
      </w:r>
      <w:r>
        <w:t xml:space="preserve">Aba </w:t>
      </w:r>
      <w:r w:rsidRPr="00037937">
        <w:t xml:space="preserve">“(C) </w:t>
      </w:r>
      <w:proofErr w:type="spellStart"/>
      <w:r w:rsidRPr="00037937">
        <w:t>MO_Logística</w:t>
      </w:r>
      <w:proofErr w:type="spellEnd"/>
      <w:r w:rsidRPr="00037937">
        <w:t>”</w:t>
      </w:r>
      <w:r>
        <w:t>, Módulo 4, da p</w:t>
      </w:r>
      <w:r w:rsidRPr="0002349F">
        <w:t>lanilha apresentada pela PROPONENTE.</w:t>
      </w:r>
    </w:p>
    <w:p w14:paraId="319BB08D" w14:textId="6AC3ABF6" w:rsidR="00037937" w:rsidRDefault="00037937" w:rsidP="00037937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037937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6FA8E497" wp14:editId="2B0EAB81">
            <wp:extent cx="5400040" cy="1315720"/>
            <wp:effectExtent l="19050" t="19050" r="10160" b="17780"/>
            <wp:docPr id="1472867239" name="Imagem 1" descr="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867239" name="Imagem 1" descr="Tabela&#10;&#10;Descrição gerada automa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157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A2D76E" w14:textId="77777777" w:rsidR="00037937" w:rsidRDefault="00037937" w:rsidP="00037937">
      <w:pPr>
        <w:pStyle w:val="Legenda"/>
      </w:pPr>
      <w:r>
        <w:t xml:space="preserve">Figura </w:t>
      </w:r>
      <w:fldSimple w:instr=" SEQ Figura \* ARABIC ">
        <w:r>
          <w:rPr>
            <w:noProof/>
          </w:rPr>
          <w:t>2</w:t>
        </w:r>
      </w:fldSimple>
      <w:r>
        <w:t xml:space="preserve"> - Aba </w:t>
      </w:r>
      <w:r w:rsidRPr="00037937">
        <w:t xml:space="preserve">“(C) </w:t>
      </w:r>
      <w:proofErr w:type="spellStart"/>
      <w:r w:rsidRPr="00037937">
        <w:t>MO_Logística</w:t>
      </w:r>
      <w:proofErr w:type="spellEnd"/>
      <w:r w:rsidRPr="00037937">
        <w:t>”</w:t>
      </w:r>
      <w:r>
        <w:t>, Módulo 2, da p</w:t>
      </w:r>
      <w:r w:rsidRPr="0002349F">
        <w:t xml:space="preserve">lanilha </w:t>
      </w:r>
      <w:r>
        <w:t>com as correções verificadas pela PMTL.</w:t>
      </w:r>
    </w:p>
    <w:p w14:paraId="3629F2BC" w14:textId="5828986E" w:rsidR="000819DD" w:rsidRDefault="000819DD" w:rsidP="0002349F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14:paraId="4489C1D3" w14:textId="18E40C16" w:rsidR="000819DD" w:rsidRPr="00232CFE" w:rsidRDefault="000819DD" w:rsidP="000819DD">
      <w:pPr>
        <w:jc w:val="both"/>
        <w:rPr>
          <w:rFonts w:ascii="Century Gothic" w:hAnsi="Century Gothic"/>
          <w:b/>
          <w:bCs/>
          <w:sz w:val="18"/>
          <w:szCs w:val="18"/>
        </w:rPr>
      </w:pPr>
      <w:r w:rsidRPr="00232CFE">
        <w:rPr>
          <w:rFonts w:ascii="Century Gothic" w:hAnsi="Century Gothic"/>
          <w:b/>
          <w:bCs/>
          <w:sz w:val="18"/>
          <w:szCs w:val="18"/>
        </w:rPr>
        <w:lastRenderedPageBreak/>
        <w:t>Comparativo da aba “</w:t>
      </w:r>
      <w:r w:rsidRPr="000819DD">
        <w:rPr>
          <w:rFonts w:ascii="Century Gothic" w:hAnsi="Century Gothic"/>
          <w:b/>
          <w:bCs/>
          <w:sz w:val="18"/>
          <w:szCs w:val="18"/>
        </w:rPr>
        <w:t>(E) MÃO DE OBRA</w:t>
      </w:r>
      <w:r w:rsidRPr="00232CFE">
        <w:rPr>
          <w:rFonts w:ascii="Century Gothic" w:hAnsi="Century Gothic"/>
          <w:b/>
          <w:bCs/>
          <w:sz w:val="18"/>
          <w:szCs w:val="18"/>
        </w:rPr>
        <w:t>”:</w:t>
      </w:r>
    </w:p>
    <w:p w14:paraId="39C0E10D" w14:textId="77777777" w:rsidR="000819DD" w:rsidRPr="00617C87" w:rsidRDefault="000819DD" w:rsidP="000819DD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617C87">
        <w:rPr>
          <w:rFonts w:ascii="Century Gothic" w:hAnsi="Century Gothic"/>
          <w:sz w:val="18"/>
          <w:szCs w:val="18"/>
        </w:rPr>
        <w:t xml:space="preserve">No Módulo 2 – Encargos e Benefícios (Submódulo 2 – Encargos Previdenciários, FGTS e outras contribuições) </w:t>
      </w:r>
      <w:r w:rsidRPr="00617C87">
        <w:rPr>
          <w:rFonts w:ascii="Century Gothic" w:hAnsi="Century Gothic"/>
          <w:b/>
          <w:bCs/>
          <w:sz w:val="18"/>
          <w:szCs w:val="18"/>
        </w:rPr>
        <w:t>não foram calculados os encargos para o 13º salários e adicional de férias</w:t>
      </w:r>
      <w:r w:rsidRPr="00617C87">
        <w:rPr>
          <w:rFonts w:ascii="Century Gothic" w:hAnsi="Century Gothic"/>
          <w:sz w:val="18"/>
          <w:szCs w:val="18"/>
        </w:rPr>
        <w:t xml:space="preserve">. Verifica-se que a </w:t>
      </w:r>
      <w:r w:rsidRPr="00617C87">
        <w:rPr>
          <w:rFonts w:ascii="Century Gothic" w:hAnsi="Century Gothic"/>
          <w:b/>
          <w:bCs/>
          <w:sz w:val="18"/>
          <w:szCs w:val="18"/>
        </w:rPr>
        <w:t>PROPONENTE</w:t>
      </w:r>
      <w:r w:rsidRPr="00617C87">
        <w:rPr>
          <w:rFonts w:ascii="Century Gothic" w:hAnsi="Century Gothic"/>
          <w:sz w:val="18"/>
          <w:szCs w:val="18"/>
        </w:rPr>
        <w:t xml:space="preserve"> considerou a incidência dos encargos previdenciários, FGTS e outras contribuições somente sobre o “Total da remuneração” (Módulo 1), enquanto o correto seria considerar o somatório </w:t>
      </w:r>
      <w:r>
        <w:rPr>
          <w:rFonts w:ascii="Century Gothic" w:hAnsi="Century Gothic"/>
          <w:sz w:val="18"/>
          <w:szCs w:val="18"/>
        </w:rPr>
        <w:t>entre este e os valores do “Subtotal do 13º salário e adicional e férias” (Módulo 2, Submódulo 1). Vejamos:</w:t>
      </w:r>
    </w:p>
    <w:p w14:paraId="1B90C2A5" w14:textId="590DEEAC" w:rsidR="000819DD" w:rsidRDefault="000819DD" w:rsidP="000819DD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0819DD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068A338D" wp14:editId="701A35FB">
            <wp:extent cx="5400040" cy="1917065"/>
            <wp:effectExtent l="19050" t="19050" r="10160" b="26035"/>
            <wp:docPr id="1033316465" name="Imagem 1" descr="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316465" name="Imagem 1" descr="Tabela&#10;&#10;Descrição gerada automa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706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BE7CA8" w14:textId="210C6B09" w:rsidR="000819DD" w:rsidRPr="0002349F" w:rsidRDefault="000819DD" w:rsidP="000819DD">
      <w:pPr>
        <w:pStyle w:val="Legenda"/>
      </w:pPr>
      <w:r w:rsidRPr="0002349F">
        <w:t xml:space="preserve">Figura </w:t>
      </w:r>
      <w:fldSimple w:instr=" SEQ Figura \* ARABIC ">
        <w:r>
          <w:rPr>
            <w:noProof/>
          </w:rPr>
          <w:t>1</w:t>
        </w:r>
      </w:fldSimple>
      <w:r w:rsidRPr="0002349F">
        <w:t xml:space="preserve"> – </w:t>
      </w:r>
      <w:r>
        <w:t xml:space="preserve">Aba </w:t>
      </w:r>
      <w:r w:rsidRPr="00037937">
        <w:t>“(</w:t>
      </w:r>
      <w:r>
        <w:t>E) MÃO DE OBRA</w:t>
      </w:r>
      <w:r w:rsidRPr="00037937">
        <w:t>”</w:t>
      </w:r>
      <w:r>
        <w:t>, Módulo 2, da p</w:t>
      </w:r>
      <w:r w:rsidRPr="0002349F">
        <w:t>lanilha apresentada pela PROPONENTE.</w:t>
      </w:r>
    </w:p>
    <w:p w14:paraId="5529E698" w14:textId="2569EF54" w:rsidR="000819DD" w:rsidRDefault="000819DD" w:rsidP="000819DD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0819DD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6C0F39D6" wp14:editId="655C71EC">
            <wp:extent cx="5400040" cy="1918335"/>
            <wp:effectExtent l="19050" t="19050" r="10160" b="24765"/>
            <wp:docPr id="857622926" name="Imagem 1" descr="Interface gráfica do usuário, Aplicativo, 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622926" name="Imagem 1" descr="Interface gráfica do usuário, Aplicativo, Tabela&#10;&#10;Descrição gerada automa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833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3D73DD" w14:textId="6162FC7A" w:rsidR="000819DD" w:rsidRDefault="000819DD" w:rsidP="000819DD">
      <w:pPr>
        <w:pStyle w:val="Legenda"/>
      </w:pPr>
      <w:r>
        <w:t xml:space="preserve">Figura </w:t>
      </w:r>
      <w:fldSimple w:instr=" SEQ Figura \* ARABIC ">
        <w:r>
          <w:rPr>
            <w:noProof/>
          </w:rPr>
          <w:t>2</w:t>
        </w:r>
      </w:fldSimple>
      <w:r>
        <w:t xml:space="preserve"> - Aba </w:t>
      </w:r>
      <w:r w:rsidR="00A3158F" w:rsidRPr="00037937">
        <w:t>“(</w:t>
      </w:r>
      <w:r w:rsidR="00A3158F">
        <w:t>E) MÃO DE OBRA</w:t>
      </w:r>
      <w:r w:rsidR="00A3158F" w:rsidRPr="00037937">
        <w:t>”</w:t>
      </w:r>
      <w:r>
        <w:t>, Módulo 2, da p</w:t>
      </w:r>
      <w:r w:rsidRPr="0002349F">
        <w:t xml:space="preserve">lanilha </w:t>
      </w:r>
      <w:r>
        <w:t>com as correções verificadas pela PMTL.</w:t>
      </w:r>
    </w:p>
    <w:p w14:paraId="278BC4C5" w14:textId="13E5F388" w:rsidR="000819DD" w:rsidRDefault="000819DD" w:rsidP="0002349F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14:paraId="13623925" w14:textId="77777777" w:rsidR="000819DD" w:rsidRPr="00037937" w:rsidRDefault="000819DD" w:rsidP="000819DD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037937">
        <w:rPr>
          <w:rFonts w:ascii="Century Gothic" w:hAnsi="Century Gothic"/>
          <w:sz w:val="18"/>
          <w:szCs w:val="18"/>
        </w:rPr>
        <w:lastRenderedPageBreak/>
        <w:t>Ainda</w:t>
      </w:r>
      <w:r>
        <w:rPr>
          <w:rFonts w:ascii="Century Gothic" w:hAnsi="Century Gothic"/>
          <w:sz w:val="18"/>
          <w:szCs w:val="18"/>
        </w:rPr>
        <w:t>, nesta mesma aba, também se verificou inconsistências nos cálculos apresentados no Módulo 4 – Custo de Reposição do Profissional Ausente, identificando-se erro no cálculo do valor “proporcional de férias, 1/3 e 13º salário sobre o custo de reposição”, bem como na fórmula de cálculo do “total do custo de reposição do profissional ausente”, conforme segue:</w:t>
      </w:r>
    </w:p>
    <w:p w14:paraId="77BC71AF" w14:textId="724E056B" w:rsidR="000819DD" w:rsidRDefault="00A3158F" w:rsidP="00A3158F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A3158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3632C71E" wp14:editId="493F9CA6">
            <wp:extent cx="5400040" cy="1006475"/>
            <wp:effectExtent l="19050" t="19050" r="10160" b="22225"/>
            <wp:docPr id="144023229" name="Imagem 1" descr="Tabel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23229" name="Imagem 1" descr="Tabela&#10;&#10;Descrição gerada automa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0647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0367D7" w14:textId="57CB2CED" w:rsidR="00A3158F" w:rsidRPr="0002349F" w:rsidRDefault="00A3158F" w:rsidP="00A3158F">
      <w:pPr>
        <w:pStyle w:val="Legenda"/>
      </w:pPr>
      <w:r w:rsidRPr="0002349F">
        <w:t xml:space="preserve">Figura </w:t>
      </w:r>
      <w:fldSimple w:instr=" SEQ Figura \* ARABIC ">
        <w:r>
          <w:rPr>
            <w:noProof/>
          </w:rPr>
          <w:t>1</w:t>
        </w:r>
      </w:fldSimple>
      <w:r w:rsidRPr="0002349F">
        <w:t xml:space="preserve"> – </w:t>
      </w:r>
      <w:r>
        <w:t xml:space="preserve">Aba </w:t>
      </w:r>
      <w:r w:rsidRPr="00037937">
        <w:t>“(</w:t>
      </w:r>
      <w:r>
        <w:t>E) MÃO DE OBRA</w:t>
      </w:r>
      <w:r w:rsidRPr="00037937">
        <w:t>”</w:t>
      </w:r>
      <w:r>
        <w:t>, Módulo 4, da p</w:t>
      </w:r>
      <w:r w:rsidRPr="0002349F">
        <w:t>lanilha apresentada pela PROPONENTE.</w:t>
      </w:r>
    </w:p>
    <w:p w14:paraId="1B8CA30E" w14:textId="6E57000A" w:rsidR="00A3158F" w:rsidRDefault="00A3158F" w:rsidP="00A3158F">
      <w:pPr>
        <w:spacing w:after="0"/>
        <w:jc w:val="both"/>
        <w:rPr>
          <w:rFonts w:ascii="Century Gothic" w:hAnsi="Century Gothic"/>
          <w:sz w:val="18"/>
          <w:szCs w:val="18"/>
        </w:rPr>
      </w:pPr>
      <w:r w:rsidRPr="00A3158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1AA9646A" wp14:editId="707D3438">
            <wp:extent cx="5400040" cy="1006475"/>
            <wp:effectExtent l="19050" t="19050" r="10160" b="22225"/>
            <wp:docPr id="441847677" name="Imagem 1" descr="Calend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847677" name="Imagem 1" descr="Calendário&#10;&#10;Descrição gerada automaticament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0647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6348E8" w14:textId="27C417EF" w:rsidR="00A3158F" w:rsidRDefault="00A3158F" w:rsidP="00A3158F">
      <w:pPr>
        <w:pStyle w:val="Legenda"/>
      </w:pPr>
      <w:r>
        <w:t xml:space="preserve">Figura </w:t>
      </w:r>
      <w:fldSimple w:instr=" SEQ Figura \* ARABIC ">
        <w:r>
          <w:rPr>
            <w:noProof/>
          </w:rPr>
          <w:t>2</w:t>
        </w:r>
      </w:fldSimple>
      <w:r>
        <w:t xml:space="preserve"> - Aba </w:t>
      </w:r>
      <w:r w:rsidRPr="00037937">
        <w:t>“(</w:t>
      </w:r>
      <w:r>
        <w:t>E) MÃO DE OBRA</w:t>
      </w:r>
      <w:r w:rsidRPr="00037937">
        <w:t>”</w:t>
      </w:r>
      <w:r>
        <w:t>, Módulo 2, da p</w:t>
      </w:r>
      <w:r w:rsidRPr="0002349F">
        <w:t xml:space="preserve">lanilha </w:t>
      </w:r>
      <w:r>
        <w:t>com as correções verificadas pela PMTL.</w:t>
      </w:r>
    </w:p>
    <w:p w14:paraId="0D36F8BD" w14:textId="77777777" w:rsidR="0056349F" w:rsidRDefault="0056349F" w:rsidP="00A3158F">
      <w:pPr>
        <w:jc w:val="both"/>
        <w:rPr>
          <w:rFonts w:ascii="Century Gothic" w:hAnsi="Century Gothic"/>
          <w:sz w:val="18"/>
          <w:szCs w:val="18"/>
        </w:rPr>
      </w:pPr>
    </w:p>
    <w:p w14:paraId="7397822F" w14:textId="77777777" w:rsidR="0056349F" w:rsidRPr="0056349F" w:rsidRDefault="0056349F" w:rsidP="0056349F">
      <w:pPr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56349F">
        <w:rPr>
          <w:rFonts w:ascii="Century Gothic" w:hAnsi="Century Gothic"/>
          <w:b/>
          <w:bCs/>
          <w:sz w:val="18"/>
          <w:szCs w:val="18"/>
          <w:u w:val="single"/>
        </w:rPr>
        <w:t>Responsabilidade dos Proponentes:</w:t>
      </w:r>
    </w:p>
    <w:p w14:paraId="166A38FE" w14:textId="77777777" w:rsidR="0056349F" w:rsidRDefault="0056349F" w:rsidP="0056349F">
      <w:pPr>
        <w:jc w:val="both"/>
        <w:rPr>
          <w:rFonts w:ascii="Century Gothic" w:hAnsi="Century Gothic"/>
          <w:sz w:val="18"/>
          <w:szCs w:val="18"/>
        </w:rPr>
      </w:pPr>
      <w:r w:rsidRPr="0056349F">
        <w:rPr>
          <w:rFonts w:ascii="Century Gothic" w:hAnsi="Century Gothic"/>
          <w:sz w:val="18"/>
          <w:szCs w:val="18"/>
        </w:rPr>
        <w:t>O Edital do Pregão Eletrônico nº 033/2024 (Processo Licitatório nº 084/2024) preconiza a responsabilidade dos proponentes na inclusão de tributos, encargos sociais, trabalhistas, previdenciários, fiscais e comerciais, taxa de administração, frete, seguro e outros necessários ao cumprimento integral do objeto da contratação.</w:t>
      </w:r>
    </w:p>
    <w:p w14:paraId="3A153923" w14:textId="77777777" w:rsidR="00A3158F" w:rsidRPr="00A3158F" w:rsidRDefault="00A3158F" w:rsidP="00A3158F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Item 1 – Do Objeto (Subitem 1.4, pág. 2):</w:t>
      </w:r>
    </w:p>
    <w:p w14:paraId="5EA827EB" w14:textId="7E53D9D9" w:rsidR="00A3158F" w:rsidRDefault="00A3158F" w:rsidP="00A3158F">
      <w:pPr>
        <w:jc w:val="both"/>
        <w:rPr>
          <w:rFonts w:ascii="Century Gothic" w:hAnsi="Century Gothic"/>
          <w:sz w:val="18"/>
          <w:szCs w:val="18"/>
        </w:rPr>
      </w:pPr>
      <w:r w:rsidRPr="00A3158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71D95084" wp14:editId="6CC7D1BF">
            <wp:extent cx="5400040" cy="1703705"/>
            <wp:effectExtent l="19050" t="19050" r="10160" b="10795"/>
            <wp:docPr id="2120798633" name="Imagem 1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798633" name="Imagem 1" descr="Texto&#10;&#10;Descrição gerada automaticament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0370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3DB9EC" w14:textId="45CB4EF7" w:rsidR="00A3158F" w:rsidRPr="00A3158F" w:rsidRDefault="00A3158F" w:rsidP="00A3158F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>Item 7 – Do Conteúdo – Proposta de Preços (Subitem 7.3, pág. 20):</w:t>
      </w:r>
    </w:p>
    <w:p w14:paraId="6829C4CE" w14:textId="30F068C0" w:rsidR="00A3158F" w:rsidRDefault="00A3158F" w:rsidP="00A3158F">
      <w:pPr>
        <w:jc w:val="both"/>
        <w:rPr>
          <w:rFonts w:ascii="Century Gothic" w:hAnsi="Century Gothic"/>
          <w:sz w:val="18"/>
          <w:szCs w:val="18"/>
        </w:rPr>
      </w:pPr>
      <w:r w:rsidRPr="00A3158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11EF54DC" wp14:editId="78642F4E">
            <wp:extent cx="5400040" cy="590550"/>
            <wp:effectExtent l="19050" t="19050" r="10160" b="19050"/>
            <wp:docPr id="1117068378" name="Imagem 1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068378" name="Imagem 1" descr="Texto&#10;&#10;Descrição gerada automaticamente com confiança média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055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496D04" w14:textId="5F65BCD2" w:rsidR="0061463A" w:rsidRDefault="0061463A" w:rsidP="00A3158F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14:paraId="43BF9D49" w14:textId="120A5621" w:rsidR="00A3158F" w:rsidRPr="00A3158F" w:rsidRDefault="0061463A" w:rsidP="00A3158F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lastRenderedPageBreak/>
        <w:t xml:space="preserve">Minuta do Contrato – </w:t>
      </w:r>
      <w:r w:rsidR="00A3158F" w:rsidRPr="00A3158F">
        <w:rPr>
          <w:rFonts w:ascii="Century Gothic" w:hAnsi="Century Gothic"/>
          <w:b/>
          <w:bCs/>
          <w:sz w:val="18"/>
          <w:szCs w:val="18"/>
        </w:rPr>
        <w:t>Cláusula II – Do Valor (item 2.2, pág. 57):</w:t>
      </w:r>
    </w:p>
    <w:p w14:paraId="295CCC30" w14:textId="75AB2CFC" w:rsidR="00A3158F" w:rsidRDefault="00A3158F" w:rsidP="0002349F">
      <w:pPr>
        <w:jc w:val="both"/>
        <w:rPr>
          <w:rFonts w:ascii="Century Gothic" w:hAnsi="Century Gothic"/>
          <w:sz w:val="18"/>
          <w:szCs w:val="18"/>
        </w:rPr>
      </w:pPr>
      <w:r w:rsidRPr="00A3158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42E9AD64" wp14:editId="19B42703">
            <wp:extent cx="5400040" cy="828675"/>
            <wp:effectExtent l="19050" t="19050" r="10160" b="28575"/>
            <wp:docPr id="1672186720" name="Imagem 1" descr="Tela de computador com texto preto sobre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186720" name="Imagem 1" descr="Tela de computador com texto preto sobre fundo branco&#10;&#10;Descrição gerada automaticamente com confiança média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867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AD1433" w14:textId="043102F3" w:rsidR="00A3158F" w:rsidRPr="00A3158F" w:rsidRDefault="0061463A" w:rsidP="00A3158F">
      <w:pPr>
        <w:pStyle w:val="PargrafodaLista"/>
        <w:numPr>
          <w:ilvl w:val="0"/>
          <w:numId w:val="3"/>
        </w:numPr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</w:rPr>
        <w:t xml:space="preserve">Minuta do Contrato – </w:t>
      </w:r>
      <w:r w:rsidR="00A3158F" w:rsidRPr="00A3158F">
        <w:rPr>
          <w:rFonts w:ascii="Century Gothic" w:hAnsi="Century Gothic"/>
          <w:b/>
          <w:bCs/>
          <w:sz w:val="18"/>
          <w:szCs w:val="18"/>
        </w:rPr>
        <w:t xml:space="preserve">Cláusula </w:t>
      </w:r>
      <w:r w:rsidR="00A3158F">
        <w:rPr>
          <w:rFonts w:ascii="Century Gothic" w:hAnsi="Century Gothic"/>
          <w:b/>
          <w:bCs/>
          <w:sz w:val="18"/>
          <w:szCs w:val="18"/>
        </w:rPr>
        <w:t>V</w:t>
      </w:r>
      <w:r w:rsidR="00A3158F" w:rsidRPr="00A3158F">
        <w:rPr>
          <w:rFonts w:ascii="Century Gothic" w:hAnsi="Century Gothic"/>
          <w:b/>
          <w:bCs/>
          <w:sz w:val="18"/>
          <w:szCs w:val="18"/>
        </w:rPr>
        <w:t>I – D</w:t>
      </w:r>
      <w:r w:rsidR="00A3158F">
        <w:rPr>
          <w:rFonts w:ascii="Century Gothic" w:hAnsi="Century Gothic"/>
          <w:b/>
          <w:bCs/>
          <w:sz w:val="18"/>
          <w:szCs w:val="18"/>
        </w:rPr>
        <w:t>as Condições de Pagamento</w:t>
      </w:r>
      <w:r w:rsidR="00A3158F" w:rsidRPr="00A3158F">
        <w:rPr>
          <w:rFonts w:ascii="Century Gothic" w:hAnsi="Century Gothic"/>
          <w:b/>
          <w:bCs/>
          <w:sz w:val="18"/>
          <w:szCs w:val="18"/>
        </w:rPr>
        <w:t xml:space="preserve"> Valor (item </w:t>
      </w:r>
      <w:r w:rsidR="00A3158F">
        <w:rPr>
          <w:rFonts w:ascii="Century Gothic" w:hAnsi="Century Gothic"/>
          <w:b/>
          <w:bCs/>
          <w:sz w:val="18"/>
          <w:szCs w:val="18"/>
        </w:rPr>
        <w:t>7.4</w:t>
      </w:r>
      <w:r w:rsidR="00A3158F" w:rsidRPr="00A3158F">
        <w:rPr>
          <w:rFonts w:ascii="Century Gothic" w:hAnsi="Century Gothic"/>
          <w:b/>
          <w:bCs/>
          <w:sz w:val="18"/>
          <w:szCs w:val="18"/>
        </w:rPr>
        <w:t xml:space="preserve">, pág. </w:t>
      </w:r>
      <w:r w:rsidR="00A3158F">
        <w:rPr>
          <w:rFonts w:ascii="Century Gothic" w:hAnsi="Century Gothic"/>
          <w:b/>
          <w:bCs/>
          <w:sz w:val="18"/>
          <w:szCs w:val="18"/>
        </w:rPr>
        <w:t>61</w:t>
      </w:r>
      <w:r w:rsidR="00A3158F" w:rsidRPr="00A3158F">
        <w:rPr>
          <w:rFonts w:ascii="Century Gothic" w:hAnsi="Century Gothic"/>
          <w:b/>
          <w:bCs/>
          <w:sz w:val="18"/>
          <w:szCs w:val="18"/>
        </w:rPr>
        <w:t>):</w:t>
      </w:r>
    </w:p>
    <w:p w14:paraId="7B74A58B" w14:textId="64DC6974" w:rsidR="00A3158F" w:rsidRDefault="00A3158F" w:rsidP="0002349F">
      <w:pPr>
        <w:jc w:val="both"/>
        <w:rPr>
          <w:rFonts w:ascii="Century Gothic" w:hAnsi="Century Gothic"/>
          <w:sz w:val="18"/>
          <w:szCs w:val="18"/>
        </w:rPr>
      </w:pPr>
      <w:r w:rsidRPr="00A3158F">
        <w:rPr>
          <w:rFonts w:ascii="Century Gothic" w:hAnsi="Century Gothic"/>
          <w:noProof/>
          <w:sz w:val="18"/>
          <w:szCs w:val="18"/>
        </w:rPr>
        <w:drawing>
          <wp:inline distT="0" distB="0" distL="0" distR="0" wp14:anchorId="76C68218" wp14:editId="2A18C15E">
            <wp:extent cx="5400040" cy="855980"/>
            <wp:effectExtent l="19050" t="19050" r="10160" b="20320"/>
            <wp:docPr id="1099511128" name="Imagem 1" descr="Tela de computador com texto preto sobre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511128" name="Imagem 1" descr="Tela de computador com texto preto sobre fundo branco&#10;&#10;Descrição gerada automaticamente com confiança média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559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4A9055" w14:textId="77777777" w:rsidR="0056349F" w:rsidRDefault="0056349F" w:rsidP="0002349F">
      <w:pPr>
        <w:jc w:val="both"/>
        <w:rPr>
          <w:rFonts w:ascii="Century Gothic" w:hAnsi="Century Gothic"/>
          <w:sz w:val="18"/>
          <w:szCs w:val="18"/>
        </w:rPr>
      </w:pPr>
    </w:p>
    <w:p w14:paraId="1445FC69" w14:textId="61FC1174" w:rsidR="0061463A" w:rsidRPr="003E0E48" w:rsidRDefault="003E0E48" w:rsidP="0002349F">
      <w:pPr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3E0E48">
        <w:rPr>
          <w:rFonts w:ascii="Century Gothic" w:hAnsi="Century Gothic"/>
          <w:b/>
          <w:bCs/>
          <w:sz w:val="18"/>
          <w:szCs w:val="18"/>
          <w:u w:val="single"/>
        </w:rPr>
        <w:t>CONCLUSÃO:</w:t>
      </w:r>
    </w:p>
    <w:p w14:paraId="2A0F304E" w14:textId="77777777" w:rsidR="00A64744" w:rsidRPr="00A64744" w:rsidRDefault="00A64744" w:rsidP="00A64744">
      <w:pPr>
        <w:jc w:val="both"/>
        <w:rPr>
          <w:rFonts w:ascii="Century Gothic" w:hAnsi="Century Gothic"/>
          <w:sz w:val="18"/>
          <w:szCs w:val="18"/>
        </w:rPr>
      </w:pPr>
      <w:r w:rsidRPr="00A64744">
        <w:rPr>
          <w:rFonts w:ascii="Century Gothic" w:hAnsi="Century Gothic"/>
          <w:sz w:val="18"/>
          <w:szCs w:val="18"/>
        </w:rPr>
        <w:t>Diante dos equívocos significativos encontrados na planilha orçamentária da PROPONENTE, observa-se que a correção desses erros comprometeria o princípio da igualdade entre os licitantes, resultando na nulidade do procedimento licitatório. Os erros identificados, relacionados à não consideração adequada de encargos trabalhistas e outros aspectos críticos, indicam uma proposta que, na prática, torna-se irreal e desequilibrada.</w:t>
      </w:r>
    </w:p>
    <w:p w14:paraId="235227F8" w14:textId="77777777" w:rsidR="00A64744" w:rsidRPr="00A64744" w:rsidRDefault="00A64744" w:rsidP="00A64744">
      <w:pPr>
        <w:jc w:val="both"/>
        <w:rPr>
          <w:rFonts w:ascii="Century Gothic" w:hAnsi="Century Gothic"/>
          <w:sz w:val="18"/>
          <w:szCs w:val="18"/>
        </w:rPr>
      </w:pPr>
      <w:r w:rsidRPr="00A64744">
        <w:rPr>
          <w:rFonts w:ascii="Century Gothic" w:hAnsi="Century Gothic"/>
          <w:sz w:val="18"/>
          <w:szCs w:val="18"/>
        </w:rPr>
        <w:t>A Lei Federal nº 14.133/2021 permite a correção de erros materiais evidentes, desde que não alterem a substância da proposta e não prejudiquem a isonomia do certame. No entanto, as inconsistências encontradas na proposta da empresa CASSAROTI vão além de simples erros materiais. Elas envolvem questões fundamentais, como a correta aplicação de encargos trabalhistas e a consideração de aspectos tributários, que são essenciais para a formação do valor final da proposta.</w:t>
      </w:r>
    </w:p>
    <w:p w14:paraId="63B1DD26" w14:textId="77777777" w:rsidR="00A64744" w:rsidRPr="00A64744" w:rsidRDefault="00A64744" w:rsidP="00A64744">
      <w:pPr>
        <w:jc w:val="both"/>
        <w:rPr>
          <w:rFonts w:ascii="Century Gothic" w:hAnsi="Century Gothic"/>
          <w:sz w:val="18"/>
          <w:szCs w:val="18"/>
        </w:rPr>
      </w:pPr>
      <w:r w:rsidRPr="00A64744">
        <w:rPr>
          <w:rFonts w:ascii="Century Gothic" w:hAnsi="Century Gothic"/>
          <w:sz w:val="18"/>
          <w:szCs w:val="18"/>
        </w:rPr>
        <w:t xml:space="preserve">Conforme corroborado pelo Acórdão TCU nº 1.211/2021 – Plenário, a desclassificação de um licitante sem a oportunidade de sanar erros que não alterem a substância da proposta contraria os princípios da isonomia e do interesse público. No entanto, neste caso específico, as correções necessárias impactam diretamente a substância da proposta, inviabilizando a manutenção </w:t>
      </w:r>
      <w:proofErr w:type="gramStart"/>
      <w:r w:rsidRPr="00A64744">
        <w:rPr>
          <w:rFonts w:ascii="Century Gothic" w:hAnsi="Century Gothic"/>
          <w:sz w:val="18"/>
          <w:szCs w:val="18"/>
        </w:rPr>
        <w:t>da mesma</w:t>
      </w:r>
      <w:proofErr w:type="gramEnd"/>
      <w:r w:rsidRPr="00A64744">
        <w:rPr>
          <w:rFonts w:ascii="Century Gothic" w:hAnsi="Century Gothic"/>
          <w:sz w:val="18"/>
          <w:szCs w:val="18"/>
        </w:rPr>
        <w:t xml:space="preserve"> no certame.</w:t>
      </w:r>
    </w:p>
    <w:p w14:paraId="303E96F8" w14:textId="77777777" w:rsidR="00A64744" w:rsidRPr="00A64744" w:rsidRDefault="00A64744" w:rsidP="00A64744">
      <w:pPr>
        <w:jc w:val="both"/>
        <w:rPr>
          <w:rFonts w:ascii="Century Gothic" w:hAnsi="Century Gothic"/>
          <w:sz w:val="18"/>
          <w:szCs w:val="18"/>
        </w:rPr>
      </w:pPr>
      <w:r w:rsidRPr="00A64744">
        <w:rPr>
          <w:rFonts w:ascii="Century Gothic" w:hAnsi="Century Gothic"/>
          <w:sz w:val="18"/>
          <w:szCs w:val="18"/>
        </w:rPr>
        <w:t>O Edital do Pregão Eletrônico nº 033/2024, bem como a minuta de contrato, estipulam claramente a responsabilidade dos proponentes em incluir todos os encargos sociais, trabalhistas, previdenciários, fiscais e comerciais. A não observância desses requisitos pela PROPONENTE configura um desequilíbrio que afeta a competitividade e a transparência do processo licitatório.</w:t>
      </w:r>
    </w:p>
    <w:p w14:paraId="7F103924" w14:textId="4B253685" w:rsidR="00A64744" w:rsidRPr="0002349F" w:rsidRDefault="00A64744" w:rsidP="0002349F">
      <w:pPr>
        <w:jc w:val="both"/>
        <w:rPr>
          <w:rFonts w:ascii="Century Gothic" w:hAnsi="Century Gothic"/>
          <w:sz w:val="18"/>
          <w:szCs w:val="18"/>
        </w:rPr>
      </w:pPr>
      <w:r w:rsidRPr="00A64744">
        <w:rPr>
          <w:rFonts w:ascii="Century Gothic" w:hAnsi="Century Gothic"/>
          <w:sz w:val="18"/>
          <w:szCs w:val="18"/>
        </w:rPr>
        <w:t xml:space="preserve">Portanto, diante dos fatos expostos e com base na legislação vigente, incluindo precedentes judiciais e administrativos, opina-se pela </w:t>
      </w:r>
      <w:r w:rsidRPr="00A64744">
        <w:rPr>
          <w:rFonts w:ascii="Century Gothic" w:hAnsi="Century Gothic"/>
          <w:b/>
          <w:bCs/>
          <w:sz w:val="18"/>
          <w:szCs w:val="18"/>
          <w:u w:val="single"/>
        </w:rPr>
        <w:t>desclassificação</w:t>
      </w:r>
      <w:r w:rsidRPr="00A64744">
        <w:rPr>
          <w:rFonts w:ascii="Century Gothic" w:hAnsi="Century Gothic"/>
          <w:sz w:val="18"/>
          <w:szCs w:val="18"/>
        </w:rPr>
        <w:t xml:space="preserve"> da empresa CASSAROTI. A correção dos erros identificados na planilha de preços, mesmo após a oportunidade de saneamento inicial, alteraria substancialmente a proposta final, comprometendo a igualdade de condições entre os proponentes e ferindo os princípios de isonomia e competitividade que regem o processo licitatório. Assim, a desclassificação se faz necessária para preservar a integridade e a justiça do certame.</w:t>
      </w:r>
    </w:p>
    <w:sectPr w:rsidR="00A64744" w:rsidRPr="0002349F" w:rsidSect="00FC1B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47554" w14:textId="77777777" w:rsidR="00E6475C" w:rsidRDefault="00E6475C" w:rsidP="00D95846">
      <w:pPr>
        <w:spacing w:after="0" w:line="240" w:lineRule="auto"/>
      </w:pPr>
      <w:r>
        <w:separator/>
      </w:r>
    </w:p>
  </w:endnote>
  <w:endnote w:type="continuationSeparator" w:id="0">
    <w:p w14:paraId="5F0B3FDD" w14:textId="77777777" w:rsidR="00E6475C" w:rsidRDefault="00E6475C" w:rsidP="00D95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B0634" w14:textId="77777777" w:rsidR="00E6475C" w:rsidRDefault="00E6475C" w:rsidP="00D95846">
      <w:pPr>
        <w:spacing w:after="0" w:line="240" w:lineRule="auto"/>
      </w:pPr>
      <w:r>
        <w:separator/>
      </w:r>
    </w:p>
  </w:footnote>
  <w:footnote w:type="continuationSeparator" w:id="0">
    <w:p w14:paraId="1A32B4CE" w14:textId="77777777" w:rsidR="00E6475C" w:rsidRDefault="00E6475C" w:rsidP="00D95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60E01"/>
    <w:multiLevelType w:val="multilevel"/>
    <w:tmpl w:val="D9CC0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40340E0"/>
    <w:multiLevelType w:val="hybridMultilevel"/>
    <w:tmpl w:val="A9A247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70088"/>
    <w:multiLevelType w:val="multilevel"/>
    <w:tmpl w:val="17F453AA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b w:val="0"/>
        <w:strike w:val="0"/>
      </w:rPr>
    </w:lvl>
    <w:lvl w:ilvl="2">
      <w:start w:val="1"/>
      <w:numFmt w:val="decimal"/>
      <w:lvlText w:val="%1.%2.%3."/>
      <w:lvlJc w:val="left"/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546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99E"/>
    <w:rsid w:val="0002349F"/>
    <w:rsid w:val="00037937"/>
    <w:rsid w:val="000500E2"/>
    <w:rsid w:val="000819DD"/>
    <w:rsid w:val="00171DFF"/>
    <w:rsid w:val="001D77D4"/>
    <w:rsid w:val="00232CFE"/>
    <w:rsid w:val="00283B53"/>
    <w:rsid w:val="002C1ACB"/>
    <w:rsid w:val="00357190"/>
    <w:rsid w:val="003E0E48"/>
    <w:rsid w:val="00425088"/>
    <w:rsid w:val="004848DB"/>
    <w:rsid w:val="0056349F"/>
    <w:rsid w:val="0061463A"/>
    <w:rsid w:val="00617C87"/>
    <w:rsid w:val="006D357A"/>
    <w:rsid w:val="00867654"/>
    <w:rsid w:val="00951085"/>
    <w:rsid w:val="00971B94"/>
    <w:rsid w:val="00A3158F"/>
    <w:rsid w:val="00A41BB2"/>
    <w:rsid w:val="00A61844"/>
    <w:rsid w:val="00A64744"/>
    <w:rsid w:val="00A95291"/>
    <w:rsid w:val="00AC4557"/>
    <w:rsid w:val="00AD499E"/>
    <w:rsid w:val="00B051D4"/>
    <w:rsid w:val="00B84215"/>
    <w:rsid w:val="00BD07C4"/>
    <w:rsid w:val="00D0509C"/>
    <w:rsid w:val="00D54234"/>
    <w:rsid w:val="00D95846"/>
    <w:rsid w:val="00E27D88"/>
    <w:rsid w:val="00E6475C"/>
    <w:rsid w:val="00E96A7E"/>
    <w:rsid w:val="00FC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6131"/>
  <w15:chartTrackingRefBased/>
  <w15:docId w15:val="{750B7086-6333-4B89-B4EA-B318D810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D49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49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49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49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49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49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49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49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49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ivel2">
    <w:name w:val="Nivel 2"/>
    <w:link w:val="Nivel2Char"/>
    <w:autoRedefine/>
    <w:qFormat/>
    <w:rsid w:val="002C1ACB"/>
    <w:pPr>
      <w:numPr>
        <w:ilvl w:val="1"/>
        <w:numId w:val="2"/>
      </w:numPr>
      <w:spacing w:before="240" w:after="240" w:line="276" w:lineRule="auto"/>
      <w:ind w:left="1851" w:hanging="432"/>
      <w:jc w:val="both"/>
    </w:pPr>
    <w:rPr>
      <w:rFonts w:ascii="Century Gothic" w:eastAsia="Arial Unicode MS" w:hAnsi="Century Gothic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rsid w:val="002C1ACB"/>
    <w:rPr>
      <w:rFonts w:ascii="Century Gothic" w:eastAsia="Arial Unicode MS" w:hAnsi="Century Gothic" w:cs="Arial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D49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49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49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49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499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49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49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49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49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D49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D4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49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D4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49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D49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D49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D499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49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499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D499E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171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02349F"/>
    <w:pPr>
      <w:spacing w:after="200" w:line="240" w:lineRule="auto"/>
      <w:jc w:val="both"/>
    </w:pPr>
    <w:rPr>
      <w:rFonts w:ascii="Century Gothic" w:hAnsi="Century Gothic"/>
      <w:b/>
      <w:bCs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9584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9584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958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1492</Words>
  <Characters>8061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Jauri</dc:creator>
  <cp:keywords/>
  <dc:description/>
  <cp:lastModifiedBy>Agnaldo Oliveira de Jesus</cp:lastModifiedBy>
  <cp:revision>2</cp:revision>
  <dcterms:created xsi:type="dcterms:W3CDTF">2024-07-19T11:49:00Z</dcterms:created>
  <dcterms:modified xsi:type="dcterms:W3CDTF">2024-07-19T11:49:00Z</dcterms:modified>
</cp:coreProperties>
</file>