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DF1" w:rsidRPr="00CA4C81" w:rsidRDefault="002E5DF1" w:rsidP="002E5DF1">
      <w:pPr>
        <w:keepNext/>
        <w:keepLines/>
        <w:pBdr>
          <w:top w:val="single" w:sz="4" w:space="1" w:color="auto"/>
          <w:left w:val="single" w:sz="4" w:space="4" w:color="auto"/>
          <w:bottom w:val="single" w:sz="4" w:space="1" w:color="auto"/>
          <w:right w:val="single" w:sz="4" w:space="4" w:color="auto"/>
        </w:pBdr>
        <w:shd w:val="clear" w:color="auto" w:fill="CCCCCC"/>
        <w:jc w:val="center"/>
        <w:outlineLvl w:val="6"/>
        <w:rPr>
          <w:rFonts w:ascii="Times New Roman" w:hAnsi="Times New Roman"/>
          <w:b/>
          <w:iCs/>
          <w:lang w:eastAsia="pt-BR"/>
        </w:rPr>
      </w:pPr>
      <w:bookmarkStart w:id="0" w:name="_Hlk133850544"/>
      <w:r w:rsidRPr="00CA4C81">
        <w:rPr>
          <w:rFonts w:ascii="Times New Roman" w:hAnsi="Times New Roman"/>
          <w:b/>
          <w:iCs/>
          <w:lang w:eastAsia="pt-BR"/>
        </w:rPr>
        <w:t>AVISO DE DISPENSA</w:t>
      </w:r>
      <w:r w:rsidR="00A96F69">
        <w:rPr>
          <w:rFonts w:ascii="Times New Roman" w:hAnsi="Times New Roman"/>
          <w:b/>
          <w:iCs/>
          <w:lang w:val="x-none" w:eastAsia="pt-BR"/>
        </w:rPr>
        <w:t xml:space="preserve"> Nº. 0</w:t>
      </w:r>
      <w:r w:rsidR="007F01EB">
        <w:rPr>
          <w:rFonts w:ascii="Times New Roman" w:hAnsi="Times New Roman"/>
          <w:b/>
          <w:iCs/>
          <w:lang w:eastAsia="pt-BR"/>
        </w:rPr>
        <w:t>33</w:t>
      </w:r>
      <w:r w:rsidRPr="00CA4C81">
        <w:rPr>
          <w:rFonts w:ascii="Times New Roman" w:hAnsi="Times New Roman"/>
          <w:b/>
          <w:iCs/>
          <w:lang w:val="x-none" w:eastAsia="pt-BR"/>
        </w:rPr>
        <w:t>/</w:t>
      </w:r>
      <w:r>
        <w:rPr>
          <w:rFonts w:ascii="Times New Roman" w:hAnsi="Times New Roman"/>
          <w:b/>
          <w:iCs/>
          <w:lang w:eastAsia="pt-BR"/>
        </w:rPr>
        <w:t>2024</w:t>
      </w:r>
    </w:p>
    <w:p w:rsidR="002E5DF1" w:rsidRPr="00CA4C81" w:rsidRDefault="002E5DF1" w:rsidP="002E5DF1">
      <w:pPr>
        <w:ind w:left="2832" w:firstLine="708"/>
        <w:jc w:val="both"/>
        <w:rPr>
          <w:rFonts w:ascii="Times New Roman" w:hAnsi="Times New Roman"/>
          <w:lang w:eastAsia="pt-BR"/>
        </w:rPr>
      </w:pPr>
    </w:p>
    <w:p w:rsidR="002E5DF1" w:rsidRPr="00CA4C81" w:rsidRDefault="002E5DF1" w:rsidP="002E5DF1">
      <w:pPr>
        <w:ind w:left="2832" w:firstLine="708"/>
        <w:jc w:val="both"/>
        <w:rPr>
          <w:rFonts w:ascii="Times New Roman" w:hAnsi="Times New Roman"/>
          <w:lang w:eastAsia="pt-BR"/>
        </w:rPr>
      </w:pPr>
    </w:p>
    <w:p w:rsidR="002E5DF1" w:rsidRDefault="002E5DF1" w:rsidP="002E5DF1">
      <w:pPr>
        <w:jc w:val="both"/>
        <w:rPr>
          <w:rFonts w:ascii="Times New Roman" w:hAnsi="Times New Roman"/>
          <w:b/>
          <w:lang w:eastAsia="pt-BR"/>
        </w:rPr>
      </w:pPr>
      <w:r w:rsidRPr="00CA4C81">
        <w:rPr>
          <w:rFonts w:ascii="Times New Roman" w:hAnsi="Times New Roman"/>
          <w:b/>
          <w:lang w:eastAsia="pt-BR"/>
        </w:rPr>
        <w:t>PROCESSO</w:t>
      </w:r>
      <w:r w:rsidRPr="00CA4C81">
        <w:rPr>
          <w:rFonts w:ascii="Times New Roman" w:hAnsi="Times New Roman"/>
          <w:bCs/>
          <w:lang w:eastAsia="pt-BR"/>
        </w:rPr>
        <w:t xml:space="preserve">: </w:t>
      </w:r>
      <w:r w:rsidR="00621EE4">
        <w:rPr>
          <w:rFonts w:ascii="Times New Roman" w:hAnsi="Times New Roman"/>
          <w:bCs/>
          <w:lang w:eastAsia="pt-BR"/>
        </w:rPr>
        <w:t>163</w:t>
      </w:r>
      <w:r>
        <w:rPr>
          <w:rFonts w:ascii="Times New Roman" w:hAnsi="Times New Roman"/>
          <w:lang w:eastAsia="pt-BR"/>
        </w:rPr>
        <w:t>/2024</w:t>
      </w:r>
      <w:r w:rsidRPr="00CA4C81">
        <w:rPr>
          <w:rFonts w:ascii="Times New Roman" w:hAnsi="Times New Roman"/>
          <w:lang w:eastAsia="pt-BR"/>
        </w:rPr>
        <w:t xml:space="preserve"> – </w:t>
      </w:r>
      <w:r w:rsidR="00621EE4">
        <w:rPr>
          <w:rFonts w:ascii="Times New Roman" w:hAnsi="Times New Roman"/>
          <w:lang w:eastAsia="pt-BR"/>
        </w:rPr>
        <w:t>DISPENSA: 03</w:t>
      </w:r>
      <w:r w:rsidR="007F01EB">
        <w:rPr>
          <w:rFonts w:ascii="Times New Roman" w:hAnsi="Times New Roman"/>
          <w:lang w:eastAsia="pt-BR"/>
        </w:rPr>
        <w:t>3</w:t>
      </w:r>
      <w:r>
        <w:rPr>
          <w:rFonts w:ascii="Times New Roman" w:hAnsi="Times New Roman"/>
          <w:lang w:eastAsia="pt-BR"/>
        </w:rPr>
        <w:t>/2024</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b/>
          <w:bCs/>
          <w:lang w:eastAsia="pt-BR"/>
        </w:rPr>
        <w:t xml:space="preserve">FUNDAMENTO </w:t>
      </w:r>
      <w:proofErr w:type="gramStart"/>
      <w:r>
        <w:rPr>
          <w:rFonts w:ascii="Times New Roman" w:hAnsi="Times New Roman"/>
          <w:b/>
          <w:bCs/>
          <w:lang w:eastAsia="pt-BR"/>
        </w:rPr>
        <w:t>LEGAL</w:t>
      </w:r>
      <w:r>
        <w:rPr>
          <w:rFonts w:ascii="Times New Roman" w:hAnsi="Times New Roman"/>
          <w:lang w:eastAsia="pt-BR"/>
        </w:rPr>
        <w:t xml:space="preserve"> :</w:t>
      </w:r>
      <w:proofErr w:type="gramEnd"/>
      <w:r>
        <w:rPr>
          <w:rFonts w:ascii="Times New Roman" w:hAnsi="Times New Roman"/>
          <w:lang w:eastAsia="pt-BR"/>
        </w:rPr>
        <w:t xml:space="preserve"> ART. Nº 75, INC</w:t>
      </w:r>
      <w:r w:rsidRPr="00787FCE">
        <w:rPr>
          <w:rFonts w:ascii="Times New Roman" w:hAnsi="Times New Roman"/>
          <w:lang w:eastAsia="pt-BR"/>
        </w:rPr>
        <w:t>ISO II da Lei 14</w:t>
      </w:r>
      <w:r>
        <w:rPr>
          <w:rFonts w:ascii="Times New Roman" w:hAnsi="Times New Roman"/>
          <w:lang w:eastAsia="pt-BR"/>
        </w:rPr>
        <w:t>.133/2021</w:t>
      </w:r>
    </w:p>
    <w:p w:rsidR="002E5DF1" w:rsidRPr="007C3F6E" w:rsidRDefault="002E5DF1" w:rsidP="002E5DF1">
      <w:pPr>
        <w:autoSpaceDE w:val="0"/>
        <w:autoSpaceDN w:val="0"/>
        <w:adjustRightInd w:val="0"/>
        <w:spacing w:after="160"/>
        <w:jc w:val="both"/>
        <w:rPr>
          <w:rFonts w:ascii="Times New Roman" w:hAnsi="Times New Roman"/>
          <w:bCs/>
          <w:lang w:eastAsia="pt-BR"/>
        </w:rPr>
      </w:pPr>
      <w:r w:rsidRPr="007C3F6E">
        <w:rPr>
          <w:rFonts w:ascii="Times New Roman" w:hAnsi="Times New Roman"/>
          <w:bCs/>
          <w:lang w:eastAsia="pt-BR"/>
        </w:rPr>
        <w:t xml:space="preserve">O Município de ÁGUA CLARA/MS, em conformidade com Art. 75, II da Lei Federal n.º 14.133/2021, torna público aos interessados que a administração municipal pretende realizar a </w:t>
      </w:r>
      <w:r w:rsidR="00A96F69" w:rsidRPr="00A96F69">
        <w:rPr>
          <w:rFonts w:ascii="Times New Roman" w:hAnsi="Times New Roman"/>
          <w:b/>
        </w:rPr>
        <w:t xml:space="preserve">aquisição contratação de empresa especializada em fornecimento </w:t>
      </w:r>
      <w:r w:rsidR="00A96F69" w:rsidRPr="00A96F69">
        <w:rPr>
          <w:rFonts w:ascii="Times New Roman" w:hAnsi="Times New Roman"/>
          <w:b/>
          <w:color w:val="000000"/>
        </w:rPr>
        <w:t xml:space="preserve">de </w:t>
      </w:r>
      <w:r w:rsidR="00A96F69" w:rsidRPr="00A96F69">
        <w:rPr>
          <w:rFonts w:ascii="Times New Roman" w:hAnsi="Times New Roman"/>
          <w:b/>
        </w:rPr>
        <w:t xml:space="preserve">RELÓGIOS DE PONTO ELETRÔNICO, visando atender as necessidades da Secretaria Municipal de </w:t>
      </w:r>
      <w:r w:rsidR="00621EE4">
        <w:rPr>
          <w:rFonts w:ascii="Times New Roman" w:hAnsi="Times New Roman"/>
          <w:b/>
        </w:rPr>
        <w:t xml:space="preserve">Desenvolvimento </w:t>
      </w:r>
      <w:r w:rsidR="007F01EB">
        <w:rPr>
          <w:rFonts w:ascii="Times New Roman" w:hAnsi="Times New Roman"/>
          <w:b/>
        </w:rPr>
        <w:t>Econômico</w:t>
      </w:r>
      <w:r w:rsidR="00621EE4">
        <w:rPr>
          <w:rFonts w:ascii="Times New Roman" w:hAnsi="Times New Roman"/>
          <w:b/>
        </w:rPr>
        <w:t xml:space="preserve"> e Sustentável </w:t>
      </w:r>
      <w:r w:rsidR="00A96F69" w:rsidRPr="00A96F69">
        <w:rPr>
          <w:rFonts w:ascii="Times New Roman" w:hAnsi="Times New Roman"/>
          <w:b/>
        </w:rPr>
        <w:t>do Município de Água Clara/MS</w:t>
      </w:r>
      <w:r w:rsidRPr="007C3F6E">
        <w:rPr>
          <w:rFonts w:ascii="Times New Roman" w:hAnsi="Times New Roman"/>
          <w:bCs/>
          <w:lang w:eastAsia="pt-BR"/>
        </w:rPr>
        <w:t>, podendo eventuais interessados apresentarem Proposta de Preços e documentos no prazo de 3 (três) dias úteis, a contar desta Publicação, oportunidade em que a administração escolherá a mais vantajosa.</w:t>
      </w:r>
    </w:p>
    <w:p w:rsidR="002E5DF1" w:rsidRPr="007A05D2" w:rsidRDefault="002E5DF1" w:rsidP="002E5DF1">
      <w:pPr>
        <w:contextualSpacing/>
        <w:jc w:val="both"/>
        <w:rPr>
          <w:rFonts w:ascii="Arial" w:eastAsia="Calibri" w:hAnsi="Arial" w:cs="Arial"/>
          <w:color w:val="000000"/>
        </w:rPr>
      </w:pPr>
    </w:p>
    <w:bookmarkEnd w:id="0"/>
    <w:p w:rsidR="002E5DF1" w:rsidRPr="00CA4C81" w:rsidRDefault="002E5DF1" w:rsidP="002E5DF1">
      <w:pPr>
        <w:autoSpaceDE w:val="0"/>
        <w:autoSpaceDN w:val="0"/>
        <w:adjustRightInd w:val="0"/>
        <w:spacing w:after="160"/>
        <w:jc w:val="both"/>
        <w:rPr>
          <w:rFonts w:ascii="Times New Roman" w:hAnsi="Times New Roman"/>
          <w:lang w:eastAsia="pt-BR"/>
        </w:rPr>
      </w:pPr>
      <w:r>
        <w:rPr>
          <w:rFonts w:ascii="Tahoma" w:hAnsi="Tahoma" w:cs="Tahoma"/>
          <w:lang w:eastAsia="pt-BR"/>
        </w:rPr>
        <w:t>﻿</w:t>
      </w:r>
      <w:r>
        <w:rPr>
          <w:rFonts w:ascii="Times New Roman" w:hAnsi="Times New Roman"/>
          <w:b/>
          <w:bCs/>
          <w:lang w:eastAsia="pt-BR"/>
        </w:rPr>
        <w:t xml:space="preserve">Limite para apresentação da proposta de </w:t>
      </w:r>
      <w:r w:rsidRPr="00CA4C81">
        <w:rPr>
          <w:rFonts w:ascii="Times New Roman" w:hAnsi="Times New Roman"/>
          <w:b/>
          <w:bCs/>
          <w:lang w:eastAsia="pt-BR"/>
        </w:rPr>
        <w:t>preços e dos documentos</w:t>
      </w:r>
      <w:r w:rsidRPr="00CA4C81">
        <w:rPr>
          <w:rFonts w:ascii="Times New Roman" w:hAnsi="Times New Roman"/>
          <w:lang w:eastAsia="pt-BR"/>
        </w:rPr>
        <w:t xml:space="preserve">: </w:t>
      </w:r>
      <w:r w:rsidR="00621EE4">
        <w:rPr>
          <w:rFonts w:ascii="Times New Roman" w:hAnsi="Times New Roman"/>
          <w:lang w:eastAsia="pt-BR"/>
        </w:rPr>
        <w:t>16/07</w:t>
      </w:r>
      <w:r>
        <w:rPr>
          <w:rFonts w:ascii="Times New Roman" w:hAnsi="Times New Roman"/>
          <w:lang w:eastAsia="pt-BR"/>
        </w:rPr>
        <w:t>/2024</w:t>
      </w:r>
      <w:r w:rsidRPr="00CA4C81">
        <w:rPr>
          <w:rFonts w:ascii="Times New Roman" w:hAnsi="Times New Roman"/>
          <w:lang w:eastAsia="pt-BR"/>
        </w:rPr>
        <w:t xml:space="preserve">.  </w:t>
      </w:r>
    </w:p>
    <w:p w:rsidR="002E5DF1" w:rsidRPr="00CA4C81" w:rsidRDefault="002E5DF1" w:rsidP="002E5DF1">
      <w:pPr>
        <w:autoSpaceDE w:val="0"/>
        <w:autoSpaceDN w:val="0"/>
        <w:adjustRightInd w:val="0"/>
        <w:spacing w:after="160"/>
        <w:jc w:val="both"/>
        <w:rPr>
          <w:rFonts w:ascii="Times New Roman" w:hAnsi="Times New Roman"/>
          <w:lang w:eastAsia="pt-BR"/>
        </w:rPr>
      </w:pPr>
      <w:r w:rsidRPr="00CA4C81">
        <w:rPr>
          <w:rFonts w:ascii="Times New Roman" w:hAnsi="Times New Roman"/>
          <w:b/>
          <w:bCs/>
          <w:lang w:eastAsia="pt-BR"/>
        </w:rPr>
        <w:t>Critério de julgamento</w:t>
      </w:r>
      <w:r w:rsidRPr="00CA4C81">
        <w:rPr>
          <w:rFonts w:ascii="Times New Roman" w:hAnsi="Times New Roman"/>
          <w:lang w:eastAsia="pt-BR"/>
        </w:rPr>
        <w:t xml:space="preserve">: MENOR PREÇO </w:t>
      </w:r>
    </w:p>
    <w:p w:rsidR="002E5DF1" w:rsidRDefault="002E5DF1" w:rsidP="002E5DF1">
      <w:pPr>
        <w:autoSpaceDE w:val="0"/>
        <w:autoSpaceDN w:val="0"/>
        <w:adjustRightInd w:val="0"/>
        <w:spacing w:after="160"/>
        <w:jc w:val="both"/>
        <w:rPr>
          <w:rFonts w:ascii="Times New Roman" w:hAnsi="Times New Roman"/>
          <w:lang w:eastAsia="pt-BR"/>
        </w:rPr>
      </w:pPr>
      <w:r w:rsidRPr="00CA4C81">
        <w:rPr>
          <w:rFonts w:ascii="Times New Roman" w:hAnsi="Times New Roman"/>
          <w:b/>
          <w:bCs/>
          <w:lang w:eastAsia="pt-BR"/>
        </w:rPr>
        <w:t>Endereço para entrega da proposta de preços e dos documentos</w:t>
      </w:r>
      <w:r w:rsidRPr="00CA4C81">
        <w:rPr>
          <w:rFonts w:ascii="Times New Roman" w:hAnsi="Times New Roman"/>
          <w:lang w:eastAsia="pt-BR"/>
        </w:rPr>
        <w:t xml:space="preserve">: As propostas e envios de documentação serão </w:t>
      </w:r>
      <w:proofErr w:type="gramStart"/>
      <w:r w:rsidRPr="00CA4C81">
        <w:rPr>
          <w:rFonts w:ascii="Times New Roman" w:hAnsi="Times New Roman"/>
          <w:lang w:eastAsia="pt-BR"/>
        </w:rPr>
        <w:t>recebidas</w:t>
      </w:r>
      <w:proofErr w:type="gramEnd"/>
      <w:r w:rsidRPr="00CA4C81">
        <w:rPr>
          <w:rFonts w:ascii="Times New Roman" w:hAnsi="Times New Roman"/>
          <w:lang w:eastAsia="pt-BR"/>
        </w:rPr>
        <w:t xml:space="preserve"> pelo e-mail dispensa.aguaclarams@gmail.com até às 23h59min do dia </w:t>
      </w:r>
      <w:r w:rsidR="00621EE4">
        <w:rPr>
          <w:rFonts w:ascii="Times New Roman" w:hAnsi="Times New Roman"/>
          <w:lang w:eastAsia="pt-BR"/>
        </w:rPr>
        <w:t>16/07</w:t>
      </w:r>
      <w:r>
        <w:rPr>
          <w:rFonts w:ascii="Times New Roman" w:hAnsi="Times New Roman"/>
          <w:lang w:eastAsia="pt-BR"/>
        </w:rPr>
        <w:t>/2024</w:t>
      </w:r>
      <w:r w:rsidRPr="00CA4C81">
        <w:rPr>
          <w:rFonts w:ascii="Times New Roman" w:hAnsi="Times New Roman"/>
          <w:lang w:eastAsia="pt-BR"/>
        </w:rPr>
        <w:t xml:space="preserve"> ou</w:t>
      </w:r>
      <w:r>
        <w:rPr>
          <w:rFonts w:ascii="Times New Roman" w:hAnsi="Times New Roman"/>
          <w:lang w:eastAsia="pt-BR"/>
        </w:rPr>
        <w:t xml:space="preserve"> entregues mediante protocolo ao setor de Licitações em horário de expediente das 07h ás 13h (horário local).</w:t>
      </w:r>
    </w:p>
    <w:p w:rsidR="002E5DF1" w:rsidRDefault="002E5DF1" w:rsidP="002E5DF1">
      <w:pPr>
        <w:autoSpaceDE w:val="0"/>
        <w:autoSpaceDN w:val="0"/>
        <w:adjustRightInd w:val="0"/>
        <w:spacing w:after="160"/>
        <w:jc w:val="both"/>
        <w:rPr>
          <w:rFonts w:ascii="Times New Roman" w:hAnsi="Times New Roman"/>
          <w:lang w:eastAsia="pt-BR"/>
        </w:rPr>
      </w:pPr>
      <w:bookmarkStart w:id="1" w:name="_Hlk133663925"/>
      <w:r>
        <w:rPr>
          <w:rFonts w:ascii="Times New Roman" w:hAnsi="Times New Roman"/>
          <w:lang w:eastAsia="pt-BR"/>
        </w:rPr>
        <w:t xml:space="preserve">O termo de referência e modelo de proposta de preços </w:t>
      </w:r>
      <w:proofErr w:type="gramStart"/>
      <w:r>
        <w:rPr>
          <w:rFonts w:ascii="Times New Roman" w:hAnsi="Times New Roman"/>
          <w:lang w:eastAsia="pt-BR"/>
        </w:rPr>
        <w:t>estão</w:t>
      </w:r>
      <w:proofErr w:type="gramEnd"/>
      <w:r>
        <w:rPr>
          <w:rFonts w:ascii="Times New Roman" w:hAnsi="Times New Roman"/>
          <w:lang w:eastAsia="pt-BR"/>
        </w:rPr>
        <w:t xml:space="preserve"> disponíveis no Site Oficial do Município através do link X</w:t>
      </w:r>
      <w:r w:rsidRPr="009A3CFE">
        <w:t xml:space="preserve"> </w:t>
      </w:r>
      <w:hyperlink r:id="rId5" w:anchor="204-2023-1674578915" w:history="1">
        <w:r w:rsidRPr="00A22828">
          <w:rPr>
            <w:rStyle w:val="Hyperlink"/>
            <w:rFonts w:ascii="Times New Roman" w:hAnsi="Times New Roman"/>
            <w:lang w:eastAsia="pt-BR"/>
          </w:rPr>
          <w:t>http://www.pmaguaclara.ms.gov.br/publicacoes/aviso-de-licitacao/#204-2023-1674578915</w:t>
        </w:r>
      </w:hyperlink>
      <w:r>
        <w:rPr>
          <w:rFonts w:ascii="Times New Roman" w:hAnsi="Times New Roman"/>
          <w:lang w:eastAsia="pt-BR"/>
        </w:rPr>
        <w:t xml:space="preserve"> e no PNCP – Portal Nacional de Contratação Pública através do link </w:t>
      </w:r>
      <w:hyperlink r:id="rId6" w:history="1">
        <w:r>
          <w:rPr>
            <w:rStyle w:val="Hyperlink"/>
            <w:rFonts w:ascii="Times New Roman" w:hAnsi="Times New Roman"/>
            <w:lang w:eastAsia="pt-BR"/>
          </w:rPr>
          <w:t>https://pncp.gov.br/app/editais?q=&amp;status=recebendo_proposta&amp;pagina=1</w:t>
        </w:r>
      </w:hyperlink>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Segue abaixo a relação de documentos a ser enviada junto com a proposta de preços (que deve estar completamente preenchida e assinada).</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a) ato constitutivo, estatuto ou contrato social em vigor;</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b) cópia de documento oficial de identificação pessoal do representante apto;</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c) Inscrição no Cadastro Nacional da Pessoa Jurídica (CNPJ);</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d) Certidão expedida conjuntamente pela Secretaria da Receita Federal do Brasil (RFB) e pela Procuradoria-Geral da Fazenda Nacional (PGFN), que comprove a regularidade fiscal do licitante referente a todos os créditos tributários federais e à Dívida Ativa da União (DAU) por elas administrados;</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 xml:space="preserve">e) Prova de regularidade com a Fazenda Estadual (Certidão Negativa de Débitos, ou Positiva com efeito de Negativa de Tributos Estaduais), emitido pelo órgão competente, da localidade de domicilio ou sede da empresa do proponente ou apresentação da Certidão de não contribuinte, que comprove a regularidade de débitos tributários referentes ao Imposto sobre Operações relativas à Circulação de Mercadorias e sobre Prestações de Serviços de Transporte Interestadual, Intermunicipal e de Comunicação – ICMS, quando o objeto se referir </w:t>
      </w:r>
      <w:proofErr w:type="gramStart"/>
      <w:r>
        <w:rPr>
          <w:rFonts w:ascii="Times New Roman" w:hAnsi="Times New Roman"/>
          <w:lang w:eastAsia="pt-BR"/>
        </w:rPr>
        <w:t>a</w:t>
      </w:r>
      <w:proofErr w:type="gramEnd"/>
      <w:r>
        <w:rPr>
          <w:rFonts w:ascii="Times New Roman" w:hAnsi="Times New Roman"/>
          <w:lang w:eastAsia="pt-BR"/>
        </w:rPr>
        <w:t xml:space="preserve"> aquisição;</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 xml:space="preserve">f) Prova de regularidade com a Fazenda Municipal (Certidão Negativa de Débitos, ou Positiva com efeito de Negativa de Tributos Municipais), emitido pelo órgão </w:t>
      </w:r>
      <w:r>
        <w:rPr>
          <w:rFonts w:ascii="Times New Roman" w:hAnsi="Times New Roman"/>
          <w:lang w:eastAsia="pt-BR"/>
        </w:rPr>
        <w:lastRenderedPageBreak/>
        <w:t>competente, da localidade de domicílio ou sede da empresa do proponente ou apresentação da Certidão de não contribuinte, na forma da Lei, que comprove a regularidade de débitos tributários referentes ao Imposto sobre Serviços de Qualquer Natureza – ISSQN, quando o objeto se referir a serviços ou obras de engenharia;</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 xml:space="preserve">g) regularidade relativa à Seguridade Social e ao FGTS, que demonstre cumprimento dos encargos sociais instituídos por lei; </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h) regularidade perante a Justiça do Trabalho;</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i) o cumprimento do disposto no inciso XXXIII do art. 7º da Constituição Federal, mediante Declaração devidamente assinada pelo representante legal da empresa.</w:t>
      </w:r>
    </w:p>
    <w:p w:rsidR="002E5DF1" w:rsidRDefault="002E5DF1" w:rsidP="002E5DF1">
      <w:pPr>
        <w:autoSpaceDE w:val="0"/>
        <w:autoSpaceDN w:val="0"/>
        <w:adjustRightInd w:val="0"/>
        <w:spacing w:after="160"/>
        <w:jc w:val="both"/>
        <w:rPr>
          <w:rFonts w:ascii="Times New Roman" w:hAnsi="Times New Roman"/>
          <w:lang w:eastAsia="pt-BR"/>
        </w:rPr>
      </w:pPr>
      <w:r>
        <w:rPr>
          <w:rFonts w:ascii="Times New Roman" w:hAnsi="Times New Roman"/>
          <w:lang w:eastAsia="pt-BR"/>
        </w:rPr>
        <w:t>j) o cumprimento do disposto no inciso XVI do art. 92 da Lei Federal 14.133/2021, mediante Declaração devidamente assinada pelo representante legal da empresa.</w:t>
      </w:r>
    </w:p>
    <w:bookmarkEnd w:id="1"/>
    <w:p w:rsidR="002E5DF1" w:rsidRDefault="002E5DF1" w:rsidP="002E5DF1">
      <w:pPr>
        <w:autoSpaceDE w:val="0"/>
        <w:autoSpaceDN w:val="0"/>
        <w:adjustRightInd w:val="0"/>
        <w:spacing w:after="160"/>
        <w:jc w:val="both"/>
        <w:rPr>
          <w:rFonts w:ascii="Times New Roman" w:hAnsi="Times New Roman"/>
          <w:highlight w:val="yellow"/>
          <w:lang w:eastAsia="pt-BR"/>
        </w:rPr>
      </w:pPr>
      <w:r>
        <w:rPr>
          <w:rFonts w:ascii="Times New Roman" w:hAnsi="Times New Roman"/>
          <w:lang w:eastAsia="pt-BR"/>
        </w:rPr>
        <w:t xml:space="preserve">Outras informações poderão ser obtidas através do e-mail: </w:t>
      </w:r>
      <w:hyperlink r:id="rId7" w:history="1">
        <w:r w:rsidRPr="00A22828">
          <w:rPr>
            <w:rStyle w:val="Hyperlink"/>
            <w:rFonts w:ascii="Times New Roman" w:hAnsi="Times New Roman"/>
            <w:lang w:eastAsia="pt-BR"/>
          </w:rPr>
          <w:t>dispensa.aguaclarams@gmail.com</w:t>
        </w:r>
      </w:hyperlink>
      <w:r>
        <w:rPr>
          <w:rFonts w:ascii="Times New Roman" w:hAnsi="Times New Roman"/>
          <w:highlight w:val="yellow"/>
          <w:lang w:eastAsia="pt-BR"/>
        </w:rPr>
        <w:t xml:space="preserve"> </w:t>
      </w:r>
    </w:p>
    <w:p w:rsidR="002E5DF1" w:rsidRDefault="002E5DF1" w:rsidP="002E5DF1">
      <w:pPr>
        <w:autoSpaceDE w:val="0"/>
        <w:autoSpaceDN w:val="0"/>
        <w:adjustRightInd w:val="0"/>
        <w:spacing w:after="160"/>
        <w:jc w:val="both"/>
        <w:rPr>
          <w:rFonts w:ascii="Times New Roman" w:hAnsi="Times New Roman"/>
          <w:highlight w:val="yellow"/>
          <w:lang w:eastAsia="pt-BR"/>
        </w:rPr>
      </w:pPr>
    </w:p>
    <w:p w:rsidR="002E5DF1" w:rsidRDefault="002E5DF1" w:rsidP="002E5DF1">
      <w:pPr>
        <w:autoSpaceDE w:val="0"/>
        <w:autoSpaceDN w:val="0"/>
        <w:adjustRightInd w:val="0"/>
        <w:spacing w:after="160"/>
        <w:jc w:val="both"/>
        <w:rPr>
          <w:rFonts w:ascii="Times New Roman" w:hAnsi="Times New Roman"/>
          <w:highlight w:val="yellow"/>
          <w:lang w:eastAsia="pt-BR"/>
        </w:rPr>
      </w:pPr>
    </w:p>
    <w:p w:rsidR="002E5DF1" w:rsidRPr="00CA4C81" w:rsidRDefault="002E5DF1" w:rsidP="002E5DF1">
      <w:pPr>
        <w:autoSpaceDE w:val="0"/>
        <w:autoSpaceDN w:val="0"/>
        <w:adjustRightInd w:val="0"/>
        <w:spacing w:after="160"/>
        <w:jc w:val="right"/>
        <w:rPr>
          <w:rFonts w:ascii="Times New Roman" w:hAnsi="Times New Roman"/>
          <w:lang w:eastAsia="pt-BR"/>
        </w:rPr>
      </w:pPr>
      <w:r w:rsidRPr="00CA4C81">
        <w:rPr>
          <w:rFonts w:ascii="Times New Roman" w:hAnsi="Times New Roman"/>
          <w:lang w:eastAsia="pt-BR"/>
        </w:rPr>
        <w:t xml:space="preserve">Água Clara/MS, </w:t>
      </w:r>
      <w:r w:rsidR="00621EE4">
        <w:rPr>
          <w:rFonts w:ascii="Times New Roman" w:hAnsi="Times New Roman"/>
          <w:lang w:eastAsia="pt-BR"/>
        </w:rPr>
        <w:t>11</w:t>
      </w:r>
      <w:r w:rsidRPr="00CA4C81">
        <w:rPr>
          <w:rFonts w:ascii="Times New Roman" w:hAnsi="Times New Roman"/>
          <w:lang w:eastAsia="pt-BR"/>
        </w:rPr>
        <w:t xml:space="preserve"> de </w:t>
      </w:r>
      <w:r w:rsidR="00621EE4">
        <w:rPr>
          <w:rFonts w:ascii="Times New Roman" w:hAnsi="Times New Roman"/>
          <w:lang w:eastAsia="pt-BR"/>
        </w:rPr>
        <w:t>julho</w:t>
      </w:r>
      <w:r>
        <w:rPr>
          <w:rFonts w:ascii="Times New Roman" w:hAnsi="Times New Roman"/>
          <w:lang w:eastAsia="pt-BR"/>
        </w:rPr>
        <w:t xml:space="preserve"> de </w:t>
      </w:r>
      <w:proofErr w:type="gramStart"/>
      <w:r>
        <w:rPr>
          <w:rFonts w:ascii="Times New Roman" w:hAnsi="Times New Roman"/>
          <w:lang w:eastAsia="pt-BR"/>
        </w:rPr>
        <w:t>2024</w:t>
      </w:r>
      <w:proofErr w:type="gramEnd"/>
    </w:p>
    <w:p w:rsidR="002E5DF1" w:rsidRPr="00CA4C81" w:rsidRDefault="002E5DF1" w:rsidP="002E5DF1">
      <w:pPr>
        <w:autoSpaceDE w:val="0"/>
        <w:autoSpaceDN w:val="0"/>
        <w:adjustRightInd w:val="0"/>
        <w:spacing w:after="160"/>
        <w:jc w:val="both"/>
        <w:rPr>
          <w:rFonts w:ascii="Times New Roman" w:hAnsi="Times New Roman"/>
          <w:lang w:eastAsia="pt-BR"/>
        </w:rPr>
      </w:pPr>
    </w:p>
    <w:p w:rsidR="002E5DF1" w:rsidRPr="00CA4C81" w:rsidRDefault="002E5DF1" w:rsidP="002E5DF1">
      <w:pPr>
        <w:autoSpaceDE w:val="0"/>
        <w:autoSpaceDN w:val="0"/>
        <w:adjustRightInd w:val="0"/>
        <w:spacing w:after="160"/>
        <w:jc w:val="both"/>
        <w:rPr>
          <w:rFonts w:ascii="Times New Roman" w:hAnsi="Times New Roman"/>
          <w:lang w:eastAsia="pt-BR"/>
        </w:rPr>
      </w:pPr>
      <w:r w:rsidRPr="00CA4C81">
        <w:rPr>
          <w:rFonts w:ascii="Tahoma" w:hAnsi="Tahoma" w:cs="Tahoma"/>
          <w:lang w:eastAsia="pt-BR"/>
        </w:rPr>
        <w:t>﻿</w:t>
      </w:r>
    </w:p>
    <w:p w:rsidR="002E5DF1" w:rsidRPr="00CA4C81" w:rsidRDefault="002E5DF1" w:rsidP="002E5DF1">
      <w:pPr>
        <w:autoSpaceDE w:val="0"/>
        <w:autoSpaceDN w:val="0"/>
        <w:adjustRightInd w:val="0"/>
        <w:spacing w:after="160"/>
        <w:jc w:val="both"/>
        <w:rPr>
          <w:rFonts w:ascii="Times New Roman" w:hAnsi="Times New Roman"/>
          <w:lang w:eastAsia="pt-BR"/>
        </w:rPr>
      </w:pPr>
    </w:p>
    <w:p w:rsidR="002E5DF1" w:rsidRPr="00CA4C81" w:rsidRDefault="002E5DF1" w:rsidP="002E5DF1">
      <w:pPr>
        <w:rPr>
          <w:rFonts w:ascii="Times New Roman" w:hAnsi="Times New Roman"/>
          <w:lang w:eastAsia="pt-BR"/>
        </w:rPr>
      </w:pPr>
    </w:p>
    <w:p w:rsidR="002E5DF1" w:rsidRDefault="000B2E69" w:rsidP="000B2E69">
      <w:pPr>
        <w:jc w:val="center"/>
        <w:rPr>
          <w:rFonts w:ascii="Times New Roman" w:hAnsi="Times New Roman"/>
          <w:lang w:eastAsia="pt-BR"/>
        </w:rPr>
      </w:pPr>
      <w:r>
        <w:rPr>
          <w:rFonts w:ascii="Times New Roman" w:hAnsi="Times New Roman"/>
          <w:lang w:eastAsia="pt-BR"/>
        </w:rPr>
        <w:t>________________</w:t>
      </w:r>
      <w:bookmarkStart w:id="2" w:name="_GoBack"/>
      <w:bookmarkEnd w:id="2"/>
      <w:r>
        <w:rPr>
          <w:rFonts w:ascii="Times New Roman" w:hAnsi="Times New Roman"/>
          <w:lang w:eastAsia="pt-BR"/>
        </w:rPr>
        <w:t>________________</w:t>
      </w:r>
    </w:p>
    <w:p w:rsidR="000B2E69" w:rsidRDefault="000B2E69" w:rsidP="000B2E69">
      <w:pPr>
        <w:pStyle w:val="Cabealho"/>
        <w:jc w:val="center"/>
        <w:rPr>
          <w:rFonts w:ascii="Arial" w:hAnsi="Arial" w:cs="Arial"/>
          <w:b/>
        </w:rPr>
      </w:pPr>
      <w:r>
        <w:rPr>
          <w:rFonts w:ascii="Arial" w:hAnsi="Arial" w:cs="Arial"/>
          <w:b/>
        </w:rPr>
        <w:t xml:space="preserve">Cintia </w:t>
      </w:r>
      <w:proofErr w:type="spellStart"/>
      <w:r>
        <w:rPr>
          <w:rFonts w:ascii="Arial" w:hAnsi="Arial" w:cs="Arial"/>
          <w:b/>
        </w:rPr>
        <w:t>Keren</w:t>
      </w:r>
      <w:proofErr w:type="spellEnd"/>
      <w:r>
        <w:rPr>
          <w:rFonts w:ascii="Arial" w:hAnsi="Arial" w:cs="Arial"/>
          <w:b/>
        </w:rPr>
        <w:t xml:space="preserve"> Varas de Lima</w:t>
      </w:r>
    </w:p>
    <w:p w:rsidR="000B2E69" w:rsidRPr="0041565E" w:rsidRDefault="000B2E69" w:rsidP="000B2E69">
      <w:pPr>
        <w:ind w:right="-1"/>
        <w:jc w:val="center"/>
        <w:rPr>
          <w:rFonts w:ascii="Arial" w:hAnsi="Arial" w:cs="Arial"/>
        </w:rPr>
      </w:pPr>
      <w:r w:rsidRPr="0041565E">
        <w:rPr>
          <w:rFonts w:ascii="Arial" w:hAnsi="Arial" w:cs="Arial"/>
        </w:rPr>
        <w:t>Secretária Municipal de Desenvolvimento Econômico e Sustentável</w:t>
      </w:r>
    </w:p>
    <w:p w:rsidR="0092791B" w:rsidRDefault="0092791B"/>
    <w:sectPr w:rsidR="0092791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DF1"/>
    <w:rsid w:val="000B2E69"/>
    <w:rsid w:val="002E5DF1"/>
    <w:rsid w:val="00481FCF"/>
    <w:rsid w:val="00621EE4"/>
    <w:rsid w:val="007F01EB"/>
    <w:rsid w:val="0092791B"/>
    <w:rsid w:val="009862FD"/>
    <w:rsid w:val="00A96F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DF1"/>
    <w:pPr>
      <w:spacing w:after="0" w:line="240" w:lineRule="auto"/>
    </w:pPr>
    <w:rPr>
      <w:rFonts w:ascii="Cambria" w:eastAsia="Times New Roman" w:hAnsi="Cambria"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2E5DF1"/>
    <w:rPr>
      <w:color w:val="0000FF"/>
      <w:u w:val="single"/>
    </w:rPr>
  </w:style>
  <w:style w:type="paragraph" w:styleId="Corpodetexto">
    <w:name w:val="Body Text"/>
    <w:basedOn w:val="Normal"/>
    <w:link w:val="CorpodetextoChar"/>
    <w:uiPriority w:val="1"/>
    <w:qFormat/>
    <w:rsid w:val="002E5DF1"/>
    <w:pPr>
      <w:widowControl w:val="0"/>
      <w:autoSpaceDE w:val="0"/>
      <w:autoSpaceDN w:val="0"/>
    </w:pPr>
    <w:rPr>
      <w:rFonts w:ascii="Microsoft Sans Serif" w:eastAsia="Microsoft Sans Serif" w:hAnsi="Microsoft Sans Serif" w:cs="Microsoft Sans Serif"/>
      <w:sz w:val="18"/>
      <w:szCs w:val="18"/>
      <w:lang w:val="pt-PT" w:eastAsia="pt-PT" w:bidi="pt-PT"/>
    </w:rPr>
  </w:style>
  <w:style w:type="character" w:customStyle="1" w:styleId="CorpodetextoChar">
    <w:name w:val="Corpo de texto Char"/>
    <w:basedOn w:val="Fontepargpadro"/>
    <w:link w:val="Corpodetexto"/>
    <w:uiPriority w:val="1"/>
    <w:rsid w:val="002E5DF1"/>
    <w:rPr>
      <w:rFonts w:ascii="Microsoft Sans Serif" w:eastAsia="Microsoft Sans Serif" w:hAnsi="Microsoft Sans Serif" w:cs="Microsoft Sans Serif"/>
      <w:sz w:val="18"/>
      <w:szCs w:val="18"/>
      <w:lang w:val="pt-PT" w:eastAsia="pt-PT" w:bidi="pt-PT"/>
    </w:rPr>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Char"/>
    <w:basedOn w:val="Normal"/>
    <w:link w:val="CabealhoChar"/>
    <w:unhideWhenUsed/>
    <w:rsid w:val="000B2E69"/>
    <w:pPr>
      <w:tabs>
        <w:tab w:val="center" w:pos="4252"/>
        <w:tab w:val="right" w:pos="8504"/>
      </w:tabs>
    </w:pPr>
    <w:rPr>
      <w:rFonts w:ascii="Calibri" w:eastAsia="Calibri" w:hAnsi="Calibri"/>
      <w:sz w:val="22"/>
      <w:szCs w:val="22"/>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0B2E6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DF1"/>
    <w:pPr>
      <w:spacing w:after="0" w:line="240" w:lineRule="auto"/>
    </w:pPr>
    <w:rPr>
      <w:rFonts w:ascii="Cambria" w:eastAsia="Times New Roman" w:hAnsi="Cambria"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2E5DF1"/>
    <w:rPr>
      <w:color w:val="0000FF"/>
      <w:u w:val="single"/>
    </w:rPr>
  </w:style>
  <w:style w:type="paragraph" w:styleId="Corpodetexto">
    <w:name w:val="Body Text"/>
    <w:basedOn w:val="Normal"/>
    <w:link w:val="CorpodetextoChar"/>
    <w:uiPriority w:val="1"/>
    <w:qFormat/>
    <w:rsid w:val="002E5DF1"/>
    <w:pPr>
      <w:widowControl w:val="0"/>
      <w:autoSpaceDE w:val="0"/>
      <w:autoSpaceDN w:val="0"/>
    </w:pPr>
    <w:rPr>
      <w:rFonts w:ascii="Microsoft Sans Serif" w:eastAsia="Microsoft Sans Serif" w:hAnsi="Microsoft Sans Serif" w:cs="Microsoft Sans Serif"/>
      <w:sz w:val="18"/>
      <w:szCs w:val="18"/>
      <w:lang w:val="pt-PT" w:eastAsia="pt-PT" w:bidi="pt-PT"/>
    </w:rPr>
  </w:style>
  <w:style w:type="character" w:customStyle="1" w:styleId="CorpodetextoChar">
    <w:name w:val="Corpo de texto Char"/>
    <w:basedOn w:val="Fontepargpadro"/>
    <w:link w:val="Corpodetexto"/>
    <w:uiPriority w:val="1"/>
    <w:rsid w:val="002E5DF1"/>
    <w:rPr>
      <w:rFonts w:ascii="Microsoft Sans Serif" w:eastAsia="Microsoft Sans Serif" w:hAnsi="Microsoft Sans Serif" w:cs="Microsoft Sans Serif"/>
      <w:sz w:val="18"/>
      <w:szCs w:val="18"/>
      <w:lang w:val="pt-PT" w:eastAsia="pt-PT" w:bidi="pt-PT"/>
    </w:rPr>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Char"/>
    <w:basedOn w:val="Normal"/>
    <w:link w:val="CabealhoChar"/>
    <w:unhideWhenUsed/>
    <w:rsid w:val="000B2E69"/>
    <w:pPr>
      <w:tabs>
        <w:tab w:val="center" w:pos="4252"/>
        <w:tab w:val="right" w:pos="8504"/>
      </w:tabs>
    </w:pPr>
    <w:rPr>
      <w:rFonts w:ascii="Calibri" w:eastAsia="Calibri" w:hAnsi="Calibri"/>
      <w:sz w:val="22"/>
      <w:szCs w:val="22"/>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0B2E6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ispensa.aguaclarams@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pncp.gov.br/app/editais?q=&amp;status=recebendo_proposta&amp;pagina=1" TargetMode="External"/><Relationship Id="rId5" Type="http://schemas.openxmlformats.org/officeDocument/2006/relationships/hyperlink" Target="http://www.pmaguaclara.ms.gov.br/publicacoes/aviso-de-licitaca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647</Words>
  <Characters>3496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pgm.aguaclara@outlook.com</dc:creator>
  <cp:lastModifiedBy>pgm.aguaclara@outlook.com</cp:lastModifiedBy>
  <cp:revision>6</cp:revision>
  <dcterms:created xsi:type="dcterms:W3CDTF">2024-05-20T11:32:00Z</dcterms:created>
  <dcterms:modified xsi:type="dcterms:W3CDTF">2024-07-11T15:29:00Z</dcterms:modified>
</cp:coreProperties>
</file>