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695ABA">
      <w:pPr>
        <w:autoSpaceDE w:val="0"/>
        <w:autoSpaceDN w:val="0"/>
        <w:adjustRightInd w:val="0"/>
        <w:rPr>
          <w:rFonts w:eastAsia="Calibri"/>
          <w:b/>
          <w:bCs/>
          <w:sz w:val="32"/>
          <w:szCs w:val="32"/>
          <w:lang w:eastAsia="pt-BR"/>
        </w:rPr>
      </w:pPr>
      <w:bookmarkStart w:id="0" w:name="_Hlk156141427"/>
      <w:r>
        <w:rPr>
          <w:rFonts w:eastAsia="Calibri"/>
          <w:b/>
          <w:bCs/>
          <w:sz w:val="32"/>
          <w:szCs w:val="32"/>
          <w:lang w:eastAsia="pt-BR"/>
        </w:rPr>
        <w:t xml:space="preserve">PREGÃO ELETRÔNICO </w:t>
      </w:r>
      <w:r>
        <w:rPr>
          <w:rFonts w:eastAsia="Calibri"/>
          <w:b/>
          <w:bCs/>
          <w:color w:val="4472C4"/>
          <w:sz w:val="32"/>
          <w:szCs w:val="32"/>
          <w:lang w:eastAsia="pt-BR"/>
        </w:rPr>
        <w:t>19/2025</w:t>
      </w:r>
    </w:p>
    <w:p w14:paraId="31CA6C62">
      <w:pPr>
        <w:autoSpaceDE w:val="0"/>
        <w:autoSpaceDN w:val="0"/>
        <w:adjustRightInd w:val="0"/>
        <w:spacing w:line="252" w:lineRule="auto"/>
        <w:rPr>
          <w:rFonts w:eastAsia="Calibri"/>
          <w:b/>
          <w:bCs/>
          <w:sz w:val="32"/>
          <w:szCs w:val="32"/>
          <w:lang w:eastAsia="pt-BR"/>
        </w:rPr>
      </w:pPr>
    </w:p>
    <w:p w14:paraId="3DACCB23">
      <w:pPr>
        <w:autoSpaceDE w:val="0"/>
        <w:autoSpaceDN w:val="0"/>
        <w:adjustRightInd w:val="0"/>
        <w:spacing w:line="252" w:lineRule="auto"/>
        <w:rPr>
          <w:rFonts w:eastAsia="Calibri"/>
          <w:b/>
          <w:bCs/>
          <w:sz w:val="32"/>
          <w:szCs w:val="32"/>
          <w:lang w:eastAsia="pt-BR"/>
        </w:rPr>
      </w:pPr>
    </w:p>
    <w:p w14:paraId="28F9C7E5">
      <w:pPr>
        <w:autoSpaceDE w:val="0"/>
        <w:autoSpaceDN w:val="0"/>
        <w:adjustRightInd w:val="0"/>
        <w:spacing w:line="252" w:lineRule="auto"/>
        <w:rPr>
          <w:rFonts w:eastAsia="Calibri"/>
          <w:b/>
          <w:bCs/>
          <w:color w:val="44546A"/>
          <w:sz w:val="32"/>
          <w:szCs w:val="32"/>
          <w:lang w:eastAsia="pt-BR"/>
        </w:rPr>
      </w:pPr>
      <w:r>
        <w:rPr>
          <w:rFonts w:eastAsia="Calibri"/>
          <w:b/>
          <w:bCs/>
          <w:sz w:val="32"/>
          <w:szCs w:val="32"/>
          <w:lang w:eastAsia="pt-BR"/>
        </w:rPr>
        <w:t xml:space="preserve">CONTRATANTE </w:t>
      </w:r>
      <w:r>
        <w:rPr>
          <w:rFonts w:eastAsia="Calibri"/>
          <w:b/>
          <w:bCs/>
          <w:color w:val="4472C4"/>
          <w:sz w:val="32"/>
          <w:szCs w:val="32"/>
          <w:lang w:eastAsia="pt-BR"/>
        </w:rPr>
        <w:t>MUNICÍPIO DE CARACOL/MS</w:t>
      </w:r>
    </w:p>
    <w:p w14:paraId="11766F4A">
      <w:pPr>
        <w:autoSpaceDE w:val="0"/>
        <w:autoSpaceDN w:val="0"/>
        <w:adjustRightInd w:val="0"/>
        <w:rPr>
          <w:rFonts w:eastAsia="Calibri"/>
          <w:b/>
          <w:bCs/>
          <w:sz w:val="32"/>
          <w:szCs w:val="32"/>
          <w:lang w:eastAsia="pt-BR"/>
        </w:rPr>
      </w:pPr>
    </w:p>
    <w:p w14:paraId="07982E39">
      <w:pPr>
        <w:suppressAutoHyphens w:val="0"/>
        <w:autoSpaceDE w:val="0"/>
        <w:autoSpaceDN w:val="0"/>
        <w:adjustRightInd w:val="0"/>
        <w:jc w:val="both"/>
        <w:rPr>
          <w:rFonts w:eastAsia="Calibri"/>
          <w:color w:val="5B5B5F"/>
          <w:sz w:val="32"/>
          <w:szCs w:val="32"/>
          <w:lang w:eastAsia="pt-BR"/>
        </w:rPr>
      </w:pPr>
      <w:r>
        <w:rPr>
          <w:rFonts w:eastAsia="Calibri"/>
          <w:b/>
          <w:bCs/>
          <w:sz w:val="32"/>
          <w:szCs w:val="32"/>
          <w:lang w:eastAsia="pt-BR"/>
        </w:rPr>
        <w:t xml:space="preserve">OBJETO </w:t>
      </w:r>
      <w:r>
        <w:rPr>
          <w:rFonts w:eastAsia="Calibri"/>
          <w:b/>
          <w:bCs/>
          <w:color w:val="4472C4"/>
          <w:sz w:val="28"/>
          <w:szCs w:val="28"/>
          <w:lang w:eastAsia="pt-BR"/>
        </w:rPr>
        <w:t>AQUISIÇÃO</w:t>
      </w:r>
      <w:r>
        <w:rPr>
          <w:rFonts w:eastAsia="Calibri"/>
          <w:b/>
          <w:bCs/>
          <w:color w:val="4472C4"/>
          <w:sz w:val="32"/>
          <w:szCs w:val="32"/>
          <w:lang w:eastAsia="pt-BR"/>
        </w:rPr>
        <w:t xml:space="preserve"> DE PERSIANAS COM SUA RESPECTIVA INSTALAÇÃO NO LOCAL/SETOR SOLICITANTE, PARA ATENDER AS DEMANDAS DAS SECRETARIAS E GABINETE DA PREFEITURA MUNICIPAL DE CARACOL/MS</w:t>
      </w:r>
    </w:p>
    <w:p w14:paraId="7431E6FE">
      <w:pPr>
        <w:autoSpaceDE w:val="0"/>
        <w:autoSpaceDN w:val="0"/>
        <w:adjustRightInd w:val="0"/>
        <w:rPr>
          <w:rFonts w:eastAsia="Calibri"/>
          <w:color w:val="5B5B5F"/>
          <w:sz w:val="32"/>
          <w:szCs w:val="32"/>
          <w:lang w:eastAsia="pt-BR"/>
        </w:rPr>
      </w:pPr>
    </w:p>
    <w:p w14:paraId="39779782">
      <w:pPr>
        <w:autoSpaceDE w:val="0"/>
        <w:autoSpaceDN w:val="0"/>
        <w:adjustRightInd w:val="0"/>
        <w:jc w:val="both"/>
        <w:rPr>
          <w:rFonts w:eastAsia="Calibri"/>
          <w:b/>
          <w:bCs/>
          <w:color w:val="FF0000"/>
          <w:sz w:val="32"/>
          <w:szCs w:val="32"/>
          <w:lang w:eastAsia="pt-BR"/>
        </w:rPr>
      </w:pPr>
      <w:r>
        <w:rPr>
          <w:rFonts w:eastAsia="Calibri"/>
          <w:b/>
          <w:bCs/>
          <w:sz w:val="32"/>
          <w:szCs w:val="32"/>
          <w:lang w:eastAsia="pt-BR"/>
        </w:rPr>
        <w:t>VALOR TOTAL DA CONTRATAÇÃO</w:t>
      </w:r>
      <w:r>
        <w:rPr>
          <w:rFonts w:eastAsia="Calibri"/>
          <w:b/>
          <w:bCs/>
          <w:sz w:val="32"/>
          <w:szCs w:val="32"/>
          <w:lang w:val="en-US" w:eastAsia="pt-BR"/>
        </w:rPr>
        <w:t>:</w:t>
      </w:r>
      <w:r>
        <w:rPr>
          <w:rFonts w:eastAsia="Calibri"/>
          <w:b/>
          <w:bCs/>
          <w:color w:val="4472C4"/>
          <w:sz w:val="32"/>
          <w:szCs w:val="32"/>
          <w:lang w:val="en-US" w:eastAsia="pt-BR"/>
        </w:rPr>
        <w:t xml:space="preserve"> </w:t>
      </w:r>
      <w:r>
        <w:rPr>
          <w:rFonts w:eastAsia="Calibri"/>
          <w:b/>
          <w:bCs/>
          <w:color w:val="4472C4"/>
          <w:sz w:val="32"/>
          <w:szCs w:val="32"/>
          <w:lang w:eastAsia="pt-BR"/>
        </w:rPr>
        <w:t>R$ 124.162,24.</w:t>
      </w:r>
    </w:p>
    <w:p w14:paraId="3BFC2C2B">
      <w:pPr>
        <w:autoSpaceDE w:val="0"/>
        <w:autoSpaceDN w:val="0"/>
        <w:adjustRightInd w:val="0"/>
        <w:rPr>
          <w:rFonts w:eastAsia="Calibri"/>
          <w:sz w:val="32"/>
          <w:szCs w:val="32"/>
          <w:lang w:eastAsia="pt-BR"/>
        </w:rPr>
      </w:pPr>
    </w:p>
    <w:p w14:paraId="54375492">
      <w:pPr>
        <w:autoSpaceDE w:val="0"/>
        <w:autoSpaceDN w:val="0"/>
        <w:adjustRightInd w:val="0"/>
        <w:rPr>
          <w:rFonts w:eastAsia="Calibri"/>
          <w:b/>
          <w:bCs/>
          <w:sz w:val="32"/>
          <w:szCs w:val="32"/>
          <w:lang w:eastAsia="pt-BR"/>
        </w:rPr>
      </w:pPr>
      <w:r>
        <w:rPr>
          <w:rFonts w:eastAsia="Calibri"/>
          <w:b/>
          <w:bCs/>
          <w:sz w:val="32"/>
          <w:szCs w:val="32"/>
          <w:lang w:eastAsia="pt-BR"/>
        </w:rPr>
        <w:t>DATA DA SESSÃO PÚBLICA</w:t>
      </w:r>
    </w:p>
    <w:p w14:paraId="69B454E8">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 xml:space="preserve">Dia </w:t>
      </w:r>
      <w:r>
        <w:rPr>
          <w:rFonts w:hint="default" w:eastAsia="Calibri"/>
          <w:b/>
          <w:bCs/>
          <w:color w:val="4472C4"/>
          <w:sz w:val="32"/>
          <w:szCs w:val="32"/>
          <w:lang w:val="en-US" w:eastAsia="pt-BR"/>
        </w:rPr>
        <w:t>16/07</w:t>
      </w:r>
      <w:r>
        <w:rPr>
          <w:rFonts w:eastAsia="Calibri"/>
          <w:b/>
          <w:bCs/>
          <w:color w:val="4472C4"/>
          <w:sz w:val="32"/>
          <w:szCs w:val="32"/>
          <w:lang w:eastAsia="pt-BR"/>
        </w:rPr>
        <w:t>/2025</w:t>
      </w:r>
    </w:p>
    <w:p w14:paraId="462A2963">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às 09:00hr (horário de Brasília)</w:t>
      </w:r>
    </w:p>
    <w:p w14:paraId="60E9599B">
      <w:pPr>
        <w:autoSpaceDE w:val="0"/>
        <w:autoSpaceDN w:val="0"/>
        <w:adjustRightInd w:val="0"/>
        <w:jc w:val="both"/>
        <w:rPr>
          <w:rFonts w:eastAsia="Calibri"/>
          <w:b/>
          <w:bCs/>
          <w:caps/>
          <w:sz w:val="32"/>
          <w:szCs w:val="32"/>
          <w:lang w:eastAsia="pt-BR"/>
        </w:rPr>
      </w:pPr>
    </w:p>
    <w:p w14:paraId="731F81DF">
      <w:pPr>
        <w:autoSpaceDE w:val="0"/>
        <w:autoSpaceDN w:val="0"/>
        <w:adjustRightInd w:val="0"/>
        <w:jc w:val="both"/>
        <w:rPr>
          <w:rFonts w:eastAsia="Calibri"/>
          <w:b/>
          <w:bCs/>
          <w:color w:val="4472C4"/>
          <w:sz w:val="32"/>
          <w:szCs w:val="32"/>
          <w:lang w:val="en-US" w:eastAsia="pt-BR"/>
        </w:rPr>
      </w:pPr>
      <w:r>
        <w:rPr>
          <w:rFonts w:eastAsia="Calibri"/>
          <w:b/>
          <w:bCs/>
          <w:caps/>
          <w:sz w:val="32"/>
          <w:szCs w:val="32"/>
          <w:lang w:eastAsia="pt-BR"/>
        </w:rPr>
        <w:t xml:space="preserve">Critério de Julgamento: </w:t>
      </w:r>
      <w:r>
        <w:rPr>
          <w:rFonts w:eastAsia="Calibri"/>
          <w:b/>
          <w:bCs/>
          <w:color w:val="4472C4"/>
          <w:sz w:val="32"/>
          <w:szCs w:val="32"/>
          <w:lang w:eastAsia="pt-BR"/>
        </w:rPr>
        <w:t xml:space="preserve">MENOR PREÇO </w:t>
      </w:r>
      <w:r>
        <w:rPr>
          <w:rFonts w:eastAsia="Calibri"/>
          <w:b/>
          <w:bCs/>
          <w:color w:val="4472C4"/>
          <w:sz w:val="28"/>
          <w:szCs w:val="28"/>
          <w:lang w:val="en-US" w:eastAsia="pt-BR"/>
        </w:rPr>
        <w:t>GLOBAL</w:t>
      </w:r>
    </w:p>
    <w:p w14:paraId="1AC63DCD">
      <w:pPr>
        <w:autoSpaceDE w:val="0"/>
        <w:autoSpaceDN w:val="0"/>
        <w:adjustRightInd w:val="0"/>
        <w:jc w:val="both"/>
        <w:rPr>
          <w:rFonts w:eastAsia="Calibri"/>
          <w:sz w:val="32"/>
          <w:szCs w:val="32"/>
          <w:lang w:eastAsia="pt-BR"/>
        </w:rPr>
      </w:pPr>
    </w:p>
    <w:p w14:paraId="423DA9A1">
      <w:pPr>
        <w:autoSpaceDE w:val="0"/>
        <w:autoSpaceDN w:val="0"/>
        <w:adjustRightInd w:val="0"/>
        <w:jc w:val="both"/>
        <w:rPr>
          <w:rFonts w:eastAsia="Calibri"/>
          <w:b/>
          <w:bCs/>
          <w:color w:val="4472C4"/>
          <w:sz w:val="32"/>
          <w:szCs w:val="32"/>
          <w:lang w:eastAsia="pt-BR"/>
        </w:rPr>
      </w:pPr>
      <w:r>
        <w:rPr>
          <w:rFonts w:eastAsia="Calibri"/>
          <w:b/>
          <w:bCs/>
          <w:caps/>
          <w:sz w:val="32"/>
          <w:szCs w:val="32"/>
          <w:lang w:eastAsia="pt-BR"/>
        </w:rPr>
        <w:t xml:space="preserve">Modo de disputa: </w:t>
      </w:r>
      <w:r>
        <w:rPr>
          <w:rFonts w:eastAsia="Calibri"/>
          <w:b/>
          <w:bCs/>
          <w:color w:val="4472C4"/>
          <w:sz w:val="32"/>
          <w:szCs w:val="32"/>
          <w:lang w:eastAsia="pt-BR"/>
        </w:rPr>
        <w:t xml:space="preserve">ABERTO </w:t>
      </w:r>
    </w:p>
    <w:p w14:paraId="25A6DAE3">
      <w:pPr>
        <w:autoSpaceDE w:val="0"/>
        <w:autoSpaceDN w:val="0"/>
        <w:adjustRightInd w:val="0"/>
        <w:jc w:val="both"/>
        <w:rPr>
          <w:rFonts w:eastAsia="Calibri"/>
          <w:b/>
          <w:bCs/>
          <w:color w:val="4472C4"/>
          <w:sz w:val="32"/>
          <w:szCs w:val="32"/>
          <w:lang w:eastAsia="pt-BR"/>
        </w:rPr>
      </w:pPr>
    </w:p>
    <w:p w14:paraId="2C5EA72D">
      <w:pPr>
        <w:autoSpaceDE w:val="0"/>
        <w:autoSpaceDN w:val="0"/>
        <w:adjustRightInd w:val="0"/>
        <w:jc w:val="both"/>
        <w:rPr>
          <w:rFonts w:eastAsia="Calibri"/>
          <w:color w:val="FF0000"/>
          <w:sz w:val="32"/>
          <w:szCs w:val="32"/>
          <w:lang w:eastAsia="pt-BR"/>
        </w:rPr>
      </w:pPr>
      <w:r>
        <w:rPr>
          <w:rFonts w:eastAsia="Calibri"/>
          <w:b/>
          <w:bCs/>
          <w:sz w:val="32"/>
          <w:szCs w:val="32"/>
          <w:lang w:eastAsia="pt-BR"/>
        </w:rPr>
        <w:t>REGITRO DE PREÇO:</w:t>
      </w:r>
      <w:r>
        <w:rPr>
          <w:rFonts w:eastAsia="Calibri"/>
          <w:b/>
          <w:bCs/>
          <w:color w:val="4472C4"/>
          <w:sz w:val="32"/>
          <w:szCs w:val="32"/>
          <w:lang w:eastAsia="pt-BR"/>
        </w:rPr>
        <w:t xml:space="preserve"> SIM</w:t>
      </w:r>
    </w:p>
    <w:p w14:paraId="52A15C41">
      <w:pPr>
        <w:autoSpaceDE w:val="0"/>
        <w:autoSpaceDN w:val="0"/>
        <w:adjustRightInd w:val="0"/>
        <w:rPr>
          <w:rFonts w:eastAsia="Calibri"/>
          <w:sz w:val="32"/>
          <w:szCs w:val="32"/>
          <w:lang w:eastAsia="pt-BR"/>
        </w:rPr>
      </w:pPr>
    </w:p>
    <w:p w14:paraId="744E744F">
      <w:pPr>
        <w:autoSpaceDE w:val="0"/>
        <w:autoSpaceDN w:val="0"/>
        <w:adjustRightInd w:val="0"/>
        <w:rPr>
          <w:rFonts w:eastAsia="Calibri"/>
          <w:b/>
          <w:bCs/>
          <w:color w:val="4472C4"/>
          <w:sz w:val="32"/>
          <w:szCs w:val="32"/>
          <w:lang w:eastAsia="pt-BR"/>
        </w:rPr>
      </w:pPr>
      <w:r>
        <w:rPr>
          <w:rFonts w:eastAsia="Calibri"/>
          <w:b/>
          <w:bCs/>
          <w:sz w:val="32"/>
          <w:szCs w:val="32"/>
          <w:lang w:eastAsia="pt-BR"/>
        </w:rPr>
        <w:t>EXCLUSIVO ME/EPP:</w:t>
      </w:r>
      <w:r>
        <w:rPr>
          <w:rFonts w:eastAsia="Calibri"/>
          <w:b/>
          <w:bCs/>
          <w:color w:val="4472C4"/>
          <w:sz w:val="32"/>
          <w:szCs w:val="32"/>
          <w:lang w:eastAsia="pt-BR"/>
        </w:rPr>
        <w:t>SIM</w:t>
      </w:r>
    </w:p>
    <w:p w14:paraId="00D0DFEE">
      <w:pPr>
        <w:autoSpaceDE w:val="0"/>
        <w:autoSpaceDN w:val="0"/>
        <w:adjustRightInd w:val="0"/>
        <w:spacing w:before="120" w:after="120" w:line="276" w:lineRule="auto"/>
        <w:jc w:val="center"/>
        <w:rPr>
          <w:rFonts w:eastAsia="Calibri"/>
          <w:b/>
          <w:bCs/>
          <w:sz w:val="32"/>
          <w:szCs w:val="32"/>
          <w:lang w:eastAsia="pt-BR"/>
        </w:rPr>
      </w:pPr>
    </w:p>
    <w:p w14:paraId="682B7038">
      <w:pPr>
        <w:autoSpaceDE w:val="0"/>
        <w:autoSpaceDN w:val="0"/>
        <w:adjustRightInd w:val="0"/>
        <w:rPr>
          <w:rFonts w:eastAsia="Calibri"/>
          <w:b/>
          <w:bCs/>
          <w:sz w:val="32"/>
          <w:szCs w:val="32"/>
          <w:lang w:eastAsia="pt-BR"/>
        </w:rPr>
      </w:pPr>
      <w:r>
        <w:rPr>
          <w:rFonts w:eastAsia="Calibri"/>
          <w:b/>
          <w:bCs/>
          <w:sz w:val="32"/>
          <w:szCs w:val="32"/>
          <w:lang w:eastAsia="pt-BR"/>
        </w:rPr>
        <w:t>PREGOEIRO E EQUIPE DE APOIO:</w:t>
      </w:r>
    </w:p>
    <w:p w14:paraId="657D0E7A">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 xml:space="preserve">VANDERLI VEIRA XIMENES </w:t>
      </w:r>
    </w:p>
    <w:p w14:paraId="09A14679">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LUCIENE LOPES LESCANO</w:t>
      </w:r>
    </w:p>
    <w:p w14:paraId="0B1955DE">
      <w:pPr>
        <w:autoSpaceDE w:val="0"/>
        <w:autoSpaceDN w:val="0"/>
        <w:adjustRightInd w:val="0"/>
        <w:rPr>
          <w:rFonts w:eastAsia="Calibri"/>
          <w:sz w:val="32"/>
          <w:szCs w:val="32"/>
          <w:lang w:eastAsia="pt-BR"/>
        </w:rPr>
      </w:pPr>
      <w:r>
        <w:rPr>
          <w:rFonts w:eastAsia="Calibri"/>
          <w:b/>
          <w:bCs/>
          <w:color w:val="4472C4"/>
          <w:sz w:val="32"/>
          <w:szCs w:val="32"/>
          <w:lang w:eastAsia="pt-BR"/>
        </w:rPr>
        <w:t>DANIEL MAGALHÃES FRANCO</w:t>
      </w:r>
    </w:p>
    <w:p w14:paraId="65FFEB2E">
      <w:pPr>
        <w:autoSpaceDE w:val="0"/>
        <w:autoSpaceDN w:val="0"/>
        <w:adjustRightInd w:val="0"/>
        <w:rPr>
          <w:rFonts w:eastAsia="Calibri"/>
          <w:b/>
          <w:bCs/>
          <w:color w:val="4472C4"/>
          <w:szCs w:val="24"/>
          <w:lang w:eastAsia="pt-BR"/>
        </w:rPr>
      </w:pPr>
    </w:p>
    <w:p w14:paraId="25EE3322">
      <w:pPr>
        <w:suppressAutoHyphens w:val="0"/>
        <w:autoSpaceDE w:val="0"/>
        <w:autoSpaceDN w:val="0"/>
        <w:adjustRightInd w:val="0"/>
        <w:rPr>
          <w:rFonts w:eastAsia="Calibri"/>
          <w:szCs w:val="24"/>
          <w:lang w:eastAsia="pt-BR"/>
        </w:rPr>
      </w:pPr>
      <w:r>
        <w:rPr>
          <w:rFonts w:eastAsia="Calibri"/>
          <w:b/>
          <w:bCs/>
          <w:szCs w:val="24"/>
          <w:lang w:eastAsia="pt-BR"/>
        </w:rPr>
        <w:br w:type="page"/>
      </w:r>
    </w:p>
    <w:p w14:paraId="16EF6DB7">
      <w:pPr>
        <w:autoSpaceDE w:val="0"/>
        <w:autoSpaceDN w:val="0"/>
        <w:adjustRightInd w:val="0"/>
        <w:spacing w:before="72" w:after="72"/>
        <w:jc w:val="center"/>
        <w:rPr>
          <w:rFonts w:eastAsia="Calibri"/>
          <w:b/>
          <w:bCs/>
          <w:szCs w:val="24"/>
          <w:lang w:eastAsia="pt-BR"/>
        </w:rPr>
      </w:pPr>
      <w:r>
        <w:rPr>
          <w:rFonts w:eastAsia="Calibri"/>
          <w:b/>
          <w:bCs/>
          <w:szCs w:val="24"/>
          <w:lang w:eastAsia="pt-BR"/>
        </w:rPr>
        <w:t>PREGÃO ELETRÔNICO Nº 19/2025</w:t>
      </w:r>
    </w:p>
    <w:p w14:paraId="7A50BE0C">
      <w:pPr>
        <w:widowControl w:val="0"/>
        <w:autoSpaceDE w:val="0"/>
        <w:autoSpaceDN w:val="0"/>
        <w:adjustRightInd w:val="0"/>
        <w:spacing w:before="72" w:after="72"/>
        <w:jc w:val="center"/>
        <w:rPr>
          <w:rFonts w:eastAsia="Calibri"/>
          <w:b/>
          <w:bCs/>
          <w:szCs w:val="24"/>
          <w:lang w:eastAsia="pt-BR"/>
        </w:rPr>
      </w:pPr>
      <w:r>
        <w:rPr>
          <w:rFonts w:eastAsia="Calibri"/>
          <w:b/>
          <w:bCs/>
          <w:szCs w:val="24"/>
          <w:lang w:eastAsia="pt-BR"/>
        </w:rPr>
        <w:t>(Processo Administrativo n° 033/2025)</w:t>
      </w:r>
    </w:p>
    <w:p w14:paraId="0697D7E3">
      <w:pPr>
        <w:suppressAutoHyphens w:val="0"/>
        <w:autoSpaceDE w:val="0"/>
        <w:autoSpaceDN w:val="0"/>
        <w:adjustRightInd w:val="0"/>
        <w:spacing w:before="6" w:after="6"/>
        <w:ind w:firstLine="1134"/>
        <w:jc w:val="both"/>
        <w:rPr>
          <w:rFonts w:eastAsia="Calibri"/>
          <w:szCs w:val="24"/>
          <w:lang w:eastAsia="pt-BR"/>
        </w:rPr>
      </w:pPr>
      <w:r>
        <w:rPr>
          <w:rFonts w:eastAsia="Calibri"/>
          <w:szCs w:val="24"/>
          <w:lang w:eastAsia="pt-BR"/>
        </w:rPr>
        <w:t xml:space="preserve">Torna-se público que o Município de Caracol/MS por meio do(a) setor de Licitações  sediado(a) a Avenida Libindo Ferreira Leite  251 Centro Caracol/MS realizará licitação, para registro de preços, na modalidade PREGÃO, na forma ELETRÔNICA, nos termos da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1º de abril de 2021</w:t>
      </w:r>
      <w:r>
        <w:rPr>
          <w:rFonts w:eastAsia="Calibri"/>
          <w:color w:val="000080"/>
          <w:szCs w:val="24"/>
          <w:u w:val="single"/>
          <w:lang w:eastAsia="pt-BR"/>
        </w:rPr>
        <w:fldChar w:fldCharType="end"/>
      </w:r>
      <w:r>
        <w:rPr>
          <w:rFonts w:eastAsia="Calibri"/>
          <w:szCs w:val="24"/>
          <w:lang w:eastAsia="pt-BR"/>
        </w:rPr>
        <w:t xml:space="preserve">, do Decreto municipal nº 63/2025, e demais legislação aplicável (disponíveis no link </w:t>
      </w:r>
      <w:r>
        <w:fldChar w:fldCharType="begin"/>
      </w:r>
      <w:r>
        <w:instrText xml:space="preserve"> HYPERLINK "https://pmcaracol.ms.gov.br/category/lei-14133/" </w:instrText>
      </w:r>
      <w:r>
        <w:fldChar w:fldCharType="separate"/>
      </w:r>
      <w:r>
        <w:rPr>
          <w:rFonts w:eastAsia="Calibri"/>
          <w:szCs w:val="24"/>
          <w:lang w:eastAsia="pt-BR"/>
        </w:rPr>
        <w:t>https://pmcaracol.ms.gov.br/category/lei-14133/</w:t>
      </w:r>
      <w:r>
        <w:rPr>
          <w:rFonts w:eastAsia="Calibri"/>
          <w:szCs w:val="24"/>
          <w:lang w:eastAsia="pt-BR"/>
        </w:rPr>
        <w:fldChar w:fldCharType="end"/>
      </w:r>
      <w:r>
        <w:rPr>
          <w:rFonts w:eastAsia="Calibri"/>
          <w:szCs w:val="24"/>
          <w:lang w:eastAsia="pt-BR"/>
        </w:rPr>
        <w:t>) e ainda, de acordo com as condições estabelecidas neste Edital.</w:t>
      </w:r>
    </w:p>
    <w:p w14:paraId="0A41C6F5">
      <w:pPr>
        <w:suppressAutoHyphens w:val="0"/>
        <w:autoSpaceDE w:val="0"/>
        <w:autoSpaceDN w:val="0"/>
        <w:adjustRightInd w:val="0"/>
        <w:spacing w:before="6" w:after="6"/>
        <w:ind w:firstLine="1134"/>
        <w:jc w:val="both"/>
        <w:rPr>
          <w:rFonts w:eastAsia="Calibri"/>
          <w:szCs w:val="24"/>
          <w:lang w:eastAsia="pt-BR"/>
        </w:rPr>
      </w:pPr>
    </w:p>
    <w:p w14:paraId="187A4DEB">
      <w:pPr>
        <w:shd w:val="clear" w:color="auto" w:fill="FFFFFF"/>
        <w:autoSpaceDE w:val="0"/>
        <w:autoSpaceDN w:val="0"/>
        <w:adjustRightInd w:val="0"/>
        <w:spacing w:before="6" w:after="6"/>
        <w:jc w:val="both"/>
        <w:rPr>
          <w:rFonts w:eastAsia="Calibri"/>
          <w:b/>
          <w:bCs/>
          <w:szCs w:val="24"/>
          <w:lang w:val="en-US" w:eastAsia="pt-BR"/>
        </w:rPr>
      </w:pPr>
      <w:r>
        <w:rPr>
          <w:rFonts w:eastAsia="Calibri"/>
          <w:b/>
          <w:bCs/>
          <w:szCs w:val="24"/>
          <w:lang w:eastAsia="pt-BR"/>
        </w:rPr>
        <w:t xml:space="preserve">Critério de Julgamento: Menor preço </w:t>
      </w:r>
      <w:r>
        <w:rPr>
          <w:rFonts w:eastAsia="Calibri"/>
          <w:b/>
          <w:bCs/>
          <w:szCs w:val="24"/>
          <w:lang w:val="en-US" w:eastAsia="pt-BR"/>
        </w:rPr>
        <w:t>global</w:t>
      </w:r>
    </w:p>
    <w:p w14:paraId="270BEA98">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r>
        <w:rPr>
          <w:rFonts w:eastAsia="Calibri"/>
          <w:szCs w:val="24"/>
          <w:lang w:eastAsia="pt-BR"/>
        </w:rPr>
        <w:tab/>
      </w:r>
    </w:p>
    <w:p w14:paraId="0F3381DE">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p>
    <w:p w14:paraId="4609E16A">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Pr>
          <w:rFonts w:eastAsia="Calibri"/>
          <w:szCs w:val="24"/>
          <w:lang w:val="en-US" w:eastAsia="pt-BR"/>
        </w:rPr>
        <w:t xml:space="preserve"> </w:t>
      </w:r>
      <w:r>
        <w:rPr>
          <w:rFonts w:hint="default" w:eastAsia="Calibri"/>
          <w:szCs w:val="24"/>
          <w:lang w:val="en-US" w:eastAsia="pt-BR"/>
        </w:rPr>
        <w:t>16/07</w:t>
      </w:r>
      <w:r>
        <w:rPr>
          <w:rFonts w:eastAsia="Calibri"/>
          <w:szCs w:val="24"/>
          <w:lang w:eastAsia="pt-BR"/>
        </w:rPr>
        <w:t xml:space="preserve">/2025 às 09:00 horas (Horário de Brasília - DF) </w:t>
      </w:r>
    </w:p>
    <w:p w14:paraId="04196917">
      <w:pPr>
        <w:suppressAutoHyphens w:val="0"/>
        <w:autoSpaceDE w:val="0"/>
        <w:autoSpaceDN w:val="0"/>
        <w:adjustRightInd w:val="0"/>
        <w:spacing w:before="6" w:after="6"/>
        <w:ind w:firstLine="1134"/>
        <w:jc w:val="both"/>
        <w:rPr>
          <w:rFonts w:eastAsia="Calibri"/>
          <w:color w:val="00B050"/>
          <w:szCs w:val="24"/>
          <w:lang w:eastAsia="pt-BR"/>
        </w:rPr>
      </w:pPr>
    </w:p>
    <w:p w14:paraId="5DE15911">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Pr>
          <w:rFonts w:eastAsia="Calibri"/>
          <w:b/>
          <w:bCs/>
          <w:color w:val="000000"/>
          <w:szCs w:val="24"/>
          <w:lang w:eastAsia="pt-BR"/>
        </w:rPr>
        <w:t>1. DO OBJETO</w:t>
      </w:r>
    </w:p>
    <w:p w14:paraId="2922C67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Pr>
          <w:rFonts w:eastAsia="Calibri"/>
          <w:szCs w:val="24"/>
          <w:lang w:eastAsia="pt-BR"/>
        </w:rPr>
        <w:tab/>
      </w:r>
      <w:r>
        <w:rPr>
          <w:rFonts w:eastAsia="Calibri"/>
          <w:szCs w:val="24"/>
          <w:lang w:eastAsia="pt-BR"/>
        </w:rPr>
        <w:t>O objeto da presente licitação é a</w:t>
      </w:r>
      <w:r>
        <w:rPr>
          <w:rFonts w:eastAsia="Calibri"/>
          <w:b/>
          <w:bCs/>
          <w:szCs w:val="24"/>
          <w:lang w:eastAsia="pt-BR"/>
        </w:rPr>
        <w:t xml:space="preserve"> Aquisição de persianas com sua respectiva instalação no local/setor solicitante, para atender as demandas das secretarias e gabinete da Prefeitura Municipal de Caracol/MS, </w:t>
      </w:r>
      <w:r>
        <w:rPr>
          <w:rFonts w:eastAsia="Calibri"/>
          <w:szCs w:val="24"/>
          <w:lang w:eastAsia="pt-BR"/>
        </w:rPr>
        <w:t>conforme condições, quantidades e exigências estabelecidas neste Edital e seus anexos.</w:t>
      </w:r>
    </w:p>
    <w:p w14:paraId="3625265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 A licitação será realizada, em lote único conforme tabela constante no Termo de Referência, devendo o licitante oferecer proposta para os itens de for de seu interesse.</w:t>
      </w:r>
    </w:p>
    <w:p w14:paraId="4A3CA049">
      <w:pPr>
        <w:suppressAutoHyphens w:val="0"/>
        <w:autoSpaceDE w:val="0"/>
        <w:autoSpaceDN w:val="0"/>
        <w:adjustRightInd w:val="0"/>
        <w:spacing w:before="6" w:after="6"/>
        <w:jc w:val="both"/>
        <w:rPr>
          <w:rFonts w:eastAsia="Calibri"/>
          <w:szCs w:val="24"/>
          <w:lang w:eastAsia="pt-BR"/>
        </w:rPr>
      </w:pPr>
    </w:p>
    <w:p w14:paraId="12DDF1B4">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2. DO REGISTRO DE PREÇOS</w:t>
      </w:r>
    </w:p>
    <w:p w14:paraId="678E506B">
      <w:pPr>
        <w:suppressAutoHyphens w:val="0"/>
        <w:autoSpaceDE w:val="0"/>
        <w:autoSpaceDN w:val="0"/>
        <w:adjustRightInd w:val="0"/>
        <w:spacing w:before="6" w:after="6"/>
        <w:jc w:val="both"/>
        <w:rPr>
          <w:rFonts w:eastAsia="Calibri"/>
          <w:szCs w:val="24"/>
          <w:lang w:eastAsia="pt-BR"/>
        </w:rPr>
      </w:pPr>
      <w:r>
        <w:rPr>
          <w:rFonts w:eastAsia="Calibri"/>
          <w:szCs w:val="24"/>
          <w:lang w:eastAsia="pt-BR"/>
        </w:rPr>
        <w:t>2.1 As regras referentes aos órgãos gerenciador e participantes, bem como a eventuais adesões</w:t>
      </w:r>
    </w:p>
    <w:p w14:paraId="59B00464">
      <w:pPr>
        <w:suppressAutoHyphens w:val="0"/>
        <w:autoSpaceDE w:val="0"/>
        <w:autoSpaceDN w:val="0"/>
        <w:adjustRightInd w:val="0"/>
        <w:spacing w:before="6" w:after="6"/>
        <w:jc w:val="both"/>
        <w:rPr>
          <w:rFonts w:eastAsia="Calibri"/>
          <w:szCs w:val="24"/>
          <w:lang w:eastAsia="pt-BR"/>
        </w:rPr>
      </w:pPr>
      <w:r>
        <w:rPr>
          <w:rFonts w:eastAsia="Calibri"/>
          <w:szCs w:val="24"/>
          <w:lang w:eastAsia="pt-BR"/>
        </w:rPr>
        <w:t>são as que constam da minuta de Ata de Registro de Preços.</w:t>
      </w:r>
    </w:p>
    <w:p w14:paraId="73DE19F7">
      <w:pPr>
        <w:pStyle w:val="44"/>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Pr>
          <w:rFonts w:eastAsia="Calibri"/>
          <w:b/>
          <w:bCs/>
          <w:szCs w:val="24"/>
          <w:lang w:eastAsia="pt-BR"/>
        </w:rPr>
        <w:t>DA PARTICIPAÇÃO NA LICITAÇÃO</w:t>
      </w:r>
    </w:p>
    <w:p w14:paraId="2A971902">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3.1. Poderão participar deste Pregão os interessados que estiverem previamente credenciados no Sistema BLL COMPRAS (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r>
        <w:rPr>
          <w:rFonts w:eastAsia="Calibri"/>
          <w:szCs w:val="24"/>
          <w:lang w:eastAsia="pt-BR"/>
        </w:rPr>
        <w:t xml:space="preserve"> ). </w:t>
      </w:r>
    </w:p>
    <w:p w14:paraId="01A73A5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3.2. Os interessados deverão atender às condições exigidas no cadastramento no Sistema mencionado no item 3.1. em tempo hábil para envio das propostas.</w:t>
      </w:r>
    </w:p>
    <w:p w14:paraId="0776FD6C">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AE4C078">
      <w:pPr>
        <w:suppressAutoHyphens w:val="0"/>
        <w:autoSpaceDE w:val="0"/>
        <w:autoSpaceDN w:val="0"/>
        <w:adjustRightInd w:val="0"/>
        <w:spacing w:before="6" w:after="6"/>
        <w:jc w:val="both"/>
        <w:rPr>
          <w:rFonts w:eastAsia="Calibri"/>
          <w:szCs w:val="24"/>
          <w:lang w:eastAsia="pt-BR"/>
        </w:rPr>
      </w:pPr>
      <w:r>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B8B5B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 A não observância do disposto no item anterior poderá ensejar desclassificação no momento da habilitação.</w:t>
      </w:r>
    </w:p>
    <w:p w14:paraId="2D1F0D5C">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3.6. Será concedido tratamento favorecido para as microempresas e empresas de pequeno porte, para as sociedades cooperativas mencionadas no </w:t>
      </w:r>
      <w:r>
        <w:fldChar w:fldCharType="begin"/>
      </w:r>
      <w:r>
        <w:instrText xml:space="preserve"> HYPERLINK "http://www.planalto.gov.br/ccivil_03/_ato2019-2022/2021/lei/L14133.htm" \l "art16" </w:instrText>
      </w:r>
      <w:r>
        <w:fldChar w:fldCharType="separate"/>
      </w:r>
      <w:r>
        <w:rPr>
          <w:rFonts w:eastAsia="Calibri"/>
          <w:color w:val="000080"/>
          <w:szCs w:val="24"/>
          <w:u w:val="single"/>
          <w:lang w:eastAsia="pt-BR"/>
        </w:rPr>
        <w:t>artigo 16 da Lei nº 14.133, de 2021</w:t>
      </w:r>
      <w:r>
        <w:rPr>
          <w:rFonts w:eastAsia="Calibri"/>
          <w:color w:val="000080"/>
          <w:szCs w:val="24"/>
          <w:u w:val="single"/>
          <w:lang w:eastAsia="pt-BR"/>
        </w:rPr>
        <w:fldChar w:fldCharType="end"/>
      </w:r>
      <w:r>
        <w:rPr>
          <w:rFonts w:eastAsia="Calibri"/>
          <w:szCs w:val="24"/>
          <w:lang w:eastAsia="pt-BR"/>
        </w:rPr>
        <w:t xml:space="preserve">, para o agricultor familiar, o produtor rural pessoa física e para o microempreendedor individual - MEI, nos limites previstos da </w:t>
      </w:r>
      <w:r>
        <w:fldChar w:fldCharType="begin"/>
      </w:r>
      <w:r>
        <w:instrText xml:space="preserve"> HYPERLINK "https://www.planalto.gov.br/ccivil_03/leis/lcp/lcp123.htm" </w:instrText>
      </w:r>
      <w:r>
        <w:fldChar w:fldCharType="separate"/>
      </w:r>
      <w:r>
        <w:rPr>
          <w:rFonts w:eastAsia="Calibri"/>
          <w:color w:val="000080"/>
          <w:szCs w:val="24"/>
          <w:u w:val="single"/>
          <w:lang w:eastAsia="pt-BR"/>
        </w:rPr>
        <w:t>Lei Complementar nº 123, de 2006</w:t>
      </w:r>
      <w:r>
        <w:rPr>
          <w:rFonts w:eastAsia="Calibri"/>
          <w:color w:val="000080"/>
          <w:szCs w:val="24"/>
          <w:u w:val="single"/>
          <w:lang w:eastAsia="pt-BR"/>
        </w:rPr>
        <w:fldChar w:fldCharType="end"/>
      </w:r>
      <w:r>
        <w:rPr>
          <w:rFonts w:eastAsia="Calibri"/>
          <w:szCs w:val="24"/>
          <w:lang w:eastAsia="pt-BR"/>
        </w:rPr>
        <w:t xml:space="preserve"> e do Decreto n.º 8.538, de 2015.</w:t>
      </w:r>
    </w:p>
    <w:p w14:paraId="1B5055E5">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 Não poderão disputar esta licitação:</w:t>
      </w:r>
    </w:p>
    <w:p w14:paraId="73FBF3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 aquele que não atenda às condições deste Edital e seu(s) anexo(s);</w:t>
      </w:r>
    </w:p>
    <w:p w14:paraId="23A64BC6">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3.7.2. autor do anteprojeto, do projeto básico ou do projeto executivo, pessoa física ou jurídica, quando a licitação versar sobre serviços ou fornecimento de bens a ele relacionados;</w:t>
      </w:r>
    </w:p>
    <w:p w14:paraId="3DB5BFAD">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0871409">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3.7.4. pessoa física ou jurídica que se encontre, ao tempo da licitação, impossibilitada de participar da licitação em decorrência de sanção que lhe foi imposta;</w:t>
      </w:r>
    </w:p>
    <w:p w14:paraId="59185BF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8DADAA">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3.7.6. empresas controladoras, controladas ou coligadas, nos termos da Lei nº 6.404, de 15 de dezembro de 1976, concorrendo entre si;</w:t>
      </w:r>
    </w:p>
    <w:p w14:paraId="544C0CE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497D1F6">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3.7.8. agente público do órgão ou entidade licitante;</w:t>
      </w:r>
    </w:p>
    <w:p w14:paraId="4F5E8E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3.7.9. pessoas jurídicas reunidas em consórcio;</w:t>
      </w:r>
    </w:p>
    <w:p w14:paraId="79841C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3.7.10. Organizações da Sociedade Civil de Interesse Público - OSCIP, atuando nessa condição;</w:t>
      </w:r>
    </w:p>
    <w:p w14:paraId="5C526985">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Fonts w:eastAsia="Calibri"/>
          <w:szCs w:val="24"/>
          <w:u w:val="single"/>
          <w:lang w:eastAsia="pt-BR"/>
        </w:rPr>
        <w:t>§ 1º do art. 9º da Lei nº 14.133, de 2021</w:t>
      </w:r>
      <w:r>
        <w:rPr>
          <w:rFonts w:eastAsia="Calibri"/>
          <w:szCs w:val="24"/>
          <w:u w:val="single"/>
          <w:lang w:eastAsia="pt-BR"/>
        </w:rPr>
        <w:fldChar w:fldCharType="end"/>
      </w:r>
      <w:r>
        <w:rPr>
          <w:rFonts w:eastAsia="Calibri"/>
          <w:szCs w:val="24"/>
          <w:lang w:eastAsia="pt-BR"/>
        </w:rPr>
        <w:t>.</w:t>
      </w:r>
    </w:p>
    <w:p w14:paraId="60A70D39">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3.7.12.</w:t>
      </w:r>
      <w:r>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B331DB">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0C8C527D">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3.7.14. Equiparam-se aos autores do projeto as empresas integrantes do mesmo grupo econômico.</w:t>
      </w:r>
    </w:p>
    <w:p w14:paraId="7E453429">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3FEF1649">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w:instrText>
      </w:r>
      <w:r>
        <w:fldChar w:fldCharType="separate"/>
      </w:r>
      <w:r>
        <w:rPr>
          <w:rFonts w:eastAsia="Calibri"/>
          <w:szCs w:val="24"/>
          <w:u w:val="single"/>
          <w:lang w:eastAsia="pt-BR"/>
        </w:rPr>
        <w:t>Lei nº 14.133/2021</w:t>
      </w:r>
      <w:r>
        <w:rPr>
          <w:rFonts w:eastAsia="Calibri"/>
          <w:szCs w:val="24"/>
          <w:u w:val="single"/>
          <w:lang w:eastAsia="pt-BR"/>
        </w:rPr>
        <w:fldChar w:fldCharType="end"/>
      </w:r>
      <w:r>
        <w:rPr>
          <w:rFonts w:eastAsia="Calibri"/>
          <w:color w:val="000000"/>
          <w:szCs w:val="24"/>
          <w:lang w:eastAsia="pt-BR"/>
        </w:rPr>
        <w:t>.</w:t>
      </w:r>
    </w:p>
    <w:p w14:paraId="5236BF11">
      <w:pPr>
        <w:suppressAutoHyphens w:val="0"/>
        <w:autoSpaceDE w:val="0"/>
        <w:autoSpaceDN w:val="0"/>
        <w:adjustRightInd w:val="0"/>
        <w:spacing w:before="6" w:after="6"/>
        <w:jc w:val="both"/>
        <w:rPr>
          <w:rFonts w:eastAsia="Calibri"/>
          <w:szCs w:val="24"/>
          <w:lang w:eastAsia="pt-BR"/>
        </w:rPr>
      </w:pPr>
      <w:r>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194CD322">
      <w:pPr>
        <w:suppressAutoHyphens w:val="0"/>
        <w:autoSpaceDE w:val="0"/>
        <w:autoSpaceDN w:val="0"/>
        <w:adjustRightInd w:val="0"/>
        <w:spacing w:before="6" w:after="6"/>
        <w:jc w:val="both"/>
        <w:rPr>
          <w:rFonts w:eastAsia="Calibri"/>
          <w:szCs w:val="24"/>
          <w:lang w:eastAsia="pt-BR"/>
        </w:rPr>
      </w:pPr>
    </w:p>
    <w:p w14:paraId="334C7EAB">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4. DA APRESENTAÇÃO DA PROPOSTA E DOS DOCUMENTOS DE HABILITAÇÃO</w:t>
      </w:r>
    </w:p>
    <w:p w14:paraId="18A42C42">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w:t>
      </w:r>
      <w:r>
        <w:rPr>
          <w:rFonts w:eastAsia="Calibri"/>
          <w:szCs w:val="24"/>
          <w:lang w:eastAsia="pt-BR"/>
        </w:rPr>
        <w:tab/>
      </w:r>
      <w:r>
        <w:rPr>
          <w:rFonts w:eastAsia="Calibri"/>
          <w:szCs w:val="24"/>
          <w:lang w:eastAsia="pt-BR"/>
        </w:rPr>
        <w:t>Na presente licitação, a fase de habilitação sucederá as fases de apresentação de propostas e lances e de julgamento.</w:t>
      </w:r>
    </w:p>
    <w:p w14:paraId="6D42940D">
      <w:pPr>
        <w:suppressAutoHyphens w:val="0"/>
        <w:autoSpaceDE w:val="0"/>
        <w:autoSpaceDN w:val="0"/>
        <w:adjustRightInd w:val="0"/>
        <w:spacing w:before="6" w:after="6"/>
        <w:jc w:val="both"/>
        <w:rPr>
          <w:rFonts w:eastAsia="Calibri"/>
          <w:szCs w:val="24"/>
          <w:lang w:eastAsia="pt-BR"/>
        </w:rPr>
      </w:pPr>
      <w:r>
        <w:rPr>
          <w:rFonts w:eastAsia="Calibri"/>
          <w:szCs w:val="24"/>
          <w:lang w:eastAsia="pt-BR"/>
        </w:rPr>
        <w:t>4.2</w:t>
      </w:r>
      <w:r>
        <w:rPr>
          <w:rFonts w:eastAsia="Calibri"/>
          <w:szCs w:val="24"/>
          <w:lang w:eastAsia="pt-BR"/>
        </w:rPr>
        <w:tab/>
      </w:r>
      <w:r>
        <w:rPr>
          <w:rFonts w:eastAsia="Calibri"/>
          <w:szCs w:val="24"/>
          <w:lang w:eastAsia="pt-BR"/>
        </w:rPr>
        <w:t>Os licitantes encaminharão, exclusivamente por meio do sistema eletrônico, a proposta com o preço, até a data e o horário estabelecidos para abertura da sessão pública.</w:t>
      </w:r>
    </w:p>
    <w:p w14:paraId="2E3699C7">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w:t>
      </w:r>
      <w:r>
        <w:rPr>
          <w:rFonts w:eastAsia="Calibri"/>
          <w:szCs w:val="24"/>
          <w:lang w:eastAsia="pt-BR"/>
        </w:rPr>
        <w:tab/>
      </w:r>
      <w:r>
        <w:rPr>
          <w:rFonts w:eastAsia="Calibri"/>
          <w:szCs w:val="24"/>
          <w:lang w:eastAsia="pt-BR"/>
        </w:rPr>
        <w:t xml:space="preserve">No cadastramento da proposta inicial, o licitante encaminhará declaração </w:t>
      </w:r>
      <w:r>
        <w:rPr>
          <w:rFonts w:eastAsia="Calibri"/>
          <w:b/>
          <w:bCs/>
          <w:szCs w:val="24"/>
          <w:lang w:eastAsia="pt-BR"/>
        </w:rPr>
        <w:t>(CONFORME ANEXO IV),</w:t>
      </w:r>
      <w:r>
        <w:rPr>
          <w:rFonts w:eastAsia="Calibri"/>
          <w:szCs w:val="24"/>
          <w:lang w:eastAsia="pt-BR"/>
        </w:rPr>
        <w:t xml:space="preserve"> em campo próprio do sistema, que:</w:t>
      </w:r>
    </w:p>
    <w:p w14:paraId="7FB64639">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4.3.1 Que até a presente data inexistem fatos impeditivos para habilitação e contratação com a administração pública, ciente da obrigatoriedade de declarar ocorrências posteriores;</w:t>
      </w:r>
    </w:p>
    <w:p w14:paraId="0EB0FE3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15EB49">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4.3.3 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Fonts w:eastAsia="Calibri"/>
          <w:color w:val="000080"/>
          <w:szCs w:val="24"/>
          <w:u w:val="single"/>
          <w:lang w:eastAsia="pt-BR"/>
        </w:rPr>
        <w:t>artigo 7°, XXXIII, da Constituição</w:t>
      </w:r>
      <w:r>
        <w:rPr>
          <w:rFonts w:eastAsia="Calibri"/>
          <w:color w:val="000080"/>
          <w:szCs w:val="24"/>
          <w:u w:val="single"/>
          <w:lang w:eastAsia="pt-BR"/>
        </w:rPr>
        <w:fldChar w:fldCharType="end"/>
      </w:r>
      <w:r>
        <w:rPr>
          <w:rFonts w:eastAsia="Calibri"/>
          <w:szCs w:val="24"/>
          <w:lang w:eastAsia="pt-BR"/>
        </w:rPr>
        <w:t>;</w:t>
      </w:r>
    </w:p>
    <w:p w14:paraId="5EF01EC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4.3.4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Fonts w:eastAsia="Calibri"/>
          <w:color w:val="000080"/>
          <w:szCs w:val="24"/>
          <w:u w:val="single"/>
          <w:lang w:eastAsia="pt-BR"/>
        </w:rPr>
        <w:t>incisos III e IV do art. 1º e no inciso III do art. 5º da Constituição Federal</w:t>
      </w:r>
      <w:r>
        <w:rPr>
          <w:rFonts w:eastAsia="Calibri"/>
          <w:color w:val="000080"/>
          <w:szCs w:val="24"/>
          <w:u w:val="single"/>
          <w:lang w:eastAsia="pt-BR"/>
        </w:rPr>
        <w:fldChar w:fldCharType="end"/>
      </w:r>
      <w:r>
        <w:rPr>
          <w:rFonts w:eastAsia="Calibri"/>
          <w:szCs w:val="24"/>
          <w:lang w:eastAsia="pt-BR"/>
        </w:rPr>
        <w:t>;</w:t>
      </w:r>
    </w:p>
    <w:p w14:paraId="3CDA3254">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4.3.5 cumpre as exigências de reserva de cargos para pessoa com deficiência e para reabilitado da Previdência Social, previstas em lei e em outras normas específicas.</w:t>
      </w:r>
    </w:p>
    <w:p w14:paraId="19C99F87">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F9BDCE">
      <w:pPr>
        <w:suppressAutoHyphens w:val="0"/>
        <w:autoSpaceDE w:val="0"/>
        <w:autoSpaceDN w:val="0"/>
        <w:adjustRightInd w:val="0"/>
        <w:spacing w:before="6" w:after="6"/>
        <w:jc w:val="both"/>
        <w:rPr>
          <w:rFonts w:eastAsia="Calibri"/>
          <w:szCs w:val="24"/>
          <w:lang w:eastAsia="pt-BR"/>
        </w:rPr>
      </w:pPr>
      <w:r>
        <w:rPr>
          <w:rFonts w:eastAsia="Calibri"/>
          <w:szCs w:val="24"/>
          <w:lang w:eastAsia="pt-BR"/>
        </w:rPr>
        <w:t>4.4</w:t>
      </w:r>
      <w:r>
        <w:rPr>
          <w:rFonts w:eastAsia="Calibri"/>
          <w:szCs w:val="24"/>
          <w:lang w:eastAsia="pt-BR"/>
        </w:rPr>
        <w:tab/>
      </w:r>
      <w:r>
        <w:rPr>
          <w:rFonts w:eastAsia="Calibri"/>
          <w:szCs w:val="24"/>
          <w:lang w:eastAsia="pt-BR"/>
        </w:rPr>
        <w:t xml:space="preserve">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w:instrText>
      </w:r>
      <w:r>
        <w:fldChar w:fldCharType="separate"/>
      </w:r>
      <w:r>
        <w:rPr>
          <w:rFonts w:eastAsia="Calibri"/>
          <w:color w:val="000080"/>
          <w:szCs w:val="24"/>
          <w:u w:val="single"/>
          <w:lang w:eastAsia="pt-BR"/>
        </w:rPr>
        <w:t>artigo 16 da Lei nº 14.133, de 2021</w:t>
      </w:r>
      <w:r>
        <w:rPr>
          <w:rFonts w:eastAsia="Calibri"/>
          <w:color w:val="000080"/>
          <w:szCs w:val="24"/>
          <w:u w:val="single"/>
          <w:lang w:eastAsia="pt-BR"/>
        </w:rPr>
        <w:fldChar w:fldCharType="end"/>
      </w:r>
      <w:r>
        <w:rPr>
          <w:rFonts w:eastAsia="Calibri"/>
          <w:szCs w:val="24"/>
          <w:lang w:eastAsia="pt-BR"/>
        </w:rPr>
        <w:t>.</w:t>
      </w:r>
    </w:p>
    <w:p w14:paraId="15F377C8">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4.5</w:t>
      </w:r>
      <w:r>
        <w:rPr>
          <w:rFonts w:eastAsia="Calibri"/>
          <w:szCs w:val="24"/>
          <w:lang w:eastAsia="pt-BR"/>
        </w:rPr>
        <w:tab/>
      </w:r>
      <w:r>
        <w:rPr>
          <w:rFonts w:eastAsia="Calibri"/>
          <w:szCs w:val="24"/>
          <w:lang w:eastAsia="pt-BR"/>
        </w:rPr>
        <w:t xml:space="preserve">O fornecedor enquadrado como microempresa, empresa de pequeno porte ou sociedade cooperativa deverá anexar declaração, ainda, em campo próprio do sistema eletrônico, que cumpre os requisitos estabelecidos no </w:t>
      </w:r>
      <w:r>
        <w:fldChar w:fldCharType="begin"/>
      </w:r>
      <w:r>
        <w:instrText xml:space="preserve"> HYPERLINK "https://www.planalto.gov.br/ccivil_03/leis/lcp/lcp123.htm" \l "art3" </w:instrText>
      </w:r>
      <w:r>
        <w:fldChar w:fldCharType="separate"/>
      </w:r>
      <w:r>
        <w:rPr>
          <w:rFonts w:eastAsia="Calibri"/>
          <w:color w:val="000080"/>
          <w:szCs w:val="24"/>
          <w:u w:val="single"/>
          <w:lang w:eastAsia="pt-BR"/>
        </w:rPr>
        <w:t>artigo 3° da Lei Complementar nº 123, de 2006</w:t>
      </w:r>
      <w:r>
        <w:rPr>
          <w:rFonts w:eastAsia="Calibri"/>
          <w:color w:val="000080"/>
          <w:szCs w:val="24"/>
          <w:u w:val="single"/>
          <w:lang w:eastAsia="pt-BR"/>
        </w:rPr>
        <w:fldChar w:fldCharType="end"/>
      </w:r>
      <w:r>
        <w:rPr>
          <w:rFonts w:eastAsia="Calibri"/>
          <w:szCs w:val="24"/>
          <w:lang w:eastAsia="pt-BR"/>
        </w:rPr>
        <w:t xml:space="preserve">, estando apto a usufruir do tratamento favorecido estabelecido em seus </w:t>
      </w:r>
      <w:r>
        <w:fldChar w:fldCharType="begin"/>
      </w:r>
      <w:r>
        <w:instrText xml:space="preserve"> HYPERLINK "https://www.planalto.gov.br/ccivil_03/leis/lcp/lcp123.htm" \l "art42" </w:instrText>
      </w:r>
      <w:r>
        <w:fldChar w:fldCharType="separate"/>
      </w:r>
      <w:r>
        <w:rPr>
          <w:rFonts w:eastAsia="Calibri"/>
          <w:color w:val="000080"/>
          <w:szCs w:val="24"/>
          <w:u w:val="single"/>
          <w:lang w:eastAsia="pt-BR"/>
        </w:rPr>
        <w:t>arts. 42 a 49</w:t>
      </w:r>
      <w:r>
        <w:rPr>
          <w:rFonts w:eastAsia="Calibri"/>
          <w:color w:val="000080"/>
          <w:szCs w:val="24"/>
          <w:u w:val="single"/>
          <w:lang w:eastAsia="pt-BR"/>
        </w:rPr>
        <w:fldChar w:fldCharType="end"/>
      </w:r>
      <w:r>
        <w:rPr>
          <w:rFonts w:eastAsia="Calibri"/>
          <w:szCs w:val="24"/>
          <w:lang w:eastAsia="pt-BR"/>
        </w:rPr>
        <w:t xml:space="preserve">, observado o disposto nos </w:t>
      </w:r>
      <w:r>
        <w:fldChar w:fldCharType="begin"/>
      </w:r>
      <w:r>
        <w:instrText xml:space="preserve"> HYPERLINK "http://www.planalto.gov.br/ccivil_03/_ato2019-2022/2021/lei/L14133.htm" \l "art4§1" </w:instrText>
      </w:r>
      <w:r>
        <w:fldChar w:fldCharType="separate"/>
      </w:r>
      <w:r>
        <w:rPr>
          <w:rFonts w:eastAsia="Calibri"/>
          <w:color w:val="000080"/>
          <w:szCs w:val="24"/>
          <w:u w:val="single"/>
          <w:lang w:eastAsia="pt-BR"/>
        </w:rPr>
        <w:t>§§ 1º ao 3º do art. 4º, da Lei n.º 14.133, de 2021.</w:t>
      </w:r>
      <w:r>
        <w:rPr>
          <w:rFonts w:eastAsia="Calibri"/>
          <w:color w:val="000080"/>
          <w:szCs w:val="24"/>
          <w:u w:val="single"/>
          <w:lang w:eastAsia="pt-BR"/>
        </w:rPr>
        <w:fldChar w:fldCharType="end"/>
      </w:r>
    </w:p>
    <w:p w14:paraId="3846F55F">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4.5.1</w:t>
      </w:r>
      <w:r>
        <w:rPr>
          <w:rFonts w:eastAsia="Calibri"/>
          <w:szCs w:val="24"/>
          <w:lang w:eastAsia="pt-BR"/>
        </w:rPr>
        <w:tab/>
      </w:r>
      <w:r>
        <w:rPr>
          <w:rFonts w:eastAsia="Calibri"/>
          <w:szCs w:val="24"/>
          <w:lang w:eastAsia="pt-BR"/>
        </w:rPr>
        <w:t>no item exclusivo para participação de microempresas e empresas de pequeno porte, a assinalação do campo “não” impedirá o prosseguimento no certame, para aquele item;</w:t>
      </w:r>
    </w:p>
    <w:p w14:paraId="153FFC74">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4.5.2</w:t>
      </w:r>
      <w:r>
        <w:rPr>
          <w:rFonts w:eastAsia="Calibri"/>
          <w:szCs w:val="24"/>
          <w:lang w:eastAsia="pt-BR"/>
        </w:rPr>
        <w:tab/>
      </w:r>
      <w:r>
        <w:rPr>
          <w:rFonts w:eastAsia="Calibri"/>
          <w:szCs w:val="24"/>
          <w:lang w:eastAsia="pt-BR"/>
        </w:rPr>
        <w:t xml:space="preserve">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w:instrText>
      </w:r>
      <w:r>
        <w:fldChar w:fldCharType="separate"/>
      </w:r>
      <w:r>
        <w:rPr>
          <w:rFonts w:eastAsia="Calibri"/>
          <w:szCs w:val="24"/>
          <w:u w:val="single"/>
          <w:lang w:eastAsia="pt-BR"/>
        </w:rPr>
        <w:t>Lei Complementar nº 123, de 2006</w:t>
      </w:r>
      <w:r>
        <w:rPr>
          <w:rFonts w:eastAsia="Calibri"/>
          <w:szCs w:val="24"/>
          <w:u w:val="single"/>
          <w:lang w:eastAsia="pt-BR"/>
        </w:rPr>
        <w:fldChar w:fldCharType="end"/>
      </w:r>
      <w:r>
        <w:rPr>
          <w:rFonts w:eastAsia="Calibri"/>
          <w:szCs w:val="24"/>
          <w:lang w:eastAsia="pt-BR"/>
        </w:rPr>
        <w:t>, mesmo que microempresa, empresa de pequeno porte ou sociedade cooperativa.</w:t>
      </w:r>
    </w:p>
    <w:p w14:paraId="52C4B7CB">
      <w:pPr>
        <w:suppressAutoHyphens w:val="0"/>
        <w:autoSpaceDE w:val="0"/>
        <w:autoSpaceDN w:val="0"/>
        <w:adjustRightInd w:val="0"/>
        <w:spacing w:before="6" w:after="6"/>
        <w:jc w:val="both"/>
        <w:rPr>
          <w:rFonts w:eastAsia="Calibri"/>
          <w:szCs w:val="24"/>
          <w:lang w:eastAsia="pt-BR"/>
        </w:rPr>
      </w:pPr>
      <w:r>
        <w:rPr>
          <w:rFonts w:eastAsia="Calibri"/>
          <w:szCs w:val="24"/>
          <w:lang w:eastAsia="pt-BR"/>
        </w:rPr>
        <w:t>4.6</w:t>
      </w:r>
      <w:r>
        <w:rPr>
          <w:rFonts w:eastAsia="Calibri"/>
          <w:szCs w:val="24"/>
          <w:lang w:eastAsia="pt-BR"/>
        </w:rPr>
        <w:tab/>
      </w:r>
      <w:r>
        <w:rPr>
          <w:rFonts w:eastAsia="Calibri"/>
          <w:szCs w:val="24"/>
          <w:lang w:eastAsia="pt-BR"/>
        </w:rPr>
        <w:t xml:space="preserve">A falsidade da declaração de que trata os itens acima sujeitará o licitante às sanções previstas na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2021</w:t>
      </w:r>
      <w:r>
        <w:rPr>
          <w:rFonts w:eastAsia="Calibri"/>
          <w:color w:val="000080"/>
          <w:szCs w:val="24"/>
          <w:u w:val="single"/>
          <w:lang w:eastAsia="pt-BR"/>
        </w:rPr>
        <w:fldChar w:fldCharType="end"/>
      </w:r>
      <w:r>
        <w:rPr>
          <w:rFonts w:eastAsia="Calibri"/>
          <w:szCs w:val="24"/>
          <w:lang w:eastAsia="pt-BR"/>
        </w:rPr>
        <w:t>, e neste Edital.</w:t>
      </w:r>
    </w:p>
    <w:p w14:paraId="5FCBD5CA">
      <w:pPr>
        <w:suppressAutoHyphens w:val="0"/>
        <w:autoSpaceDE w:val="0"/>
        <w:autoSpaceDN w:val="0"/>
        <w:adjustRightInd w:val="0"/>
        <w:spacing w:before="6" w:after="6"/>
        <w:jc w:val="both"/>
        <w:rPr>
          <w:rFonts w:eastAsia="Calibri"/>
          <w:szCs w:val="24"/>
          <w:lang w:eastAsia="pt-BR"/>
        </w:rPr>
      </w:pPr>
      <w:r>
        <w:rPr>
          <w:rFonts w:eastAsia="Calibri"/>
          <w:szCs w:val="24"/>
          <w:lang w:eastAsia="pt-BR"/>
        </w:rPr>
        <w:t>4.7</w:t>
      </w:r>
      <w:r>
        <w:rPr>
          <w:rFonts w:eastAsia="Calibri"/>
          <w:szCs w:val="24"/>
          <w:lang w:eastAsia="pt-BR"/>
        </w:rPr>
        <w:tab/>
      </w:r>
      <w:r>
        <w:rPr>
          <w:rFonts w:eastAsia="Calibri"/>
          <w:szCs w:val="24"/>
          <w:lang w:eastAsia="pt-BR"/>
        </w:rPr>
        <w:t>Os licitantes poderão retirar ou substituir a proposta até a abertura da sessão pública.</w:t>
      </w:r>
    </w:p>
    <w:p w14:paraId="29D5879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4.8</w:t>
      </w:r>
      <w:r>
        <w:rPr>
          <w:rFonts w:eastAsia="Calibri"/>
          <w:szCs w:val="24"/>
          <w:lang w:eastAsia="pt-BR"/>
        </w:rPr>
        <w:tab/>
      </w:r>
      <w:r>
        <w:rPr>
          <w:rFonts w:eastAsia="Calibri"/>
          <w:szCs w:val="24"/>
          <w:lang w:eastAsia="pt-BR"/>
        </w:rPr>
        <w:t>Não haverá ordem de classificação na etapa de apresentação da proposta e dos documentos de habilitação pelo licitante, o que ocorrerá somente após os procedimentos de abertura da sessão pública e da fase de envio de lances.</w:t>
      </w:r>
    </w:p>
    <w:p w14:paraId="7FBE8FB4">
      <w:pPr>
        <w:suppressAutoHyphens w:val="0"/>
        <w:autoSpaceDE w:val="0"/>
        <w:autoSpaceDN w:val="0"/>
        <w:adjustRightInd w:val="0"/>
        <w:spacing w:before="6" w:after="6"/>
        <w:jc w:val="both"/>
        <w:rPr>
          <w:rFonts w:eastAsia="Calibri"/>
          <w:szCs w:val="24"/>
          <w:lang w:eastAsia="pt-BR"/>
        </w:rPr>
      </w:pPr>
      <w:r>
        <w:rPr>
          <w:rFonts w:eastAsia="Calibri"/>
          <w:szCs w:val="24"/>
          <w:lang w:eastAsia="pt-BR"/>
        </w:rPr>
        <w:t>4.9</w:t>
      </w:r>
      <w:r>
        <w:rPr>
          <w:rFonts w:eastAsia="Calibri"/>
          <w:szCs w:val="24"/>
          <w:lang w:eastAsia="pt-BR"/>
        </w:rPr>
        <w:tab/>
      </w:r>
      <w:r>
        <w:rPr>
          <w:rFonts w:eastAsia="Calibri"/>
          <w:szCs w:val="24"/>
          <w:lang w:eastAsia="pt-BR"/>
        </w:rPr>
        <w:t>Serão disponibilizados para acesso público os documentos que compõem a proposta dos licitantes convocados para apresentação de propostas, após a fase de envio de lances.</w:t>
      </w:r>
    </w:p>
    <w:p w14:paraId="4C9BD7EA">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4.10 havendo apenas uma proposta válida, com preços compatíveis com o mercado, a licitação será adjudicada em favor do licitante que a ofertou. </w:t>
      </w:r>
    </w:p>
    <w:p w14:paraId="11B6F8AA">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4.11. Não havendo interessados ou não havendo licitante habilitado ou que oferte proposta válida, a administração publica procederá com a contratação direta, sem licitação, nos termos do artigo 75 inciso III.</w:t>
      </w:r>
    </w:p>
    <w:p w14:paraId="336E3E44">
      <w:pPr>
        <w:suppressAutoHyphens w:val="0"/>
        <w:autoSpaceDE w:val="0"/>
        <w:autoSpaceDN w:val="0"/>
        <w:adjustRightInd w:val="0"/>
        <w:spacing w:before="6" w:after="6"/>
        <w:jc w:val="both"/>
        <w:rPr>
          <w:rFonts w:eastAsia="Calibri"/>
          <w:szCs w:val="24"/>
          <w:lang w:eastAsia="pt-BR"/>
        </w:rPr>
      </w:pPr>
    </w:p>
    <w:p w14:paraId="27578C7F">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5</w:t>
      </w:r>
      <w:r>
        <w:rPr>
          <w:rFonts w:eastAsia="Calibri"/>
          <w:b/>
          <w:bCs/>
          <w:szCs w:val="24"/>
          <w:lang w:eastAsia="pt-BR"/>
        </w:rPr>
        <w:tab/>
      </w:r>
      <w:r>
        <w:rPr>
          <w:rFonts w:eastAsia="Calibri"/>
          <w:b/>
          <w:bCs/>
          <w:szCs w:val="24"/>
          <w:lang w:eastAsia="pt-BR"/>
        </w:rPr>
        <w:t>DO PREENCHIMENTO DA PROPOSTA</w:t>
      </w:r>
    </w:p>
    <w:p w14:paraId="64B5BD26">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w:t>
      </w:r>
      <w:r>
        <w:rPr>
          <w:rFonts w:eastAsia="Calibri"/>
          <w:szCs w:val="24"/>
          <w:lang w:eastAsia="pt-BR"/>
        </w:rPr>
        <w:tab/>
      </w:r>
      <w:r>
        <w:rPr>
          <w:rFonts w:eastAsia="Calibri"/>
          <w:szCs w:val="24"/>
          <w:lang w:eastAsia="pt-BR"/>
        </w:rPr>
        <w:t>O licitante deverá enviar sua proposta mediante o preenchimento, no sistema eletrônico, dos seguintes campos:</w:t>
      </w:r>
    </w:p>
    <w:p w14:paraId="2B2652EB">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w:t>
      </w:r>
      <w:r>
        <w:rPr>
          <w:rFonts w:eastAsia="Calibri"/>
          <w:szCs w:val="24"/>
          <w:lang w:eastAsia="pt-BR"/>
        </w:rPr>
        <w:tab/>
      </w:r>
      <w:r>
        <w:rPr>
          <w:rFonts w:eastAsia="Calibri"/>
          <w:szCs w:val="24"/>
          <w:lang w:eastAsia="pt-BR"/>
        </w:rPr>
        <w:t>Valor unitário e total;</w:t>
      </w:r>
    </w:p>
    <w:p w14:paraId="7847BB5D">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w:t>
      </w:r>
      <w:r>
        <w:rPr>
          <w:rFonts w:eastAsia="Calibri"/>
          <w:szCs w:val="24"/>
          <w:lang w:eastAsia="pt-BR"/>
        </w:rPr>
        <w:tab/>
      </w:r>
      <w:r>
        <w:rPr>
          <w:rFonts w:eastAsia="Calibri"/>
          <w:szCs w:val="24"/>
          <w:lang w:eastAsia="pt-BR"/>
        </w:rPr>
        <w:t>Marca;</w:t>
      </w:r>
    </w:p>
    <w:p w14:paraId="72EBCF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w:t>
      </w:r>
      <w:r>
        <w:rPr>
          <w:rFonts w:eastAsia="Calibri"/>
          <w:szCs w:val="24"/>
          <w:lang w:eastAsia="pt-BR"/>
        </w:rPr>
        <w:tab/>
      </w:r>
      <w:r>
        <w:rPr>
          <w:rFonts w:eastAsia="Calibri"/>
          <w:szCs w:val="24"/>
          <w:lang w:eastAsia="pt-BR"/>
        </w:rPr>
        <w:t>Todas as especificações do objeto contidas na proposta vinculam o licitante.</w:t>
      </w:r>
    </w:p>
    <w:p w14:paraId="5B7ABCD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w:t>
      </w:r>
      <w:r>
        <w:rPr>
          <w:rFonts w:eastAsia="Calibri"/>
          <w:szCs w:val="24"/>
          <w:lang w:eastAsia="pt-BR"/>
        </w:rPr>
        <w:tab/>
      </w:r>
      <w:r>
        <w:rPr>
          <w:rFonts w:eastAsia="Calibri"/>
          <w:szCs w:val="24"/>
          <w:highlight w:val="white"/>
          <w:lang w:eastAsia="pt-BR"/>
        </w:rPr>
        <w:t>O licitante NÃO poderá oferecer proposta em quantitativo inferior ao máximo previsto para contratação.</w:t>
      </w:r>
    </w:p>
    <w:p w14:paraId="0EAA6D6E">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5.2.2</w:t>
      </w:r>
      <w:r>
        <w:rPr>
          <w:rFonts w:eastAsia="Calibri"/>
          <w:b/>
          <w:bCs/>
          <w:szCs w:val="24"/>
          <w:lang w:eastAsia="pt-BR"/>
        </w:rPr>
        <w:tab/>
      </w:r>
      <w:r>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3B34BDB9">
      <w:pPr>
        <w:suppressAutoHyphens w:val="0"/>
        <w:autoSpaceDE w:val="0"/>
        <w:autoSpaceDN w:val="0"/>
        <w:adjustRightInd w:val="0"/>
        <w:spacing w:before="6" w:after="6"/>
        <w:jc w:val="both"/>
        <w:rPr>
          <w:rFonts w:eastAsia="Calibri"/>
          <w:szCs w:val="24"/>
          <w:lang w:eastAsia="pt-BR"/>
        </w:rPr>
      </w:pPr>
      <w:r>
        <w:rPr>
          <w:rFonts w:eastAsia="Calibri"/>
          <w:szCs w:val="24"/>
          <w:lang w:eastAsia="pt-BR"/>
        </w:rPr>
        <w:t>5.3</w:t>
      </w:r>
      <w:r>
        <w:rPr>
          <w:rFonts w:eastAsia="Calibri"/>
          <w:szCs w:val="24"/>
          <w:lang w:eastAsia="pt-BR"/>
        </w:rPr>
        <w:tab/>
      </w:r>
      <w:r>
        <w:rPr>
          <w:rFonts w:eastAsia="Calibri"/>
          <w:szCs w:val="24"/>
          <w:lang w:eastAsia="pt-BR"/>
        </w:rPr>
        <w:t>Nos valores propostos estarão inclusos todos os custos operacionais, encargos previdenciários, trabalhistas, tributários, comerciais e quaisquer outros que incidam direta ou indiretamente na execução do objeto.</w:t>
      </w:r>
    </w:p>
    <w:p w14:paraId="715F34DA">
      <w:pPr>
        <w:suppressAutoHyphens w:val="0"/>
        <w:autoSpaceDE w:val="0"/>
        <w:autoSpaceDN w:val="0"/>
        <w:adjustRightInd w:val="0"/>
        <w:spacing w:before="6" w:after="6"/>
        <w:jc w:val="both"/>
        <w:rPr>
          <w:rFonts w:eastAsia="Calibri"/>
          <w:szCs w:val="24"/>
          <w:lang w:eastAsia="pt-BR"/>
        </w:rPr>
      </w:pPr>
      <w:r>
        <w:rPr>
          <w:rFonts w:eastAsia="Calibri"/>
          <w:szCs w:val="24"/>
          <w:lang w:eastAsia="pt-BR"/>
        </w:rPr>
        <w:t>5.4</w:t>
      </w:r>
      <w:r>
        <w:rPr>
          <w:rFonts w:eastAsia="Calibri"/>
          <w:szCs w:val="24"/>
          <w:lang w:eastAsia="pt-BR"/>
        </w:rPr>
        <w:tab/>
      </w:r>
      <w:r>
        <w:rPr>
          <w:rFonts w:eastAsia="Calibri"/>
          <w:szCs w:val="24"/>
          <w:lang w:eastAsia="pt-BR"/>
        </w:rPr>
        <w:t>Os preços ofertados, tanto na proposta inicial, quanto na etapa de lances, serão de exclusiva responsabilidade do licitante, não lhe assistindo o direito de pleitear qualquer alteração, sob alegação de erro, omissão ou qualquer outro pretexto.</w:t>
      </w:r>
    </w:p>
    <w:p w14:paraId="6C7B7672">
      <w:pPr>
        <w:suppressAutoHyphens w:val="0"/>
        <w:autoSpaceDE w:val="0"/>
        <w:autoSpaceDN w:val="0"/>
        <w:adjustRightInd w:val="0"/>
        <w:spacing w:before="6" w:after="6"/>
        <w:jc w:val="both"/>
        <w:rPr>
          <w:rFonts w:eastAsia="Calibri"/>
          <w:szCs w:val="24"/>
          <w:lang w:eastAsia="pt-BR"/>
        </w:rPr>
      </w:pPr>
      <w:r>
        <w:rPr>
          <w:rFonts w:eastAsia="Calibri"/>
          <w:szCs w:val="24"/>
          <w:lang w:eastAsia="pt-BR"/>
        </w:rPr>
        <w:t>5.4.1</w:t>
      </w:r>
      <w:r>
        <w:rPr>
          <w:rFonts w:eastAsia="Calibri"/>
          <w:szCs w:val="24"/>
          <w:lang w:eastAsia="pt-BR"/>
        </w:rPr>
        <w:tab/>
      </w:r>
      <w:r>
        <w:rPr>
          <w:rFonts w:eastAsia="Calibri"/>
          <w:szCs w:val="24"/>
          <w:lang w:eastAsia="pt-BR"/>
        </w:rPr>
        <w:t xml:space="preserve">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577BD8F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5.5</w:t>
      </w:r>
      <w:r>
        <w:rPr>
          <w:rFonts w:eastAsia="Calibri"/>
          <w:szCs w:val="24"/>
          <w:lang w:eastAsia="pt-BR"/>
        </w:rPr>
        <w:tab/>
      </w:r>
      <w:r>
        <w:rPr>
          <w:rFonts w:eastAsia="Calibri"/>
          <w:szCs w:val="24"/>
          <w:lang w:eastAsia="pt-BR"/>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Fonts w:eastAsia="Calibri"/>
          <w:color w:val="000080"/>
          <w:szCs w:val="24"/>
          <w:u w:val="single"/>
          <w:lang w:eastAsia="pt-BR"/>
        </w:rPr>
        <w:t>art. 71, inciso IX, da Constituição</w:t>
      </w:r>
      <w:r>
        <w:rPr>
          <w:rFonts w:eastAsia="Calibri"/>
          <w:color w:val="000080"/>
          <w:szCs w:val="24"/>
          <w:u w:val="single"/>
          <w:lang w:eastAsia="pt-BR"/>
        </w:rPr>
        <w:fldChar w:fldCharType="end"/>
      </w:r>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453E742F">
      <w:pPr>
        <w:suppressAutoHyphens w:val="0"/>
        <w:autoSpaceDE w:val="0"/>
        <w:autoSpaceDN w:val="0"/>
        <w:adjustRightInd w:val="0"/>
        <w:spacing w:before="6" w:after="6"/>
        <w:jc w:val="both"/>
        <w:rPr>
          <w:rFonts w:eastAsia="Calibri"/>
          <w:szCs w:val="24"/>
          <w:lang w:eastAsia="pt-BR"/>
        </w:rPr>
      </w:pPr>
    </w:p>
    <w:p w14:paraId="07FC18BA">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6</w:t>
      </w:r>
      <w:r>
        <w:rPr>
          <w:rFonts w:eastAsia="Calibri"/>
          <w:b/>
          <w:bCs/>
          <w:szCs w:val="24"/>
          <w:lang w:eastAsia="pt-BR"/>
        </w:rPr>
        <w:tab/>
      </w:r>
      <w:r>
        <w:rPr>
          <w:rFonts w:eastAsia="Calibri"/>
          <w:b/>
          <w:bCs/>
          <w:szCs w:val="24"/>
          <w:lang w:eastAsia="pt-BR"/>
        </w:rPr>
        <w:t>DA ABERTURA DA SESSÃO, CLASSIFICAÇÃO DAS PROPOSTAS E FORMULAÇÃO DE LANCES</w:t>
      </w:r>
    </w:p>
    <w:p w14:paraId="6D4D4F6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w:t>
      </w:r>
      <w:r>
        <w:rPr>
          <w:rFonts w:eastAsia="Calibri"/>
          <w:szCs w:val="24"/>
          <w:lang w:eastAsia="pt-BR"/>
        </w:rPr>
        <w:tab/>
      </w:r>
      <w:r>
        <w:rPr>
          <w:rFonts w:eastAsia="Calibri"/>
          <w:szCs w:val="24"/>
          <w:lang w:eastAsia="pt-BR"/>
        </w:rPr>
        <w:t>A abertura da presente licitação dar-se-á em sessão pública, por meio de sistema eletrônico, na data, horário e local indicados neste Edital.</w:t>
      </w:r>
    </w:p>
    <w:p w14:paraId="49EB9588">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w:t>
      </w:r>
      <w:r>
        <w:rPr>
          <w:rFonts w:eastAsia="Calibri"/>
          <w:szCs w:val="24"/>
          <w:lang w:eastAsia="pt-BR"/>
        </w:rPr>
        <w:tab/>
      </w:r>
      <w:r>
        <w:rPr>
          <w:rFonts w:eastAsia="Calibri"/>
          <w:szCs w:val="24"/>
          <w:lang w:eastAsia="pt-BR"/>
        </w:rPr>
        <w:t>Os licitantes poderão retirar ou substituir a proposta ou os documentos de habilitação, quando for o caso, anteriormente inseridos no sistema, até a abertura da sessão pública.</w:t>
      </w:r>
    </w:p>
    <w:p w14:paraId="6DD452F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6.3</w:t>
      </w:r>
      <w:r>
        <w:rPr>
          <w:rFonts w:eastAsia="Calibri"/>
          <w:szCs w:val="24"/>
          <w:lang w:eastAsia="pt-BR"/>
        </w:rPr>
        <w:tab/>
      </w:r>
      <w:r>
        <w:rPr>
          <w:rFonts w:eastAsia="Calibri"/>
          <w:szCs w:val="24"/>
          <w:lang w:eastAsia="pt-BR"/>
        </w:rPr>
        <w:t>O sistema disponibilizará campo próprio para troca de mensagens entre o Pregoeiro e os licitantes.</w:t>
      </w:r>
    </w:p>
    <w:p w14:paraId="057F3E99">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w:t>
      </w:r>
      <w:r>
        <w:rPr>
          <w:rFonts w:eastAsia="Calibri"/>
          <w:szCs w:val="24"/>
          <w:lang w:eastAsia="pt-BR"/>
        </w:rPr>
        <w:tab/>
      </w:r>
      <w:r>
        <w:rPr>
          <w:rFonts w:eastAsia="Calibri"/>
          <w:szCs w:val="24"/>
          <w:lang w:eastAsia="pt-BR"/>
        </w:rPr>
        <w:t xml:space="preserve">Iniciada a etapa competitiva, os licitantes deverão encaminhar lances exclusivamente por meio de sistema eletrônico, sendo imediatamente informados do seu recebimento e do valor consignado no registro. </w:t>
      </w:r>
    </w:p>
    <w:p w14:paraId="7D9133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6.5</w:t>
      </w:r>
      <w:r>
        <w:rPr>
          <w:rFonts w:eastAsia="Calibri"/>
          <w:szCs w:val="24"/>
          <w:lang w:eastAsia="pt-BR"/>
        </w:rPr>
        <w:tab/>
      </w:r>
      <w:r>
        <w:rPr>
          <w:rFonts w:eastAsia="Calibri"/>
          <w:szCs w:val="24"/>
          <w:lang w:eastAsia="pt-BR"/>
        </w:rPr>
        <w:t>O lance deverá ser ofertado pelo valor total do grupo.</w:t>
      </w:r>
    </w:p>
    <w:p w14:paraId="466027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6.6</w:t>
      </w:r>
      <w:r>
        <w:rPr>
          <w:rFonts w:eastAsia="Calibri"/>
          <w:szCs w:val="24"/>
          <w:lang w:eastAsia="pt-BR"/>
        </w:rPr>
        <w:tab/>
      </w:r>
      <w:r>
        <w:rPr>
          <w:rFonts w:eastAsia="Calibri"/>
          <w:szCs w:val="24"/>
          <w:lang w:eastAsia="pt-BR"/>
        </w:rPr>
        <w:t>Os licitantes poderão oferecer lances sucessivos, observando o horário fixado para abertura da sessão e as regras estabelecidas no Edital.</w:t>
      </w:r>
    </w:p>
    <w:p w14:paraId="71D5794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6.7</w:t>
      </w:r>
      <w:r>
        <w:rPr>
          <w:rFonts w:eastAsia="Calibri"/>
          <w:szCs w:val="24"/>
          <w:lang w:eastAsia="pt-BR"/>
        </w:rPr>
        <w:tab/>
      </w:r>
      <w:r>
        <w:rPr>
          <w:rFonts w:eastAsia="Calibri"/>
          <w:szCs w:val="24"/>
          <w:lang w:eastAsia="pt-BR"/>
        </w:rPr>
        <w:t xml:space="preserve">O licitante somente poderá oferecer lance de valor inferior ao último por ele ofertado e registrado pelo sistema. </w:t>
      </w:r>
    </w:p>
    <w:p w14:paraId="259B971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6.8</w:t>
      </w:r>
      <w:r>
        <w:rPr>
          <w:rFonts w:eastAsia="Calibri"/>
          <w:szCs w:val="24"/>
          <w:lang w:eastAsia="pt-BR"/>
        </w:rPr>
        <w:tab/>
      </w:r>
      <w:r>
        <w:rPr>
          <w:rFonts w:eastAsia="Calibri"/>
          <w:szCs w:val="24"/>
          <w:lang w:eastAsia="pt-BR"/>
        </w:rPr>
        <w:t xml:space="preserve">O pregoeiro poderá determinar um intervalo mínimo de diferença de valores ou percentuais entre os lances,  de </w:t>
      </w:r>
      <w:r>
        <w:rPr>
          <w:rFonts w:eastAsia="Calibri"/>
          <w:b/>
          <w:bCs/>
          <w:szCs w:val="24"/>
          <w:lang w:eastAsia="pt-BR"/>
        </w:rPr>
        <w:t xml:space="preserve">0,5%(meio por cento) </w:t>
      </w:r>
      <w:r>
        <w:rPr>
          <w:rFonts w:eastAsia="Calibri"/>
          <w:szCs w:val="24"/>
          <w:lang w:eastAsia="pt-BR"/>
        </w:rPr>
        <w:t>que incidirá tanto em relação aos lances intermediários quanto em relação à proposta que cobrir a melhor oferta.</w:t>
      </w:r>
    </w:p>
    <w:p w14:paraId="5CFFA9EA">
      <w:pPr>
        <w:suppressAutoHyphens w:val="0"/>
        <w:autoSpaceDE w:val="0"/>
        <w:autoSpaceDN w:val="0"/>
        <w:adjustRightInd w:val="0"/>
        <w:spacing w:before="6" w:after="6"/>
        <w:jc w:val="both"/>
        <w:rPr>
          <w:rFonts w:eastAsia="Calibri"/>
          <w:szCs w:val="24"/>
          <w:lang w:eastAsia="pt-BR"/>
        </w:rPr>
      </w:pPr>
      <w:r>
        <w:rPr>
          <w:rFonts w:eastAsia="Calibri"/>
          <w:szCs w:val="24"/>
          <w:lang w:eastAsia="pt-BR"/>
        </w:rPr>
        <w:t>6.9</w:t>
      </w:r>
      <w:r>
        <w:rPr>
          <w:rFonts w:eastAsia="Calibri"/>
          <w:szCs w:val="24"/>
          <w:lang w:eastAsia="pt-BR"/>
        </w:rPr>
        <w:tab/>
      </w:r>
      <w:r>
        <w:rPr>
          <w:rFonts w:eastAsia="Calibri"/>
          <w:szCs w:val="24"/>
          <w:lang w:eastAsia="pt-BR"/>
        </w:rPr>
        <w:t>O licitante poderá excluir seu último lance ofertado, no intervalo de quinze segundos após o registro no sistema, na hipótese de lance inconsistente ou inexequível.</w:t>
      </w:r>
    </w:p>
    <w:p w14:paraId="5726531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6.10</w:t>
      </w:r>
      <w:r>
        <w:rPr>
          <w:rFonts w:eastAsia="Calibri"/>
          <w:szCs w:val="24"/>
          <w:lang w:eastAsia="pt-BR"/>
        </w:rPr>
        <w:tab/>
      </w:r>
      <w:r>
        <w:rPr>
          <w:rFonts w:eastAsia="Calibri"/>
          <w:szCs w:val="24"/>
          <w:lang w:eastAsia="pt-BR"/>
        </w:rPr>
        <w:t>O procedimento seguirá de acordo com o modo de disputa adotado.</w:t>
      </w:r>
    </w:p>
    <w:p w14:paraId="744DA3F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w:t>
      </w:r>
      <w:r>
        <w:rPr>
          <w:rFonts w:eastAsia="Calibri"/>
          <w:szCs w:val="24"/>
          <w:lang w:eastAsia="pt-BR"/>
        </w:rPr>
        <w:tab/>
      </w:r>
      <w:r>
        <w:rPr>
          <w:rFonts w:eastAsia="Calibri"/>
          <w:szCs w:val="24"/>
          <w:lang w:eastAsia="pt-BR"/>
        </w:rPr>
        <w:t>Caso seja adotado para o envio de lances no pregão eletrônico o modo de disputa “aberto”, os licitantes apresentarão lances públicos e sucessivos, com prorrogações.</w:t>
      </w:r>
    </w:p>
    <w:p w14:paraId="61973C8D">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6.11.1</w:t>
      </w:r>
      <w:r>
        <w:rPr>
          <w:rFonts w:eastAsia="Calibri"/>
          <w:szCs w:val="24"/>
          <w:lang w:eastAsia="pt-BR"/>
        </w:rPr>
        <w:tab/>
      </w:r>
      <w:r>
        <w:rPr>
          <w:rFonts w:eastAsia="Calibri"/>
          <w:szCs w:val="24"/>
          <w:lang w:eastAsia="pt-BR"/>
        </w:rPr>
        <w:t>A etapa de lances da sessão pública terá duração de dez minutos e, após isso, será prorrogada automaticamente pelo sistema quando houver lance ofertado nos últimos dois minutos do período de duração da sessão pública.</w:t>
      </w:r>
    </w:p>
    <w:p w14:paraId="01FACB9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6.11.2</w:t>
      </w:r>
      <w:r>
        <w:rPr>
          <w:rFonts w:eastAsia="Calibri"/>
          <w:szCs w:val="24"/>
          <w:lang w:eastAsia="pt-BR"/>
        </w:rPr>
        <w:tab/>
      </w:r>
      <w:r>
        <w:rPr>
          <w:rFonts w:eastAsia="Calibri"/>
          <w:szCs w:val="24"/>
          <w:lang w:eastAsia="pt-BR"/>
        </w:rPr>
        <w:t>A prorrogação automática da etapa de lances, de que trata o subitem anterior, será de dois minutos e ocorrerá sucessivamente sempre que houver lances enviados nesse período de prorrogação, inclusive no caso de lances intermediários.</w:t>
      </w:r>
    </w:p>
    <w:p w14:paraId="0D5FFABA">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6.11.3</w:t>
      </w:r>
      <w:r>
        <w:rPr>
          <w:rFonts w:eastAsia="Calibri"/>
          <w:szCs w:val="24"/>
          <w:lang w:eastAsia="pt-BR"/>
        </w:rPr>
        <w:tab/>
      </w:r>
      <w:r>
        <w:rPr>
          <w:rFonts w:eastAsia="Calibri"/>
          <w:szCs w:val="24"/>
          <w:lang w:eastAsia="pt-BR"/>
        </w:rPr>
        <w:t>Não havendo novos lances na forma estabelecida nos itens anteriores, a sessão pública encerrar-se-á automaticamente, e o sistema ordenará e divulgará os lances conforme a ordem final de classificação.</w:t>
      </w:r>
    </w:p>
    <w:p w14:paraId="362279E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6.11.4</w:t>
      </w:r>
      <w:r>
        <w:rPr>
          <w:rFonts w:eastAsia="Calibri"/>
          <w:szCs w:val="24"/>
          <w:lang w:eastAsia="pt-BR"/>
        </w:rPr>
        <w:tab/>
      </w:r>
      <w:r>
        <w:rPr>
          <w:rFonts w:eastAsia="Calibri"/>
          <w:szCs w:val="24"/>
          <w:lang w:eastAsia="pt-BR"/>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3AA821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6.11.5</w:t>
      </w:r>
      <w:r>
        <w:rPr>
          <w:rFonts w:eastAsia="Calibri"/>
          <w:szCs w:val="24"/>
          <w:lang w:eastAsia="pt-BR"/>
        </w:rPr>
        <w:tab/>
      </w:r>
      <w:r>
        <w:rPr>
          <w:rFonts w:eastAsia="Calibri"/>
          <w:szCs w:val="24"/>
          <w:lang w:eastAsia="pt-BR"/>
        </w:rPr>
        <w:t>Após o reinício previsto no item supra, os licitantes serão convocados para apresentar lances intermediários.</w:t>
      </w:r>
    </w:p>
    <w:p w14:paraId="1F4D353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w:t>
      </w:r>
      <w:r>
        <w:rPr>
          <w:rFonts w:eastAsia="Calibri"/>
          <w:szCs w:val="24"/>
          <w:lang w:eastAsia="pt-BR"/>
        </w:rPr>
        <w:tab/>
      </w:r>
      <w:r>
        <w:rPr>
          <w:rFonts w:eastAsia="Calibri"/>
          <w:szCs w:val="24"/>
          <w:lang w:eastAsia="pt-BR"/>
        </w:rPr>
        <w:t>Caso seja adotado para o envio de lances no pregão eletrônico o modo de disputa “aberto e fechado”, os licitantes apresentarão lances públicos e sucessivos, com lance final e fechado.</w:t>
      </w:r>
    </w:p>
    <w:p w14:paraId="6FFEA9A2">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6.12.1</w:t>
      </w:r>
      <w:r>
        <w:rPr>
          <w:rFonts w:eastAsia="Calibri"/>
          <w:szCs w:val="24"/>
          <w:lang w:eastAsia="pt-BR"/>
        </w:rPr>
        <w:tab/>
      </w:r>
      <w:r>
        <w:rPr>
          <w:rFonts w:eastAsia="Calibri"/>
          <w:szCs w:val="24"/>
          <w:lang w:eastAsia="pt-BR"/>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7BEB05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6.12.2</w:t>
      </w:r>
      <w:r>
        <w:rPr>
          <w:rFonts w:eastAsia="Calibri"/>
          <w:szCs w:val="24"/>
          <w:lang w:eastAsia="pt-BR"/>
        </w:rPr>
        <w:tab/>
      </w:r>
      <w:r>
        <w:rPr>
          <w:rFonts w:eastAsia="Calibri"/>
          <w:szCs w:val="24"/>
          <w:lang w:eastAsia="pt-BR"/>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97F3F6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6.12.3</w:t>
      </w:r>
      <w:r>
        <w:rPr>
          <w:rFonts w:eastAsia="Calibri"/>
          <w:szCs w:val="24"/>
          <w:lang w:eastAsia="pt-BR"/>
        </w:rPr>
        <w:tab/>
      </w:r>
      <w:r>
        <w:rPr>
          <w:rFonts w:eastAsia="Calibri"/>
          <w:szCs w:val="24"/>
          <w:lang w:eastAsia="pt-BR"/>
        </w:rPr>
        <w:t>No procedimento de que trata o subitem supra, o licitante poderá optar por manter o seu último lance da etapa aberta, ou por ofertar melhor lance.</w:t>
      </w:r>
    </w:p>
    <w:p w14:paraId="71AF8DA2">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6.12.4</w:t>
      </w:r>
      <w:r>
        <w:rPr>
          <w:rFonts w:eastAsia="Calibri"/>
          <w:szCs w:val="24"/>
          <w:lang w:eastAsia="pt-BR"/>
        </w:rPr>
        <w:tab/>
      </w:r>
      <w:r>
        <w:rPr>
          <w:rFonts w:eastAsia="Calibri"/>
          <w:szCs w:val="24"/>
          <w:lang w:eastAsia="pt-BR"/>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6D963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6.12.5</w:t>
      </w:r>
      <w:r>
        <w:rPr>
          <w:rFonts w:eastAsia="Calibri"/>
          <w:szCs w:val="24"/>
          <w:lang w:eastAsia="pt-BR"/>
        </w:rPr>
        <w:tab/>
      </w:r>
      <w:r>
        <w:rPr>
          <w:rFonts w:eastAsia="Calibri"/>
          <w:szCs w:val="24"/>
          <w:lang w:eastAsia="pt-BR"/>
        </w:rPr>
        <w:t>Após o término dos prazos estabelecidos nos itens anteriores, o sistema ordenará e divulgará os lances segundo a ordem crescente de valores.</w:t>
      </w:r>
    </w:p>
    <w:p w14:paraId="0CC85C3D">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w:t>
      </w:r>
      <w:r>
        <w:rPr>
          <w:rFonts w:eastAsia="Calibri"/>
          <w:szCs w:val="24"/>
          <w:lang w:eastAsia="pt-BR"/>
        </w:rPr>
        <w:tab/>
      </w:r>
      <w:r>
        <w:rPr>
          <w:rFonts w:eastAsia="Calibri"/>
          <w:szCs w:val="24"/>
          <w:lang w:eastAsia="pt-BR"/>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D874B9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6.13.1</w:t>
      </w:r>
      <w:r>
        <w:rPr>
          <w:rFonts w:eastAsia="Calibri"/>
          <w:szCs w:val="24"/>
          <w:lang w:eastAsia="pt-BR"/>
        </w:rPr>
        <w:tab/>
      </w:r>
      <w:r>
        <w:rPr>
          <w:rFonts w:eastAsia="Calibri"/>
          <w:szCs w:val="24"/>
          <w:lang w:eastAsia="pt-BR"/>
        </w:rPr>
        <w:t>Não havendo pelo menos 3 (três) propostas nas condições definidas no item 6.13, poderão os licitantes que apresentaram as três melhores propostas, consideradas as empatadas, oferecer novos lances sucessivos.</w:t>
      </w:r>
    </w:p>
    <w:p w14:paraId="4A6B482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6.13.2</w:t>
      </w:r>
      <w:r>
        <w:rPr>
          <w:rFonts w:eastAsia="Calibri"/>
          <w:szCs w:val="24"/>
          <w:lang w:eastAsia="pt-BR"/>
        </w:rPr>
        <w:tab/>
      </w:r>
      <w:r>
        <w:rPr>
          <w:rFonts w:eastAsia="Calibri"/>
          <w:szCs w:val="24"/>
          <w:lang w:eastAsia="pt-BR"/>
        </w:rPr>
        <w:t>A etapa de lances da sessão pública terá duração de dez minutos e, após isso, será prorrogada automaticamente pelo sistema quando houver lance ofertado nos últimos dois minutos do período de duração da sessão pública.</w:t>
      </w:r>
    </w:p>
    <w:p w14:paraId="10BCD745">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6.13.3</w:t>
      </w:r>
      <w:r>
        <w:rPr>
          <w:rFonts w:eastAsia="Calibri"/>
          <w:szCs w:val="24"/>
          <w:lang w:eastAsia="pt-BR"/>
        </w:rPr>
        <w:tab/>
      </w:r>
      <w:r>
        <w:rPr>
          <w:rFonts w:eastAsia="Calibri"/>
          <w:szCs w:val="24"/>
          <w:lang w:eastAsia="pt-BR"/>
        </w:rPr>
        <w:t>A prorrogação automática da etapa de lances, de que trata o subitem anterior, será de dois minutos e ocorrerá sucessivamente sempre que houver lances enviados nesse período de prorrogação, inclusive no caso de lances intermediários.</w:t>
      </w:r>
    </w:p>
    <w:p w14:paraId="379B1B4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6.13.4</w:t>
      </w:r>
      <w:r>
        <w:rPr>
          <w:rFonts w:eastAsia="Calibri"/>
          <w:szCs w:val="24"/>
          <w:lang w:eastAsia="pt-BR"/>
        </w:rPr>
        <w:tab/>
      </w:r>
      <w:r>
        <w:rPr>
          <w:rFonts w:eastAsia="Calibri"/>
          <w:szCs w:val="24"/>
          <w:lang w:eastAsia="pt-BR"/>
        </w:rPr>
        <w:t>Não havendo novos lances na forma estabelecida nos itens anteriores, a sessão pública encerrar-se-á automaticamente, e o sistema ordenará e divulgará os lances conforme a ordem final de classificação.</w:t>
      </w:r>
    </w:p>
    <w:p w14:paraId="547248E2">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6.13.5</w:t>
      </w:r>
      <w:r>
        <w:rPr>
          <w:rFonts w:eastAsia="Calibri"/>
          <w:szCs w:val="24"/>
          <w:lang w:eastAsia="pt-BR"/>
        </w:rPr>
        <w:tab/>
      </w:r>
      <w:r>
        <w:rPr>
          <w:rFonts w:eastAsia="Calibri"/>
          <w:szCs w:val="24"/>
          <w:lang w:eastAsia="pt-BR"/>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62FAFD">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6.13.6</w:t>
      </w:r>
      <w:r>
        <w:rPr>
          <w:rFonts w:eastAsia="Calibri"/>
          <w:szCs w:val="24"/>
          <w:lang w:eastAsia="pt-BR"/>
        </w:rPr>
        <w:tab/>
      </w:r>
      <w:r>
        <w:rPr>
          <w:rFonts w:eastAsia="Calibri"/>
          <w:szCs w:val="24"/>
          <w:lang w:eastAsia="pt-BR"/>
        </w:rPr>
        <w:t xml:space="preserve">Após o reinício previsto no subitem supra, os licitantes serão convocados para apresentar lances intermediários.  </w:t>
      </w:r>
    </w:p>
    <w:p w14:paraId="5343A389">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6.14</w:t>
      </w:r>
      <w:r>
        <w:rPr>
          <w:rFonts w:eastAsia="Calibri"/>
          <w:szCs w:val="24"/>
          <w:lang w:eastAsia="pt-BR"/>
        </w:rPr>
        <w:tab/>
      </w:r>
      <w:r>
        <w:rPr>
          <w:rFonts w:eastAsia="Calibri"/>
          <w:szCs w:val="24"/>
          <w:lang w:eastAsia="pt-BR"/>
        </w:rPr>
        <w:t>Após o término dos prazos estabelecidos nos subitens anteriores, o sistema ordenará e divulgará os lances segundo a ordem crescente de valores.</w:t>
      </w:r>
    </w:p>
    <w:p w14:paraId="64E5A0A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6.15</w:t>
      </w:r>
      <w:r>
        <w:rPr>
          <w:rFonts w:eastAsia="Calibri"/>
          <w:szCs w:val="24"/>
          <w:lang w:eastAsia="pt-BR"/>
        </w:rPr>
        <w:tab/>
      </w:r>
      <w:r>
        <w:rPr>
          <w:rFonts w:eastAsia="Calibri"/>
          <w:szCs w:val="24"/>
          <w:lang w:eastAsia="pt-BR"/>
        </w:rPr>
        <w:t xml:space="preserve">Não serão aceitos dois ou mais lances de mesmo valor, prevalecendo aquele que for recebido e registrado em primeiro lugar. </w:t>
      </w:r>
    </w:p>
    <w:p w14:paraId="584FFC8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6.16</w:t>
      </w:r>
      <w:r>
        <w:rPr>
          <w:rFonts w:eastAsia="Calibri"/>
          <w:szCs w:val="24"/>
          <w:lang w:eastAsia="pt-BR"/>
        </w:rPr>
        <w:tab/>
      </w:r>
      <w:r>
        <w:rPr>
          <w:rFonts w:eastAsia="Calibri"/>
          <w:szCs w:val="24"/>
          <w:lang w:eastAsia="pt-BR"/>
        </w:rPr>
        <w:t xml:space="preserve">Durante o transcurso da sessão pública, os licitantes serão informados, em tempo real, do valor do menor lance registrado, vedada a identificação do licitante. </w:t>
      </w:r>
    </w:p>
    <w:p w14:paraId="0F96CDAA">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6.17</w:t>
      </w:r>
      <w:r>
        <w:rPr>
          <w:rFonts w:eastAsia="Calibri"/>
          <w:szCs w:val="24"/>
          <w:lang w:eastAsia="pt-BR"/>
        </w:rPr>
        <w:tab/>
      </w:r>
      <w:r>
        <w:rPr>
          <w:rFonts w:eastAsia="Calibri"/>
          <w:szCs w:val="24"/>
          <w:lang w:eastAsia="pt-BR"/>
        </w:rPr>
        <w:t xml:space="preserve">No caso de desconexão com o Pregoeiro, no decorrer da etapa competitiva do Pregão, o sistema eletrônico poderá permanecer acessível aos licitantes para a recepção dos lances. </w:t>
      </w:r>
    </w:p>
    <w:p w14:paraId="275C9C58">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6.18</w:t>
      </w:r>
      <w:r>
        <w:rPr>
          <w:rFonts w:eastAsia="Calibri"/>
          <w:szCs w:val="24"/>
          <w:lang w:eastAsia="pt-BR"/>
        </w:rPr>
        <w:tab/>
      </w:r>
      <w:r>
        <w:rPr>
          <w:rFonts w:eastAsia="Calibri"/>
          <w:szCs w:val="24"/>
          <w:lang w:eastAsia="pt-BR"/>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6E6AE8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6.19</w:t>
      </w:r>
      <w:r>
        <w:rPr>
          <w:rFonts w:eastAsia="Calibri"/>
          <w:szCs w:val="24"/>
          <w:lang w:eastAsia="pt-BR"/>
        </w:rPr>
        <w:tab/>
      </w:r>
      <w:r>
        <w:rPr>
          <w:rFonts w:eastAsia="Calibri"/>
          <w:szCs w:val="24"/>
          <w:lang w:eastAsia="pt-BR"/>
        </w:rPr>
        <w:t>Caso o licitante não apresente lances, concorrerá com o valor de sua proposta.</w:t>
      </w:r>
    </w:p>
    <w:p w14:paraId="7AC2C46A">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w:t>
      </w:r>
      <w:r>
        <w:rPr>
          <w:rFonts w:eastAsia="Calibri"/>
          <w:szCs w:val="24"/>
          <w:lang w:eastAsia="pt-BR"/>
        </w:rPr>
        <w:tab/>
      </w:r>
      <w:r>
        <w:rPr>
          <w:rFonts w:eastAsia="Calibri"/>
          <w:szCs w:val="24"/>
          <w:lang w:eastAsia="pt-BR"/>
        </w:rPr>
        <w:t xml:space="preserve">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w:instrText>
      </w:r>
      <w:r>
        <w:fldChar w:fldCharType="separate"/>
      </w:r>
      <w:r>
        <w:rPr>
          <w:rFonts w:eastAsia="Calibri"/>
          <w:color w:val="000080"/>
          <w:szCs w:val="24"/>
          <w:u w:val="single"/>
          <w:lang w:eastAsia="pt-BR"/>
        </w:rPr>
        <w:t>arts. 44 e 45 da Lei Complementar nº 123, de 2006</w:t>
      </w:r>
      <w:r>
        <w:rPr>
          <w:rFonts w:eastAsia="Calibri"/>
          <w:color w:val="000080"/>
          <w:szCs w:val="24"/>
          <w:u w:val="single"/>
          <w:lang w:eastAsia="pt-BR"/>
        </w:rPr>
        <w:fldChar w:fldCharType="end"/>
      </w:r>
      <w:r>
        <w:rPr>
          <w:rFonts w:eastAsia="Calibri"/>
          <w:szCs w:val="24"/>
          <w:lang w:eastAsia="pt-BR"/>
        </w:rPr>
        <w:t xml:space="preserve">, regulamentada pelo </w:t>
      </w:r>
      <w:r>
        <w:fldChar w:fldCharType="begin"/>
      </w:r>
      <w:r>
        <w:instrText xml:space="preserve"> HYPERLINK "https://www.planalto.gov.br/ccivil_03/_ato2015-2018/2015/decreto/d8539.htm" </w:instrText>
      </w:r>
      <w:r>
        <w:fldChar w:fldCharType="separate"/>
      </w:r>
      <w:r>
        <w:rPr>
          <w:rFonts w:eastAsia="Calibri"/>
          <w:color w:val="000080"/>
          <w:szCs w:val="24"/>
          <w:u w:val="single"/>
          <w:lang w:eastAsia="pt-BR"/>
        </w:rPr>
        <w:t>Decreto nº 8.538, de 2015</w:t>
      </w:r>
      <w:r>
        <w:rPr>
          <w:rFonts w:eastAsia="Calibri"/>
          <w:color w:val="000080"/>
          <w:szCs w:val="24"/>
          <w:u w:val="single"/>
          <w:lang w:eastAsia="pt-BR"/>
        </w:rPr>
        <w:fldChar w:fldCharType="end"/>
      </w:r>
      <w:r>
        <w:rPr>
          <w:rFonts w:eastAsia="Calibri"/>
          <w:szCs w:val="24"/>
          <w:lang w:eastAsia="pt-BR"/>
        </w:rPr>
        <w:t>.</w:t>
      </w:r>
    </w:p>
    <w:p w14:paraId="1CF60002">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6.20.1</w:t>
      </w:r>
      <w:r>
        <w:rPr>
          <w:rFonts w:eastAsia="Calibri"/>
          <w:szCs w:val="24"/>
          <w:lang w:eastAsia="pt-BR"/>
        </w:rPr>
        <w:tab/>
      </w:r>
      <w:r>
        <w:rPr>
          <w:rFonts w:eastAsia="Calibri"/>
          <w:szCs w:val="24"/>
          <w:lang w:eastAsia="pt-BR"/>
        </w:rPr>
        <w:t>Nessas condições, as propostas de microempresas e empresas de pequeno porte que se encontrarem na faixa de até 5% (cinco por cento) acima da melhor proposta ou melhor lance serão consideradas empatadas com a primeira colocada.</w:t>
      </w:r>
    </w:p>
    <w:p w14:paraId="246B1CFA">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6.20.2</w:t>
      </w:r>
      <w:r>
        <w:rPr>
          <w:rFonts w:eastAsia="Calibri"/>
          <w:szCs w:val="24"/>
          <w:lang w:eastAsia="pt-BR"/>
        </w:rPr>
        <w:tab/>
      </w:r>
      <w:r>
        <w:rPr>
          <w:rFonts w:eastAsia="Calibri"/>
          <w:szCs w:val="24"/>
          <w:lang w:eastAsia="pt-BR"/>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C436AE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6.20.3</w:t>
      </w:r>
      <w:r>
        <w:rPr>
          <w:rFonts w:eastAsia="Calibri"/>
          <w:szCs w:val="24"/>
          <w:lang w:eastAsia="pt-BR"/>
        </w:rPr>
        <w:tab/>
      </w:r>
      <w:r>
        <w:rPr>
          <w:rFonts w:eastAsia="Calibri"/>
          <w:szCs w:val="24"/>
          <w:lang w:eastAsia="pt-BR"/>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168EFB9">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6.20.4</w:t>
      </w:r>
      <w:r>
        <w:rPr>
          <w:rFonts w:eastAsia="Calibri"/>
          <w:szCs w:val="24"/>
          <w:lang w:eastAsia="pt-BR"/>
        </w:rPr>
        <w:tab/>
      </w:r>
      <w:r>
        <w:rPr>
          <w:rFonts w:eastAsia="Calibri"/>
          <w:szCs w:val="24"/>
          <w:lang w:eastAsia="pt-BR"/>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1C12A7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w:t>
      </w:r>
      <w:r>
        <w:rPr>
          <w:rFonts w:eastAsia="Calibri"/>
          <w:szCs w:val="24"/>
          <w:lang w:eastAsia="pt-BR"/>
        </w:rPr>
        <w:tab/>
      </w:r>
      <w:r>
        <w:rPr>
          <w:rFonts w:eastAsia="Calibri"/>
          <w:szCs w:val="24"/>
          <w:lang w:eastAsia="pt-BR"/>
        </w:rPr>
        <w:t xml:space="preserve">Só poderá haver empate entre propostas iguais (não seguidas de lances), ou entre lances finais da fase fechada do modo de disputa aberto e fechado. </w:t>
      </w:r>
    </w:p>
    <w:p w14:paraId="5A8772D8">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w:t>
      </w:r>
      <w:r>
        <w:rPr>
          <w:rFonts w:eastAsia="Calibri"/>
          <w:szCs w:val="24"/>
          <w:lang w:eastAsia="pt-BR"/>
        </w:rPr>
        <w:tab/>
      </w:r>
      <w:r>
        <w:rPr>
          <w:rFonts w:eastAsia="Calibri"/>
          <w:szCs w:val="24"/>
          <w:lang w:eastAsia="pt-BR"/>
        </w:rPr>
        <w:t xml:space="preserve">Havendo eventual empate entre propostas ou lances, o critério de desempate será aquele previsto no </w:t>
      </w:r>
      <w:r>
        <w:fldChar w:fldCharType="begin"/>
      </w:r>
      <w:r>
        <w:instrText xml:space="preserve"> HYPERLINK "http://www.planalto.gov.br/ccivil_03/_ato2019-2022/2021/lei/L14133.htm" \l "art60" </w:instrText>
      </w:r>
      <w:r>
        <w:fldChar w:fldCharType="separate"/>
      </w:r>
      <w:r>
        <w:rPr>
          <w:rFonts w:eastAsia="Calibri"/>
          <w:szCs w:val="24"/>
          <w:u w:val="single"/>
          <w:lang w:eastAsia="pt-BR"/>
        </w:rPr>
        <w:t>art. 60 da Lei nº 14.133, de 2021</w:t>
      </w:r>
      <w:r>
        <w:rPr>
          <w:rFonts w:eastAsia="Calibri"/>
          <w:szCs w:val="24"/>
          <w:u w:val="single"/>
          <w:lang w:eastAsia="pt-BR"/>
        </w:rPr>
        <w:fldChar w:fldCharType="end"/>
      </w:r>
      <w:r>
        <w:rPr>
          <w:rFonts w:eastAsia="Calibri"/>
          <w:szCs w:val="24"/>
          <w:lang w:eastAsia="pt-BR"/>
        </w:rPr>
        <w:t>, nesta ordem:</w:t>
      </w:r>
    </w:p>
    <w:p w14:paraId="194DBCB9">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6.21.1.1</w:t>
      </w:r>
      <w:r>
        <w:rPr>
          <w:rFonts w:eastAsia="Calibri"/>
          <w:szCs w:val="24"/>
          <w:lang w:eastAsia="pt-BR"/>
        </w:rPr>
        <w:tab/>
      </w:r>
      <w:r>
        <w:rPr>
          <w:rFonts w:eastAsia="Calibri"/>
          <w:szCs w:val="24"/>
          <w:lang w:eastAsia="pt-BR"/>
        </w:rPr>
        <w:t>disputa final, hipótese em que os licitantes empatados poderão apresentar nova proposta em ato contínuo à classificação;</w:t>
      </w:r>
    </w:p>
    <w:p w14:paraId="564DC4B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6.21.1.2</w:t>
      </w:r>
      <w:r>
        <w:rPr>
          <w:rFonts w:eastAsia="Calibri"/>
          <w:szCs w:val="24"/>
          <w:lang w:eastAsia="pt-BR"/>
        </w:rPr>
        <w:tab/>
      </w:r>
      <w:r>
        <w:rPr>
          <w:rFonts w:eastAsia="Calibri"/>
          <w:szCs w:val="24"/>
          <w:lang w:eastAsia="pt-BR"/>
        </w:rPr>
        <w:t>avaliação do desempenho contratual prévio dos licitantes, para a qual deverão preferencialmente ser utilizados registros cadastrais para efeito de atesto de cumprimento de obrigações previstos nesta Lei;</w:t>
      </w:r>
    </w:p>
    <w:p w14:paraId="0081AE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6.21.1.3</w:t>
      </w:r>
      <w:r>
        <w:rPr>
          <w:rFonts w:eastAsia="Calibri"/>
          <w:szCs w:val="24"/>
          <w:lang w:eastAsia="pt-BR"/>
        </w:rPr>
        <w:tab/>
      </w:r>
      <w:r>
        <w:rPr>
          <w:rFonts w:eastAsia="Calibri"/>
          <w:szCs w:val="24"/>
          <w:lang w:eastAsia="pt-BR"/>
        </w:rPr>
        <w:t>desenvolvimento pelo licitante de ações de equidade entre homens e mulheres no ambiente de trabalho, conforme regulamento;</w:t>
      </w:r>
    </w:p>
    <w:p w14:paraId="0A0D59AD">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6.21.1.4</w:t>
      </w:r>
      <w:r>
        <w:rPr>
          <w:rFonts w:eastAsia="Calibri"/>
          <w:szCs w:val="24"/>
          <w:lang w:eastAsia="pt-BR"/>
        </w:rPr>
        <w:tab/>
      </w:r>
      <w:r>
        <w:rPr>
          <w:rFonts w:eastAsia="Calibri"/>
          <w:szCs w:val="24"/>
          <w:lang w:eastAsia="pt-BR"/>
        </w:rPr>
        <w:t>desenvolvimento pelo licitante de programa de integridade, conforme orientações dos órgãos de controle.</w:t>
      </w:r>
    </w:p>
    <w:p w14:paraId="3D35FFAA">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w:t>
      </w:r>
      <w:r>
        <w:rPr>
          <w:rFonts w:eastAsia="Calibri"/>
          <w:szCs w:val="24"/>
          <w:lang w:eastAsia="pt-BR"/>
        </w:rPr>
        <w:tab/>
      </w:r>
      <w:r>
        <w:rPr>
          <w:rFonts w:eastAsia="Calibri"/>
          <w:szCs w:val="24"/>
          <w:lang w:eastAsia="pt-BR"/>
        </w:rPr>
        <w:t>Persistindo o empate, será assegurada preferência, sucessivamente, aos bens e serviços produzidos ou prestados por:</w:t>
      </w:r>
    </w:p>
    <w:p w14:paraId="5B9DFC7A">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6.21.2.1</w:t>
      </w:r>
      <w:r>
        <w:rPr>
          <w:rFonts w:eastAsia="Calibri"/>
          <w:szCs w:val="24"/>
          <w:lang w:eastAsia="pt-BR"/>
        </w:rPr>
        <w:tab/>
      </w:r>
      <w:r>
        <w:rPr>
          <w:rFonts w:eastAsia="Calibri"/>
          <w:szCs w:val="24"/>
          <w:lang w:eastAsia="pt-BR"/>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6EBC31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6.21.2.2</w:t>
      </w:r>
      <w:r>
        <w:rPr>
          <w:rFonts w:eastAsia="Calibri"/>
          <w:szCs w:val="24"/>
          <w:lang w:eastAsia="pt-BR"/>
        </w:rPr>
        <w:tab/>
      </w:r>
      <w:r>
        <w:rPr>
          <w:rFonts w:eastAsia="Calibri"/>
          <w:szCs w:val="24"/>
          <w:lang w:eastAsia="pt-BR"/>
        </w:rPr>
        <w:t>empresas brasileiras;</w:t>
      </w:r>
    </w:p>
    <w:p w14:paraId="2DA7287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6.21.2.3</w:t>
      </w:r>
      <w:r>
        <w:rPr>
          <w:rFonts w:eastAsia="Calibri"/>
          <w:szCs w:val="24"/>
          <w:lang w:eastAsia="pt-BR"/>
        </w:rPr>
        <w:tab/>
      </w:r>
      <w:r>
        <w:rPr>
          <w:rFonts w:eastAsia="Calibri"/>
          <w:szCs w:val="24"/>
          <w:lang w:eastAsia="pt-BR"/>
        </w:rPr>
        <w:t>empresas que invistam em pesquisa e no desenvolvimento de tecnologia no País;</w:t>
      </w:r>
    </w:p>
    <w:p w14:paraId="00C8F79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6.21.2.4</w:t>
      </w:r>
      <w:r>
        <w:rPr>
          <w:rFonts w:eastAsia="Calibri"/>
          <w:szCs w:val="24"/>
          <w:lang w:eastAsia="pt-BR"/>
        </w:rPr>
        <w:tab/>
      </w:r>
      <w:r>
        <w:rPr>
          <w:rFonts w:eastAsia="Calibri"/>
          <w:szCs w:val="24"/>
          <w:lang w:eastAsia="pt-BR"/>
        </w:rPr>
        <w:t>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Fonts w:eastAsia="Calibri"/>
          <w:color w:val="000080"/>
          <w:szCs w:val="24"/>
          <w:u w:val="single"/>
          <w:lang w:eastAsia="pt-BR"/>
        </w:rPr>
        <w:t>Lei nº 12.187, de 29 de dezembro de 2009</w:t>
      </w:r>
      <w:r>
        <w:rPr>
          <w:rFonts w:eastAsia="Calibri"/>
          <w:color w:val="000080"/>
          <w:szCs w:val="24"/>
          <w:u w:val="single"/>
          <w:lang w:eastAsia="pt-BR"/>
        </w:rPr>
        <w:fldChar w:fldCharType="end"/>
      </w:r>
      <w:r>
        <w:rPr>
          <w:rFonts w:eastAsia="Calibri"/>
          <w:szCs w:val="24"/>
          <w:lang w:eastAsia="pt-BR"/>
        </w:rPr>
        <w:t>.</w:t>
      </w:r>
    </w:p>
    <w:p w14:paraId="38CE12F9">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w:t>
      </w:r>
      <w:r>
        <w:rPr>
          <w:rFonts w:eastAsia="Calibri"/>
          <w:szCs w:val="24"/>
          <w:lang w:eastAsia="pt-BR"/>
        </w:rPr>
        <w:tab/>
      </w:r>
      <w:r>
        <w:rPr>
          <w:rFonts w:eastAsia="Calibri"/>
          <w:szCs w:val="24"/>
          <w:lang w:eastAsia="pt-BR"/>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54BAB51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6.22.1</w:t>
      </w:r>
      <w:r>
        <w:rPr>
          <w:rFonts w:eastAsia="Calibri"/>
          <w:szCs w:val="24"/>
          <w:lang w:eastAsia="pt-BR"/>
        </w:rPr>
        <w:tab/>
      </w:r>
      <w:r>
        <w:rPr>
          <w:rFonts w:eastAsia="Calibri"/>
          <w:szCs w:val="24"/>
          <w:lang w:eastAsia="pt-BR"/>
        </w:rPr>
        <w:t>Não será admitida a previsão de preços diferentes em razão de local de entrega ou de acondicionamento, tamanho de lote ou qualquer outro motivo</w:t>
      </w:r>
    </w:p>
    <w:p w14:paraId="19C3435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6.22.2</w:t>
      </w:r>
      <w:r>
        <w:rPr>
          <w:rFonts w:eastAsia="Calibri"/>
          <w:szCs w:val="24"/>
          <w:lang w:eastAsia="pt-BR"/>
        </w:rPr>
        <w:tab/>
      </w:r>
      <w:r>
        <w:rPr>
          <w:rFonts w:eastAsia="Calibri"/>
          <w:szCs w:val="24"/>
          <w:lang w:eastAsia="pt-BR"/>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2FA918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6.22.3</w:t>
      </w:r>
      <w:r>
        <w:rPr>
          <w:rFonts w:eastAsia="Calibri"/>
          <w:szCs w:val="24"/>
          <w:lang w:eastAsia="pt-BR"/>
        </w:rPr>
        <w:tab/>
      </w:r>
      <w:r>
        <w:rPr>
          <w:rFonts w:eastAsia="Calibri"/>
          <w:szCs w:val="24"/>
          <w:lang w:eastAsia="pt-BR"/>
        </w:rPr>
        <w:t>A negociação será realizada por meio do sistema, podendo ser acompanhada pelos demais licitantes.</w:t>
      </w:r>
    </w:p>
    <w:p w14:paraId="11AEDC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6.22.4</w:t>
      </w:r>
      <w:r>
        <w:rPr>
          <w:rFonts w:eastAsia="Calibri"/>
          <w:szCs w:val="24"/>
          <w:lang w:eastAsia="pt-BR"/>
        </w:rPr>
        <w:tab/>
      </w:r>
      <w:r>
        <w:rPr>
          <w:rFonts w:eastAsia="Calibri"/>
          <w:szCs w:val="24"/>
          <w:lang w:eastAsia="pt-BR"/>
        </w:rPr>
        <w:t>O resultado da negociação será divulgado a todos os licitantes e anexado aos autos do processo licitatório.</w:t>
      </w:r>
    </w:p>
    <w:p w14:paraId="7C5144D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6.22.5</w:t>
      </w:r>
      <w:r>
        <w:rPr>
          <w:rFonts w:eastAsia="Calibri"/>
          <w:szCs w:val="24"/>
          <w:lang w:eastAsia="pt-BR"/>
        </w:rPr>
        <w:tab/>
      </w:r>
      <w:r>
        <w:rPr>
          <w:rFonts w:eastAsia="Calibri"/>
          <w:szCs w:val="24"/>
          <w:lang w:eastAsia="pt-BR"/>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4CA46CA">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6.22.6</w:t>
      </w:r>
      <w:r>
        <w:rPr>
          <w:rFonts w:eastAsia="Calibri"/>
          <w:szCs w:val="24"/>
          <w:lang w:eastAsia="pt-BR"/>
        </w:rPr>
        <w:tab/>
      </w:r>
      <w:r>
        <w:rPr>
          <w:rFonts w:eastAsia="Calibri"/>
          <w:szCs w:val="24"/>
          <w:lang w:eastAsia="pt-BR"/>
        </w:rPr>
        <w:t>É facultado ao pregoeiro prorrogar o prazo estabelecido, a partir de solicitação fundamentada feita no chat pelo licitante, antes de findo o prazo.</w:t>
      </w:r>
    </w:p>
    <w:p w14:paraId="6F0AA23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6.23</w:t>
      </w:r>
      <w:r>
        <w:rPr>
          <w:rFonts w:eastAsia="Calibri"/>
          <w:szCs w:val="24"/>
          <w:lang w:eastAsia="pt-BR"/>
        </w:rPr>
        <w:tab/>
      </w:r>
      <w:r>
        <w:rPr>
          <w:rFonts w:eastAsia="Calibri"/>
          <w:szCs w:val="24"/>
          <w:lang w:eastAsia="pt-BR"/>
        </w:rPr>
        <w:t>Após a negociação do preço, o Pregoeiro iniciará a fase de aceitação e julgamento da proposta.</w:t>
      </w:r>
    </w:p>
    <w:p w14:paraId="05FD712C">
      <w:pPr>
        <w:suppressAutoHyphens w:val="0"/>
        <w:autoSpaceDE w:val="0"/>
        <w:autoSpaceDN w:val="0"/>
        <w:adjustRightInd w:val="0"/>
        <w:spacing w:before="6" w:after="6"/>
        <w:jc w:val="both"/>
        <w:rPr>
          <w:rFonts w:eastAsia="Calibri"/>
          <w:szCs w:val="24"/>
          <w:lang w:eastAsia="pt-BR"/>
        </w:rPr>
      </w:pPr>
    </w:p>
    <w:p w14:paraId="66EB5529">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7</w:t>
      </w:r>
      <w:r>
        <w:rPr>
          <w:rFonts w:eastAsia="Calibri"/>
          <w:b/>
          <w:bCs/>
          <w:szCs w:val="24"/>
          <w:lang w:eastAsia="pt-BR"/>
        </w:rPr>
        <w:tab/>
      </w:r>
      <w:r>
        <w:rPr>
          <w:rFonts w:eastAsia="Calibri"/>
          <w:b/>
          <w:bCs/>
          <w:szCs w:val="24"/>
          <w:lang w:eastAsia="pt-BR"/>
        </w:rPr>
        <w:t>DA FASE DE JULGAMENTO</w:t>
      </w:r>
    </w:p>
    <w:p w14:paraId="6D2EFE3A">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7.1</w:t>
      </w:r>
      <w:r>
        <w:rPr>
          <w:rFonts w:eastAsia="Calibri"/>
          <w:szCs w:val="24"/>
          <w:lang w:eastAsia="pt-BR"/>
        </w:rPr>
        <w:tab/>
      </w:r>
      <w:r>
        <w:rPr>
          <w:rFonts w:eastAsia="Calibri"/>
          <w:szCs w:val="24"/>
          <w:lang w:eastAsia="pt-BR"/>
        </w:rPr>
        <w:t xml:space="preserve">Encerrada a etapa de negociação,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Fonts w:eastAsia="Calibri"/>
          <w:color w:val="000080"/>
          <w:szCs w:val="24"/>
          <w:u w:val="single"/>
          <w:lang w:eastAsia="pt-BR"/>
        </w:rPr>
        <w:t>art. 14 da Lei nº 14.133/2021</w:t>
      </w:r>
      <w:r>
        <w:rPr>
          <w:rFonts w:eastAsia="Calibri"/>
          <w:color w:val="000080"/>
          <w:szCs w:val="24"/>
          <w:u w:val="single"/>
          <w:lang w:eastAsia="pt-BR"/>
        </w:rPr>
        <w:fldChar w:fldCharType="end"/>
      </w:r>
      <w:r>
        <w:rPr>
          <w:rFonts w:eastAsia="Calibri"/>
          <w:szCs w:val="24"/>
          <w:lang w:eastAsia="pt-BR"/>
        </w:rPr>
        <w:t>, especialmente quanto à existência de sanção que impeça a participação no certame ou a futura contratação, mediante a consulta aos seguintes cadastros:</w:t>
      </w:r>
    </w:p>
    <w:p w14:paraId="3EDBEC55">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7.1.1</w:t>
      </w:r>
      <w:r>
        <w:rPr>
          <w:rFonts w:eastAsia="Calibri"/>
          <w:szCs w:val="24"/>
          <w:lang w:eastAsia="pt-BR"/>
        </w:rPr>
        <w:tab/>
      </w:r>
      <w:r>
        <w:rPr>
          <w:rFonts w:eastAsia="Calibri"/>
          <w:szCs w:val="24"/>
          <w:lang w:eastAsia="pt-BR"/>
        </w:rPr>
        <w:t>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Fonts w:eastAsia="Calibri"/>
          <w:szCs w:val="24"/>
          <w:lang w:eastAsia="pt-BR"/>
        </w:rPr>
        <w:t>https://www.portaltransparencia.gov.br/sancoes/ceis</w:t>
      </w:r>
      <w:r>
        <w:rPr>
          <w:rFonts w:eastAsia="Calibri"/>
          <w:szCs w:val="24"/>
          <w:lang w:eastAsia="pt-BR"/>
        </w:rPr>
        <w:fldChar w:fldCharType="end"/>
      </w:r>
      <w:r>
        <w:rPr>
          <w:rFonts w:eastAsia="Calibri"/>
          <w:szCs w:val="24"/>
          <w:lang w:eastAsia="pt-BR"/>
        </w:rPr>
        <w:t xml:space="preserve">); e </w:t>
      </w:r>
    </w:p>
    <w:p w14:paraId="16065D1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7.1.2</w:t>
      </w:r>
      <w:r>
        <w:rPr>
          <w:rFonts w:eastAsia="Calibri"/>
          <w:szCs w:val="24"/>
          <w:lang w:eastAsia="pt-BR"/>
        </w:rPr>
        <w:tab/>
      </w:r>
      <w:r>
        <w:rPr>
          <w:rFonts w:eastAsia="Calibri"/>
          <w:szCs w:val="24"/>
          <w:lang w:eastAsia="pt-BR"/>
        </w:rPr>
        <w:t>Cadastro Nacional de Empresas Punidas – CNEP, mantido pela Controladoria-Geral da União (</w:t>
      </w:r>
      <w:r>
        <w:fldChar w:fldCharType="begin"/>
      </w:r>
      <w:r>
        <w:instrText xml:space="preserve"> HYPERLINK "https://www.portaltransparencia.gov.br/sancoes/cnep" </w:instrText>
      </w:r>
      <w:r>
        <w:fldChar w:fldCharType="separate"/>
      </w:r>
      <w:r>
        <w:rPr>
          <w:rFonts w:eastAsia="Calibri"/>
          <w:szCs w:val="24"/>
          <w:lang w:eastAsia="pt-BR"/>
        </w:rPr>
        <w:t>https://www.portaltransparencia.gov.br/sancoes/cnep</w:t>
      </w:r>
      <w:r>
        <w:rPr>
          <w:rFonts w:eastAsia="Calibri"/>
          <w:szCs w:val="24"/>
          <w:lang w:eastAsia="pt-BR"/>
        </w:rPr>
        <w:fldChar w:fldCharType="end"/>
      </w:r>
      <w:r>
        <w:rPr>
          <w:rFonts w:eastAsia="Calibri"/>
          <w:szCs w:val="24"/>
          <w:lang w:eastAsia="pt-BR"/>
        </w:rPr>
        <w:t>).</w:t>
      </w:r>
    </w:p>
    <w:p w14:paraId="0D2CDCA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7.1.3</w:t>
      </w:r>
      <w:r>
        <w:rPr>
          <w:rFonts w:eastAsia="Calibri"/>
          <w:szCs w:val="24"/>
          <w:lang w:eastAsia="pt-BR"/>
        </w:rPr>
        <w:tab/>
      </w:r>
      <w:r>
        <w:rPr>
          <w:rFonts w:eastAsia="Calibri"/>
          <w:szCs w:val="24"/>
          <w:lang w:eastAsia="pt-BR"/>
        </w:rPr>
        <w:t>O licitante será convocado para manifestação previamente a uma eventual desclassificação.</w:t>
      </w:r>
    </w:p>
    <w:p w14:paraId="0D1A6C42">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7.1.4</w:t>
      </w:r>
      <w:r>
        <w:rPr>
          <w:rFonts w:eastAsia="Calibri"/>
          <w:szCs w:val="24"/>
          <w:lang w:eastAsia="pt-BR"/>
        </w:rPr>
        <w:tab/>
      </w:r>
      <w:r>
        <w:rPr>
          <w:rFonts w:eastAsia="Calibri"/>
          <w:szCs w:val="24"/>
          <w:lang w:eastAsia="pt-BR"/>
        </w:rPr>
        <w:t>Constatada a existência de sanção, o licitante será reputado inabilitado, por falta de condição de participação.</w:t>
      </w:r>
    </w:p>
    <w:p w14:paraId="49B7D52D">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w:t>
      </w:r>
      <w:r>
        <w:rPr>
          <w:rFonts w:eastAsia="Calibri"/>
          <w:szCs w:val="24"/>
          <w:lang w:eastAsia="pt-BR"/>
        </w:rPr>
        <w:tab/>
      </w:r>
      <w:r>
        <w:rPr>
          <w:rFonts w:eastAsia="Calibri"/>
          <w:szCs w:val="24"/>
          <w:lang w:eastAsia="pt-BR"/>
        </w:rPr>
        <w:t>Caso o licitante provisoriamente classificado em primeiro lugar tenha se utilizado de algum tratamento favorecido às ME/EPPs, o pregoeiro verificará se faz jus ao benefício, em conformidade com os itens 4.5.1 e 4.5 deste edital.</w:t>
      </w:r>
    </w:p>
    <w:p w14:paraId="2C79F7D7">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7.3</w:t>
      </w:r>
      <w:r>
        <w:rPr>
          <w:rFonts w:eastAsia="Calibri"/>
          <w:szCs w:val="24"/>
          <w:lang w:eastAsia="pt-BR"/>
        </w:rPr>
        <w:tab/>
      </w:r>
      <w:r>
        <w:rPr>
          <w:rFonts w:eastAsia="Calibri"/>
          <w:szCs w:val="24"/>
          <w:lang w:eastAsia="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E25BA7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7.4</w:t>
      </w:r>
      <w:r>
        <w:rPr>
          <w:rFonts w:eastAsia="Calibri"/>
          <w:szCs w:val="24"/>
          <w:lang w:eastAsia="pt-BR"/>
        </w:rPr>
        <w:tab/>
      </w:r>
      <w:r>
        <w:rPr>
          <w:rFonts w:eastAsia="Calibri"/>
          <w:szCs w:val="24"/>
          <w:lang w:eastAsia="pt-BR"/>
        </w:rPr>
        <w:t xml:space="preserve">Será desclassificada a proposta vencedora que: </w:t>
      </w:r>
    </w:p>
    <w:p w14:paraId="686E3187">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7.4.1</w:t>
      </w:r>
      <w:r>
        <w:rPr>
          <w:rFonts w:eastAsia="Calibri"/>
          <w:szCs w:val="24"/>
          <w:lang w:eastAsia="pt-BR"/>
        </w:rPr>
        <w:tab/>
      </w:r>
      <w:r>
        <w:rPr>
          <w:rFonts w:eastAsia="Calibri"/>
          <w:szCs w:val="24"/>
          <w:lang w:eastAsia="pt-BR"/>
        </w:rPr>
        <w:t>contiver vícios insanáveis;</w:t>
      </w:r>
    </w:p>
    <w:p w14:paraId="666EF5E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7.4.2</w:t>
      </w:r>
      <w:r>
        <w:rPr>
          <w:rFonts w:eastAsia="Calibri"/>
          <w:szCs w:val="24"/>
          <w:lang w:eastAsia="pt-BR"/>
        </w:rPr>
        <w:tab/>
      </w:r>
      <w:r>
        <w:rPr>
          <w:rFonts w:eastAsia="Calibri"/>
          <w:szCs w:val="24"/>
          <w:lang w:eastAsia="pt-BR"/>
        </w:rPr>
        <w:t>não obedecer às especificações técnicas contidas no Termo de Referência;</w:t>
      </w:r>
    </w:p>
    <w:p w14:paraId="49DBEA3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7.4.3</w:t>
      </w:r>
      <w:r>
        <w:rPr>
          <w:rFonts w:eastAsia="Calibri"/>
          <w:szCs w:val="24"/>
          <w:lang w:eastAsia="pt-BR"/>
        </w:rPr>
        <w:tab/>
      </w:r>
      <w:r>
        <w:rPr>
          <w:rFonts w:eastAsia="Calibri"/>
          <w:szCs w:val="24"/>
          <w:lang w:eastAsia="pt-BR"/>
        </w:rPr>
        <w:t>apresentar preços inexequíveis ou permanecerem acima do preço máximo definido para a contratação;</w:t>
      </w:r>
    </w:p>
    <w:p w14:paraId="14B6322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7.4.4</w:t>
      </w:r>
      <w:r>
        <w:rPr>
          <w:rFonts w:eastAsia="Calibri"/>
          <w:szCs w:val="24"/>
          <w:lang w:eastAsia="pt-BR"/>
        </w:rPr>
        <w:tab/>
      </w:r>
      <w:r>
        <w:rPr>
          <w:rFonts w:eastAsia="Calibri"/>
          <w:szCs w:val="24"/>
          <w:lang w:eastAsia="pt-BR"/>
        </w:rPr>
        <w:t>não tiverem sua exequibilidade demonstrada, quando exigido pela Administração;</w:t>
      </w:r>
    </w:p>
    <w:p w14:paraId="2CADDB28">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7.4.5</w:t>
      </w:r>
      <w:r>
        <w:rPr>
          <w:rFonts w:eastAsia="Calibri"/>
          <w:szCs w:val="24"/>
          <w:lang w:eastAsia="pt-BR"/>
        </w:rPr>
        <w:tab/>
      </w:r>
      <w:r>
        <w:rPr>
          <w:rFonts w:eastAsia="Calibri"/>
          <w:szCs w:val="24"/>
          <w:lang w:eastAsia="pt-BR"/>
        </w:rPr>
        <w:t>apresentar desconformidade com quaisquer outras exigências deste Edital ou seus anexos, desde que insanável.</w:t>
      </w:r>
    </w:p>
    <w:p w14:paraId="24BD45BB">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Pr>
          <w:rFonts w:eastAsia="Calibri"/>
          <w:szCs w:val="24"/>
          <w:lang w:eastAsia="pt-BR"/>
        </w:rPr>
        <w:tab/>
      </w:r>
      <w:r>
        <w:rPr>
          <w:rFonts w:eastAsia="Calibri"/>
          <w:szCs w:val="24"/>
          <w:lang w:eastAsia="pt-BR"/>
        </w:rPr>
        <w:t>No caso de bens e serviços em geral, é indício de inexequibilidade das propostas valores inferiores a 50% (cinquenta por cento) do valor orçado pela Administração.</w:t>
      </w:r>
    </w:p>
    <w:p w14:paraId="0C28D34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w:t>
      </w:r>
      <w:r>
        <w:rPr>
          <w:rFonts w:eastAsia="Calibri"/>
          <w:szCs w:val="24"/>
          <w:lang w:eastAsia="pt-BR"/>
        </w:rPr>
        <w:tab/>
      </w:r>
      <w:r>
        <w:rPr>
          <w:rFonts w:eastAsia="Calibri"/>
          <w:szCs w:val="24"/>
          <w:lang w:eastAsia="pt-BR"/>
        </w:rPr>
        <w:t>A inexequibilidade, na hipótese de que trata o caput, só será considerada após diligência do pregoeiro, que comprove:</w:t>
      </w:r>
    </w:p>
    <w:p w14:paraId="153D208F">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7.5.1.1</w:t>
      </w:r>
      <w:r>
        <w:rPr>
          <w:rFonts w:eastAsia="Calibri"/>
          <w:szCs w:val="24"/>
          <w:lang w:eastAsia="pt-BR"/>
        </w:rPr>
        <w:tab/>
      </w:r>
      <w:r>
        <w:rPr>
          <w:rFonts w:eastAsia="Calibri"/>
          <w:szCs w:val="24"/>
          <w:lang w:eastAsia="pt-BR"/>
        </w:rPr>
        <w:t>que o custo do licitante ultrapassa o valor da proposta; e</w:t>
      </w:r>
    </w:p>
    <w:p w14:paraId="6516CD69">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7.5.1.2</w:t>
      </w:r>
      <w:r>
        <w:rPr>
          <w:rFonts w:eastAsia="Calibri"/>
          <w:szCs w:val="24"/>
          <w:lang w:eastAsia="pt-BR"/>
        </w:rPr>
        <w:tab/>
      </w:r>
      <w:r>
        <w:rPr>
          <w:rFonts w:eastAsia="Calibri"/>
          <w:szCs w:val="24"/>
          <w:lang w:eastAsia="pt-BR"/>
        </w:rPr>
        <w:t>inexistirem custos de oportunidade capazes de justificar o vulto da oferta.</w:t>
      </w:r>
    </w:p>
    <w:p w14:paraId="36D32F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w:t>
      </w:r>
      <w:r>
        <w:rPr>
          <w:rFonts w:eastAsia="Calibri"/>
          <w:szCs w:val="24"/>
          <w:lang w:eastAsia="pt-BR"/>
        </w:rPr>
        <w:tab/>
      </w:r>
      <w:r>
        <w:rPr>
          <w:rFonts w:eastAsia="Calibri"/>
          <w:szCs w:val="24"/>
          <w:lang w:eastAsia="pt-BR"/>
        </w:rPr>
        <w:t>Se houver indícios de inexequibilidade da proposta de preço, ou em caso da necessidade de esclarecimentos complementares, poderão ser efetuadas diligências, para que a empresa comprove a exequibilidade da proposta.</w:t>
      </w:r>
    </w:p>
    <w:p w14:paraId="5ED512F6">
      <w:pPr>
        <w:suppressAutoHyphens w:val="0"/>
        <w:autoSpaceDE w:val="0"/>
        <w:autoSpaceDN w:val="0"/>
        <w:adjustRightInd w:val="0"/>
        <w:spacing w:before="6" w:after="6"/>
        <w:jc w:val="both"/>
        <w:rPr>
          <w:rFonts w:eastAsia="Calibri"/>
          <w:szCs w:val="24"/>
          <w:lang w:eastAsia="pt-BR"/>
        </w:rPr>
      </w:pPr>
    </w:p>
    <w:p w14:paraId="2F454B2C">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8. DA ATA DE REGISTRO DE PREÇOS</w:t>
      </w:r>
    </w:p>
    <w:p w14:paraId="1061AE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8.1. Homologado o resultado da licitação, o licitante mais bem classificado terá o prazo de 03</w:t>
      </w:r>
    </w:p>
    <w:p w14:paraId="0E78E3F3">
      <w:pPr>
        <w:suppressAutoHyphens w:val="0"/>
        <w:autoSpaceDE w:val="0"/>
        <w:autoSpaceDN w:val="0"/>
        <w:adjustRightInd w:val="0"/>
        <w:spacing w:before="6" w:after="6"/>
        <w:jc w:val="both"/>
        <w:rPr>
          <w:rFonts w:eastAsia="Calibri"/>
          <w:szCs w:val="24"/>
          <w:lang w:eastAsia="pt-BR"/>
        </w:rPr>
      </w:pPr>
      <w:r>
        <w:rPr>
          <w:rFonts w:eastAsia="Calibri"/>
          <w:szCs w:val="24"/>
          <w:lang w:eastAsia="pt-BR"/>
        </w:rPr>
        <w:t>(três) dias, contados a partir da data de sua convocação, para assinar a Ata de Registro de Preços,</w:t>
      </w:r>
    </w:p>
    <w:p w14:paraId="4ECD949A">
      <w:pPr>
        <w:suppressAutoHyphens w:val="0"/>
        <w:autoSpaceDE w:val="0"/>
        <w:autoSpaceDN w:val="0"/>
        <w:adjustRightInd w:val="0"/>
        <w:spacing w:before="6" w:after="6"/>
        <w:jc w:val="both"/>
        <w:rPr>
          <w:rFonts w:eastAsia="Calibri"/>
          <w:szCs w:val="24"/>
          <w:lang w:eastAsia="pt-BR"/>
        </w:rPr>
      </w:pPr>
      <w:r>
        <w:rPr>
          <w:rFonts w:eastAsia="Calibri"/>
          <w:szCs w:val="24"/>
          <w:lang w:eastAsia="pt-BR"/>
        </w:rPr>
        <w:t>cujo prazo de validade encontra-se nela fixado, sob pena de decadência do direito à contratação,</w:t>
      </w:r>
    </w:p>
    <w:p w14:paraId="3FCAC2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sem prejuízo das sanções previstas na Lei nº 14.133, de 2021.</w:t>
      </w:r>
    </w:p>
    <w:p w14:paraId="608301A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8.2. O prazo de convocação poderá ser prorrogado uma vez, por igual período, mediante solicitação do licitante mais bem classificado ou do fornecedor convocado, desde que:</w:t>
      </w:r>
    </w:p>
    <w:p w14:paraId="1CE24AF7">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a solicitação seja devidamente justificada e apresentada dentro do prazo; e</w:t>
      </w:r>
    </w:p>
    <w:p w14:paraId="3062B887">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a justificativa apresentada seja aceita pela Administração.</w:t>
      </w:r>
    </w:p>
    <w:p w14:paraId="564DE1D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8.3. A ata de registro de preços será assinada por meio de assinatura digital e disponibilizada no sistema de registro de preços.</w:t>
      </w:r>
    </w:p>
    <w:p w14:paraId="04DEDECA">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5159664">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 O preço registrado, com a indicação dos fornecedores, será divulgado no PNCP e disponibilizado durante a vigência da ata de registro de preços.</w:t>
      </w:r>
    </w:p>
    <w:p w14:paraId="58375E35">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F25F609">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E5CAEDB">
      <w:pPr>
        <w:suppressAutoHyphens w:val="0"/>
        <w:autoSpaceDE w:val="0"/>
        <w:autoSpaceDN w:val="0"/>
        <w:adjustRightInd w:val="0"/>
        <w:spacing w:before="6" w:after="6"/>
        <w:ind w:right="-1"/>
        <w:jc w:val="both"/>
        <w:rPr>
          <w:rFonts w:eastAsia="Calibri"/>
          <w:b/>
          <w:szCs w:val="24"/>
          <w:lang w:eastAsia="pt-BR"/>
        </w:rPr>
      </w:pPr>
      <w:r>
        <w:rPr>
          <w:rFonts w:eastAsia="Calibri"/>
          <w:b/>
          <w:szCs w:val="24"/>
          <w:lang w:eastAsia="pt-BR"/>
        </w:rPr>
        <w:t>8.8 DA FORMAÇÃO DO CADASTRO DE RESERVA</w:t>
      </w:r>
    </w:p>
    <w:p w14:paraId="54ACDD8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8.8.1 Após a homologação da licitação, será incluído na ata, na forma de anexo, o registro:</w:t>
      </w:r>
    </w:p>
    <w:p w14:paraId="06BA5E75">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dos licitantes que aceitarem cotar o objeto com preço igual ao do adjudicatário, observada a classificação na licitação; e</w:t>
      </w:r>
    </w:p>
    <w:p w14:paraId="36C651A5">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dos licitantes que mantiverem sua proposta original</w:t>
      </w:r>
    </w:p>
    <w:p w14:paraId="7137080C">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8.8.2 Será respeitada, nas contratações, a ordem de classificação dos licitantes ou fornecedores registrados na ata.</w:t>
      </w:r>
    </w:p>
    <w:p w14:paraId="673C9DC8">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8.8.2.1 A apresentação de novas propostas na forma deste item não prejudicará o resultado do certame em relação ao licitante mais bem classificado.</w:t>
      </w:r>
    </w:p>
    <w:p w14:paraId="1B7DF16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8.8.2.2 Para fins da ordem de classificação, os licitantes ou fornecedores que aceitarem cotar o objeto com preço igual ao do adjudicatário antecederão aqueles que mantiverem sua proposta</w:t>
      </w:r>
    </w:p>
    <w:p w14:paraId="49A1C30C">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original.</w:t>
      </w:r>
    </w:p>
    <w:p w14:paraId="5DC46EA9">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8.8.3 A habilitação dos licitantes que comporão o cadastro de reserva será efetuada quando houver necessidade de contratação dos licitantes remanescentes, nas seguintes hipóteses:</w:t>
      </w:r>
    </w:p>
    <w:p w14:paraId="53D6384A">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quando o licitante vencedor não assinar a ata de registro de preços no prazo e nas condições estabelecidos no edital; ou</w:t>
      </w:r>
    </w:p>
    <w:p w14:paraId="5C3A422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quando houver o cancelamento do registro do fornecedor ou do registro de preços, nas hipóteses previstas nos art. 28 e art. 29 do Decreto nº 11.462/23.</w:t>
      </w:r>
    </w:p>
    <w:p w14:paraId="4207BE4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E1AD4C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convocar os licitantes que mantiveram sua proposta original para negociação, na ordem de classificação, com vistas à obtenção de preço melhor, mesmo que acima do preço do</w:t>
      </w:r>
    </w:p>
    <w:p w14:paraId="26609D5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adjudicatário; ou</w:t>
      </w:r>
    </w:p>
    <w:p w14:paraId="6382144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adjudicar e firmar o contrato nas condições ofertadas pelos licitantes remanescentes, observada a ordem de classificação, quando frustrada a negociação de melhor condição.</w:t>
      </w:r>
    </w:p>
    <w:p w14:paraId="10502483">
      <w:pPr>
        <w:suppressAutoHyphens w:val="0"/>
        <w:autoSpaceDE w:val="0"/>
        <w:autoSpaceDN w:val="0"/>
        <w:adjustRightInd w:val="0"/>
        <w:spacing w:before="6" w:after="6"/>
        <w:ind w:right="-1"/>
        <w:jc w:val="both"/>
        <w:rPr>
          <w:rFonts w:eastAsia="Calibri"/>
          <w:szCs w:val="24"/>
          <w:lang w:eastAsia="pt-BR"/>
        </w:rPr>
      </w:pPr>
    </w:p>
    <w:p w14:paraId="6D9564B8">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9</w:t>
      </w:r>
      <w:r>
        <w:rPr>
          <w:rFonts w:eastAsia="Calibri"/>
          <w:b/>
          <w:bCs/>
          <w:szCs w:val="24"/>
          <w:lang w:eastAsia="pt-BR"/>
        </w:rPr>
        <w:tab/>
      </w:r>
      <w:r>
        <w:rPr>
          <w:rFonts w:eastAsia="Calibri"/>
          <w:b/>
          <w:bCs/>
          <w:szCs w:val="24"/>
          <w:lang w:eastAsia="pt-BR"/>
        </w:rPr>
        <w:t>DA FASE DE HABILITAÇÃO</w:t>
      </w:r>
    </w:p>
    <w:p w14:paraId="1745CA5A">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w:t>
      </w:r>
      <w:r>
        <w:rPr>
          <w:rFonts w:eastAsia="Calibri"/>
          <w:szCs w:val="24"/>
          <w:lang w:eastAsia="pt-BR"/>
        </w:rPr>
        <w:tab/>
      </w:r>
      <w:r>
        <w:rPr>
          <w:rFonts w:eastAsia="Calibri"/>
          <w:szCs w:val="24"/>
          <w:lang w:eastAsia="pt-BR"/>
        </w:rPr>
        <w:t xml:space="preserve">Os documentos previstos no Termo de Referência, necessários e suficientes para demonstrar a capacidade do licitante de realizar o objeto da licitação, serão exigidos para fins de habilitação, nos termos dos </w:t>
      </w:r>
      <w:r>
        <w:fldChar w:fldCharType="begin"/>
      </w:r>
      <w:r>
        <w:instrText xml:space="preserve"> HYPERLINK "http://www.planalto.gov.br/ccivil_03/_ato2019-2022/2021/lei/L14133.htm" \l "art62" </w:instrText>
      </w:r>
      <w:r>
        <w:fldChar w:fldCharType="separate"/>
      </w:r>
      <w:r>
        <w:rPr>
          <w:rFonts w:eastAsia="Calibri"/>
          <w:color w:val="000080"/>
          <w:szCs w:val="24"/>
          <w:u w:val="single"/>
          <w:lang w:eastAsia="pt-BR"/>
        </w:rPr>
        <w:t>arts. 62 a 70 da Lei nº 14.133, de 2021</w:t>
      </w:r>
      <w:r>
        <w:rPr>
          <w:rFonts w:eastAsia="Calibri"/>
          <w:color w:val="000080"/>
          <w:szCs w:val="24"/>
          <w:u w:val="single"/>
          <w:lang w:eastAsia="pt-BR"/>
        </w:rPr>
        <w:fldChar w:fldCharType="end"/>
      </w:r>
      <w:r>
        <w:rPr>
          <w:rFonts w:eastAsia="Calibri"/>
          <w:szCs w:val="24"/>
          <w:lang w:eastAsia="pt-BR"/>
        </w:rPr>
        <w:t>.</w:t>
      </w:r>
    </w:p>
    <w:p w14:paraId="6B709A9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9.2</w:t>
      </w:r>
      <w:r>
        <w:rPr>
          <w:rFonts w:eastAsia="Calibri"/>
          <w:szCs w:val="24"/>
          <w:lang w:eastAsia="pt-BR"/>
        </w:rPr>
        <w:tab/>
      </w:r>
      <w:r>
        <w:rPr>
          <w:rFonts w:eastAsia="Calibri"/>
          <w:szCs w:val="24"/>
          <w:lang w:eastAsia="pt-B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9E6652C">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9.2.1</w:t>
      </w:r>
      <w:r>
        <w:rPr>
          <w:rFonts w:eastAsia="Calibri"/>
          <w:szCs w:val="24"/>
          <w:lang w:eastAsia="pt-BR"/>
        </w:rPr>
        <w:tab/>
      </w:r>
      <w:r>
        <w:rPr>
          <w:rFonts w:eastAsia="Calibri"/>
          <w:szCs w:val="24"/>
          <w:lang w:eastAsia="pt-BR"/>
        </w:rPr>
        <w:t>Se o consórcio não for formado integralmente por microempresas ou empresas de pequeno porte e o termo de referência exigir requisitos de habilitação econômico-financeira, haverá um acréscimo de 10%(dez por cento) para o consórcio em relação ao valor exigido para os licitantes individuais.</w:t>
      </w:r>
    </w:p>
    <w:p w14:paraId="76C4215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7.3</w:t>
      </w:r>
      <w:r>
        <w:rPr>
          <w:rFonts w:eastAsia="Calibri"/>
          <w:szCs w:val="24"/>
          <w:lang w:eastAsia="pt-BR"/>
        </w:rPr>
        <w:tab/>
      </w:r>
      <w:r>
        <w:rPr>
          <w:rFonts w:eastAsia="Calibri"/>
          <w:szCs w:val="24"/>
          <w:lang w:eastAsia="pt-BR"/>
        </w:rPr>
        <w:t>Os documentos exigidos para fins de habilitação poderão ser substituídos Os documentos exigidos para fins de habilitação poderão ser substituídos por registro</w:t>
      </w:r>
    </w:p>
    <w:p w14:paraId="5D3F4CE9">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9.4</w:t>
      </w:r>
      <w:r>
        <w:rPr>
          <w:rFonts w:eastAsia="Calibri"/>
          <w:szCs w:val="24"/>
          <w:lang w:eastAsia="pt-BR"/>
        </w:rPr>
        <w:tab/>
      </w:r>
      <w:r>
        <w:rPr>
          <w:rFonts w:eastAsia="Calibri"/>
          <w:szCs w:val="24"/>
          <w:lang w:eastAsia="pt-BR"/>
        </w:rPr>
        <w:t>cadastral emitido por órgão ou entidade pública, desde que o registro tenha sido feito em obediência ao disposto na Lei nº 14.133/2021.</w:t>
      </w:r>
    </w:p>
    <w:p w14:paraId="607665E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9.5</w:t>
      </w:r>
      <w:r>
        <w:rPr>
          <w:rFonts w:eastAsia="Calibri"/>
          <w:szCs w:val="24"/>
          <w:lang w:eastAsia="pt-BR"/>
        </w:rPr>
        <w:tab/>
      </w:r>
      <w:r>
        <w:rPr>
          <w:rFonts w:eastAsia="Calibri"/>
          <w:szCs w:val="24"/>
          <w:lang w:eastAsia="pt-BR"/>
        </w:rPr>
        <w:t>Os documentos exigidos para fins de habilitação poderão ser substituídos por registro cadastral emitido por órgão ou entidade pública, desde que o registro tenha sido feito em obediência ao disposto na Lei nº 14.133/2021.</w:t>
      </w:r>
    </w:p>
    <w:p w14:paraId="392F3D68">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9.6</w:t>
      </w:r>
      <w:r>
        <w:rPr>
          <w:rFonts w:eastAsia="Calibri"/>
          <w:szCs w:val="24"/>
          <w:lang w:eastAsia="pt-BR"/>
        </w:rPr>
        <w:tab/>
      </w:r>
      <w:r>
        <w:rPr>
          <w:rFonts w:eastAsia="Calibri"/>
          <w:szCs w:val="24"/>
          <w:lang w:eastAsia="pt-BR"/>
        </w:rPr>
        <w:t>Será verificado se o licitante apresentou declaração de que atende aos requisitos de habilitação, e o declarante responderá pela veracidade das informações prestadas, na forma da lei (</w:t>
      </w:r>
      <w:r>
        <w:fldChar w:fldCharType="begin"/>
      </w:r>
      <w:r>
        <w:instrText xml:space="preserve"> HYPERLINK "http://www.planalto.gov.br/ccivil_03/_ato2019-2022/2021/lei/L14133.htm" \l "art63" </w:instrText>
      </w:r>
      <w:r>
        <w:fldChar w:fldCharType="separate"/>
      </w:r>
      <w:r>
        <w:rPr>
          <w:rFonts w:eastAsia="Calibri"/>
          <w:color w:val="000080"/>
          <w:szCs w:val="24"/>
          <w:u w:val="single"/>
          <w:lang w:eastAsia="pt-BR"/>
        </w:rPr>
        <w:t>art. 63, I, da Lei nº 14.133/2021</w:t>
      </w:r>
      <w:r>
        <w:rPr>
          <w:rFonts w:eastAsia="Calibri"/>
          <w:color w:val="000080"/>
          <w:szCs w:val="24"/>
          <w:u w:val="single"/>
          <w:lang w:eastAsia="pt-BR"/>
        </w:rPr>
        <w:fldChar w:fldCharType="end"/>
      </w:r>
      <w:r>
        <w:rPr>
          <w:rFonts w:eastAsia="Calibri"/>
          <w:szCs w:val="24"/>
          <w:lang w:eastAsia="pt-BR"/>
        </w:rPr>
        <w:t>).</w:t>
      </w:r>
    </w:p>
    <w:p w14:paraId="6453A25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9.7</w:t>
      </w:r>
      <w:r>
        <w:rPr>
          <w:rFonts w:eastAsia="Calibri"/>
          <w:szCs w:val="24"/>
          <w:lang w:eastAsia="pt-BR"/>
        </w:rPr>
        <w:tab/>
      </w:r>
      <w:r>
        <w:rPr>
          <w:rFonts w:eastAsia="Calibri"/>
          <w:szCs w:val="24"/>
          <w:lang w:eastAsia="pt-BR"/>
        </w:rPr>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77888C9E">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9.8</w:t>
      </w:r>
      <w:r>
        <w:rPr>
          <w:rFonts w:eastAsia="Calibri"/>
          <w:szCs w:val="24"/>
          <w:lang w:eastAsia="pt-BR"/>
        </w:rPr>
        <w:tab/>
      </w:r>
      <w:r>
        <w:rPr>
          <w:rFonts w:eastAsia="Calibri"/>
          <w:b/>
          <w:bCs/>
          <w:szCs w:val="24"/>
          <w:lang w:eastAsia="pt-BR"/>
        </w:rPr>
        <w:t xml:space="preserve">Habilitação jurídica: </w:t>
      </w:r>
    </w:p>
    <w:p w14:paraId="4C878A8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9.8.1. Empresário individual: inscrição no Registro Público de Empresas Mercantis, a cargo da Junta Comercial da respectiva sede</w:t>
      </w:r>
      <w:r>
        <w:rPr>
          <w:rFonts w:eastAsia="Calibri"/>
          <w:b/>
          <w:bCs/>
          <w:szCs w:val="24"/>
          <w:lang w:eastAsia="pt-BR"/>
        </w:rPr>
        <w:t xml:space="preserve">; </w:t>
      </w:r>
    </w:p>
    <w:p w14:paraId="06D92925">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9.8.2. 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rPr>
          <w:rFonts w:eastAsia="Calibri"/>
          <w:szCs w:val="24"/>
          <w:lang w:eastAsia="pt-BR"/>
        </w:rPr>
        <w:t>https://www.gov.br/empresas-e-negocios/pt-br/empreendedor</w:t>
      </w:r>
      <w:r>
        <w:rPr>
          <w:rFonts w:eastAsia="Calibri"/>
          <w:szCs w:val="24"/>
          <w:lang w:eastAsia="pt-BR"/>
        </w:rPr>
        <w:fldChar w:fldCharType="end"/>
      </w:r>
      <w:r>
        <w:rPr>
          <w:rFonts w:eastAsia="Calibri"/>
          <w:szCs w:val="24"/>
          <w:lang w:eastAsia="pt-BR"/>
        </w:rPr>
        <w:t>;</w:t>
      </w:r>
    </w:p>
    <w:p w14:paraId="540C1F58">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01B67EE">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6F040E">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9.8.5. Sociedade simples: inscrição do ato constitutivo no Registro Civil de Pessoas Jurídicas do local de sua sede, acompanhada de documento comprobatório de seus administradores;</w:t>
      </w:r>
    </w:p>
    <w:p w14:paraId="4BFB6AD2">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73DDD0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B55D845">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9.8.8. Os documentos apresentados deverão estar acompanhados de todas as alterações ou da consolidação respectiva.</w:t>
      </w:r>
    </w:p>
    <w:p w14:paraId="5756B0C6">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9.9. Habilitação fiscal, social e trabalhista</w:t>
      </w:r>
    </w:p>
    <w:p w14:paraId="33C870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9.9.1. Prova de inscrição no Cadastro Nacional de Pessoas Jurídicas ou no Cadastro de Pessoas Físicas, conforme o caso;</w:t>
      </w:r>
    </w:p>
    <w:p w14:paraId="2B8BE18D">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058AD6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9.9.3. Prova de regularidade com o Fundo de Garantia do Tempo de Serviço (FGTS);</w:t>
      </w:r>
    </w:p>
    <w:p w14:paraId="5501E1D9">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4224F6">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9.9.5. Prova de regularidade com a Fazenda estadual do domicílio ou sede do fornecedor, relativa à atividade em cujo exercício contrata ou concorre;</w:t>
      </w:r>
    </w:p>
    <w:p w14:paraId="3890D71F">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27998D5D">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8D0FF1A">
      <w:pPr>
        <w:suppressAutoHyphens w:val="0"/>
        <w:autoSpaceDE w:val="0"/>
        <w:autoSpaceDN w:val="0"/>
        <w:adjustRightInd w:val="0"/>
        <w:spacing w:before="6" w:after="6"/>
        <w:jc w:val="both"/>
        <w:rPr>
          <w:rFonts w:eastAsia="Calibri"/>
          <w:b/>
          <w:bCs/>
          <w:szCs w:val="24"/>
          <w:lang w:eastAsia="pt-BR"/>
        </w:rPr>
      </w:pPr>
    </w:p>
    <w:p w14:paraId="14D76BE1">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10. DOS RECURSOS</w:t>
      </w:r>
    </w:p>
    <w:p w14:paraId="27524BA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Fonts w:eastAsia="Calibri"/>
          <w:color w:val="000080"/>
          <w:szCs w:val="24"/>
          <w:u w:val="single"/>
          <w:lang w:eastAsia="pt-BR"/>
        </w:rPr>
        <w:t>art. 165 da Lei nº 14.133, de 2021</w:t>
      </w:r>
      <w:r>
        <w:rPr>
          <w:rFonts w:eastAsia="Calibri"/>
          <w:color w:val="000080"/>
          <w:szCs w:val="24"/>
          <w:u w:val="single"/>
          <w:lang w:eastAsia="pt-BR"/>
        </w:rPr>
        <w:fldChar w:fldCharType="end"/>
      </w:r>
      <w:r>
        <w:rPr>
          <w:rFonts w:eastAsia="Calibri"/>
          <w:szCs w:val="24"/>
          <w:lang w:eastAsia="pt-BR"/>
        </w:rPr>
        <w:t>.</w:t>
      </w:r>
    </w:p>
    <w:p w14:paraId="1B2C8F3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10.2. O prazo recursal é de 3 (três) dias úteis, contados da data de intimação ou de lavratura da ata.</w:t>
      </w:r>
    </w:p>
    <w:p w14:paraId="177E48FC">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 Quando o recurso apresentado impugnar o julgamento das propostas ou o ato de habilitação ou inabilitação do licitante:</w:t>
      </w:r>
    </w:p>
    <w:p w14:paraId="62C29A86">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 intenção de recorrer deverá ser manifestada imediatamente, sob pena de preclusão;</w:t>
      </w:r>
    </w:p>
    <w:p w14:paraId="5EAF029C">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 prazo para a manifestação da intenção de recorrer não será inferior a 30 (trinta) minutos.</w:t>
      </w:r>
    </w:p>
    <w:p w14:paraId="7B04052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 prazo para apresentação das razões recursais será iniciado na data de intimação ou de lavratura da ata de habilitação ou inabilitação;</w:t>
      </w:r>
    </w:p>
    <w:p w14:paraId="64463A8D">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10.4. Os recursos deverão ser encaminhados em campo próprio do sistema.</w:t>
      </w:r>
    </w:p>
    <w:p w14:paraId="7541127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6DE72C">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10.6. Os recursos interpostos fora do prazo não serão conhecidos. </w:t>
      </w:r>
    </w:p>
    <w:p w14:paraId="7F4A66B6">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534B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10.8. O recurso e o pedido de reconsideração terão efeito suspensivo do ato ou da decisão recorrida até que sobrevenha decisão final da autoridade competente. </w:t>
      </w:r>
    </w:p>
    <w:p w14:paraId="6A7ACF42">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10.9. O acolhimento do recurso invalida tão somente os atos insuscetíveis de aproveitamento. </w:t>
      </w:r>
    </w:p>
    <w:p w14:paraId="046DFE3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10.10. Os autos do processo permanecerão com vista franqueada aos interessados nos sítios eletrônicos </w:t>
      </w:r>
      <w:r>
        <w:fldChar w:fldCharType="begin"/>
      </w:r>
      <w:r>
        <w:instrText xml:space="preserve"> HYPERLINK "https://avisolicitacao.qualitysistemas.com.br/prefeitura_municipal_de_caracol" </w:instrText>
      </w:r>
      <w:r>
        <w:fldChar w:fldCharType="separate"/>
      </w:r>
      <w:r>
        <w:rPr>
          <w:rFonts w:eastAsia="Calibri"/>
          <w:szCs w:val="24"/>
          <w:lang w:eastAsia="pt-BR"/>
        </w:rPr>
        <w:t>https://avisolicitacao.qualitysistemas.com.br/prefeitura_municipal_de_caracol</w:t>
      </w:r>
      <w:r>
        <w:rPr>
          <w:rFonts w:eastAsia="Calibri"/>
          <w:szCs w:val="24"/>
          <w:lang w:eastAsia="pt-BR"/>
        </w:rPr>
        <w:fldChar w:fldCharType="end"/>
      </w:r>
      <w:r>
        <w:rPr>
          <w:rFonts w:eastAsia="Calibri"/>
          <w:szCs w:val="24"/>
          <w:lang w:eastAsia="pt-BR"/>
        </w:rPr>
        <w:t xml:space="preserve">, e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r>
        <w:rPr>
          <w:rFonts w:eastAsia="Calibri"/>
          <w:color w:val="000080"/>
          <w:szCs w:val="24"/>
          <w:u w:val="single"/>
          <w:lang w:eastAsia="pt-BR"/>
        </w:rPr>
        <w:t>.</w:t>
      </w:r>
    </w:p>
    <w:p w14:paraId="0ABEDC74">
      <w:pPr>
        <w:suppressAutoHyphens w:val="0"/>
        <w:autoSpaceDE w:val="0"/>
        <w:autoSpaceDN w:val="0"/>
        <w:adjustRightInd w:val="0"/>
        <w:spacing w:before="6" w:after="6"/>
        <w:jc w:val="both"/>
        <w:rPr>
          <w:rFonts w:eastAsia="Calibri"/>
          <w:szCs w:val="24"/>
          <w:lang w:eastAsia="pt-BR"/>
        </w:rPr>
      </w:pPr>
    </w:p>
    <w:p w14:paraId="571BF866">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11.</w:t>
      </w:r>
      <w:r>
        <w:rPr>
          <w:rFonts w:eastAsia="Calibri"/>
          <w:b/>
          <w:bCs/>
          <w:szCs w:val="24"/>
          <w:lang w:eastAsia="pt-BR"/>
        </w:rPr>
        <w:tab/>
      </w:r>
      <w:r>
        <w:rPr>
          <w:rFonts w:eastAsia="Calibri"/>
          <w:b/>
          <w:bCs/>
          <w:szCs w:val="24"/>
          <w:lang w:eastAsia="pt-BR"/>
        </w:rPr>
        <w:t>DAS INFRAÇÕES ADMINISTRATIVAS E SANÇÕES</w:t>
      </w:r>
    </w:p>
    <w:p w14:paraId="67154BF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w:t>
      </w:r>
      <w:r>
        <w:rPr>
          <w:rFonts w:eastAsia="Calibri"/>
          <w:szCs w:val="24"/>
          <w:lang w:eastAsia="pt-BR"/>
        </w:rPr>
        <w:tab/>
      </w:r>
      <w:r>
        <w:rPr>
          <w:rFonts w:eastAsia="Calibri"/>
          <w:szCs w:val="24"/>
          <w:lang w:eastAsia="pt-BR"/>
        </w:rPr>
        <w:t xml:space="preserve"> Comete infração administrativa, nos termos da lei, o licitante que, com dolo ou culpa: </w:t>
      </w:r>
    </w:p>
    <w:p w14:paraId="3710976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r>
      <w:r>
        <w:rPr>
          <w:rFonts w:eastAsia="Calibri"/>
          <w:szCs w:val="24"/>
          <w:lang w:eastAsia="pt-BR"/>
        </w:rPr>
        <w:t>deixar de entregar a documentação exigida para o certame ou não entregar qualquer documento que tenha sido solicitado pelo/a pregoeiro/a durante o certame;</w:t>
      </w:r>
    </w:p>
    <w:p w14:paraId="128C2AC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r>
      <w:r>
        <w:rPr>
          <w:rFonts w:eastAsia="Calibri"/>
          <w:szCs w:val="24"/>
          <w:lang w:eastAsia="pt-BR"/>
        </w:rPr>
        <w:t>Salvo em decorrência de fato superveniente devidamente justificado, não mantiver a proposta em especial quando:</w:t>
      </w:r>
    </w:p>
    <w:p w14:paraId="2650B84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11.1.2.1.</w:t>
      </w:r>
      <w:r>
        <w:rPr>
          <w:rFonts w:eastAsia="Calibri"/>
          <w:szCs w:val="24"/>
          <w:lang w:eastAsia="pt-BR"/>
        </w:rPr>
        <w:tab/>
      </w:r>
      <w:r>
        <w:rPr>
          <w:rFonts w:eastAsia="Calibri"/>
          <w:szCs w:val="24"/>
          <w:lang w:eastAsia="pt-BR"/>
        </w:rPr>
        <w:t xml:space="preserve">não enviar a proposta adequada ao último lance ofertado ou após a negociação; </w:t>
      </w:r>
    </w:p>
    <w:p w14:paraId="01BB56C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11.1.2.2.</w:t>
      </w:r>
      <w:r>
        <w:rPr>
          <w:rFonts w:eastAsia="Calibri"/>
          <w:szCs w:val="24"/>
          <w:lang w:eastAsia="pt-BR"/>
        </w:rPr>
        <w:tab/>
      </w:r>
      <w:r>
        <w:rPr>
          <w:rFonts w:eastAsia="Calibri"/>
          <w:szCs w:val="24"/>
          <w:lang w:eastAsia="pt-BR"/>
        </w:rPr>
        <w:t xml:space="preserve">recusar-se a enviar o detalhamento da proposta quando exigível; </w:t>
      </w:r>
    </w:p>
    <w:p w14:paraId="0AFD3DA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11.1.2.3.</w:t>
      </w:r>
      <w:r>
        <w:rPr>
          <w:rFonts w:eastAsia="Calibri"/>
          <w:szCs w:val="24"/>
          <w:lang w:eastAsia="pt-BR"/>
        </w:rPr>
        <w:tab/>
      </w:r>
      <w:r>
        <w:rPr>
          <w:rFonts w:eastAsia="Calibri"/>
          <w:szCs w:val="24"/>
          <w:lang w:eastAsia="pt-BR"/>
        </w:rPr>
        <w:t xml:space="preserve">pedir para ser desclassificado quando encerrada a etapa competitiva; ou </w:t>
      </w:r>
    </w:p>
    <w:p w14:paraId="3033FBD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11.1.2.4.</w:t>
      </w:r>
      <w:r>
        <w:rPr>
          <w:rFonts w:eastAsia="Calibri"/>
          <w:szCs w:val="24"/>
          <w:lang w:eastAsia="pt-BR"/>
        </w:rPr>
        <w:tab/>
      </w:r>
      <w:r>
        <w:rPr>
          <w:rFonts w:eastAsia="Calibri"/>
          <w:szCs w:val="24"/>
          <w:lang w:eastAsia="pt-BR"/>
        </w:rPr>
        <w:t>deixar de apresentar amostra;</w:t>
      </w:r>
    </w:p>
    <w:p w14:paraId="5550C6A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11.1.2.5.</w:t>
      </w:r>
      <w:r>
        <w:rPr>
          <w:rFonts w:eastAsia="Calibri"/>
          <w:szCs w:val="24"/>
          <w:lang w:eastAsia="pt-BR"/>
        </w:rPr>
        <w:tab/>
      </w:r>
      <w:r>
        <w:rPr>
          <w:rFonts w:eastAsia="Calibri"/>
          <w:szCs w:val="24"/>
          <w:lang w:eastAsia="pt-BR"/>
        </w:rPr>
        <w:t xml:space="preserve">apresentar proposta ou amostra em desacordo com as especificações do edital; </w:t>
      </w:r>
    </w:p>
    <w:p w14:paraId="16E1CCAD">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r>
      <w:r>
        <w:rPr>
          <w:rFonts w:eastAsia="Calibri"/>
          <w:szCs w:val="24"/>
          <w:lang w:eastAsia="pt-BR"/>
        </w:rPr>
        <w:t>não celebrar o contrato ou não entregar a documentação exigida para a contratação, quando convocado dentro do prazo de validade de sua proposta;</w:t>
      </w:r>
    </w:p>
    <w:p w14:paraId="6F75B6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11.1.3.1.</w:t>
      </w:r>
      <w:r>
        <w:rPr>
          <w:rFonts w:eastAsia="Calibri"/>
          <w:szCs w:val="24"/>
          <w:lang w:eastAsia="pt-BR"/>
        </w:rPr>
        <w:tab/>
      </w:r>
      <w:r>
        <w:rPr>
          <w:rFonts w:eastAsia="Calibri"/>
          <w:szCs w:val="24"/>
          <w:lang w:eastAsia="pt-BR"/>
        </w:rPr>
        <w:t>recusar-se, sem justificativa, a assinar o contrato ou a ata de registro de preço, ou a aceitar ou retirar o instrumento equivalente no prazo estabelecido pela Administração;</w:t>
      </w:r>
    </w:p>
    <w:p w14:paraId="11D7F89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Pr>
          <w:rFonts w:eastAsia="Calibri"/>
          <w:szCs w:val="24"/>
          <w:lang w:eastAsia="pt-BR"/>
        </w:rPr>
        <w:tab/>
      </w:r>
      <w:r>
        <w:rPr>
          <w:rFonts w:eastAsia="Calibri"/>
          <w:szCs w:val="24"/>
          <w:lang w:eastAsia="pt-BR"/>
        </w:rPr>
        <w:t>apresentar declaração ou documentação falsa exigida para o certame ou prestar declaração falsa durante a licitação</w:t>
      </w:r>
    </w:p>
    <w:p w14:paraId="25675C3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Pr>
          <w:rFonts w:eastAsia="Calibri"/>
          <w:szCs w:val="24"/>
          <w:lang w:eastAsia="pt-BR"/>
        </w:rPr>
        <w:tab/>
      </w:r>
      <w:r>
        <w:rPr>
          <w:rFonts w:eastAsia="Calibri"/>
          <w:szCs w:val="24"/>
          <w:lang w:eastAsia="pt-BR"/>
        </w:rPr>
        <w:t>fraudar a licitação</w:t>
      </w:r>
    </w:p>
    <w:p w14:paraId="0948A04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Pr>
          <w:rFonts w:eastAsia="Calibri"/>
          <w:szCs w:val="24"/>
          <w:lang w:eastAsia="pt-BR"/>
        </w:rPr>
        <w:tab/>
      </w:r>
      <w:r>
        <w:rPr>
          <w:rFonts w:eastAsia="Calibri"/>
          <w:szCs w:val="24"/>
          <w:lang w:eastAsia="pt-BR"/>
        </w:rPr>
        <w:t>comportar-se de modo inidôneo ou cometer fraude de qualquer natureza, em especial quando:</w:t>
      </w:r>
    </w:p>
    <w:p w14:paraId="423909B9">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11.1.6.1.</w:t>
      </w:r>
      <w:r>
        <w:rPr>
          <w:rFonts w:eastAsia="Calibri"/>
          <w:szCs w:val="24"/>
          <w:lang w:eastAsia="pt-BR"/>
        </w:rPr>
        <w:tab/>
      </w:r>
      <w:r>
        <w:rPr>
          <w:rFonts w:eastAsia="Calibri"/>
          <w:szCs w:val="24"/>
          <w:lang w:eastAsia="pt-BR"/>
        </w:rPr>
        <w:t xml:space="preserve">agir em conluio ou em desconformidade com a lei; </w:t>
      </w:r>
    </w:p>
    <w:p w14:paraId="2136E0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11.1.6.2.</w:t>
      </w:r>
      <w:r>
        <w:rPr>
          <w:rFonts w:eastAsia="Calibri"/>
          <w:szCs w:val="24"/>
          <w:lang w:eastAsia="pt-BR"/>
        </w:rPr>
        <w:tab/>
      </w:r>
      <w:r>
        <w:rPr>
          <w:rFonts w:eastAsia="Calibri"/>
          <w:szCs w:val="24"/>
          <w:lang w:eastAsia="pt-BR"/>
        </w:rPr>
        <w:t xml:space="preserve">induzir deliberadamente a erro no julgamento; </w:t>
      </w:r>
    </w:p>
    <w:p w14:paraId="515B66E6">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11.1.6.3.</w:t>
      </w:r>
      <w:r>
        <w:rPr>
          <w:rFonts w:eastAsia="Calibri"/>
          <w:szCs w:val="24"/>
          <w:lang w:eastAsia="pt-BR"/>
        </w:rPr>
        <w:tab/>
      </w:r>
      <w:r>
        <w:rPr>
          <w:rFonts w:eastAsia="Calibri"/>
          <w:szCs w:val="24"/>
          <w:lang w:eastAsia="pt-BR"/>
        </w:rPr>
        <w:t xml:space="preserve">apresentar amostra falsificada ou deteriorada; </w:t>
      </w:r>
    </w:p>
    <w:p w14:paraId="3A876F8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Pr>
          <w:rFonts w:eastAsia="Calibri"/>
          <w:szCs w:val="24"/>
          <w:lang w:eastAsia="pt-BR"/>
        </w:rPr>
        <w:tab/>
      </w:r>
      <w:r>
        <w:rPr>
          <w:rFonts w:eastAsia="Calibri"/>
          <w:szCs w:val="24"/>
          <w:lang w:eastAsia="pt-BR"/>
        </w:rPr>
        <w:t>praticar atos ilícitos com vistas a frustrar os objetivos da licitação</w:t>
      </w:r>
    </w:p>
    <w:p w14:paraId="78CD7B8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Pr>
          <w:rFonts w:eastAsia="Calibri"/>
          <w:szCs w:val="24"/>
          <w:lang w:eastAsia="pt-BR"/>
        </w:rPr>
        <w:tab/>
      </w:r>
      <w:r>
        <w:rPr>
          <w:rFonts w:eastAsia="Calibri"/>
          <w:szCs w:val="24"/>
          <w:lang w:eastAsia="pt-BR"/>
        </w:rPr>
        <w:t xml:space="preserve">praticar ato lesivo previsto no </w:t>
      </w:r>
      <w:r>
        <w:fldChar w:fldCharType="begin"/>
      </w:r>
      <w:r>
        <w:instrText xml:space="preserve"> HYPERLINK "https://www.planalto.gov.br/ccivil_03/_ato2011-2014/2013/lei/l12846.htm" \l "art5" </w:instrText>
      </w:r>
      <w:r>
        <w:fldChar w:fldCharType="separate"/>
      </w:r>
      <w:r>
        <w:rPr>
          <w:rFonts w:eastAsia="Calibri"/>
          <w:szCs w:val="24"/>
          <w:u w:val="single"/>
          <w:lang w:eastAsia="pt-BR"/>
        </w:rPr>
        <w:t>art. 5º da Lei n.º 12.846, de 2013</w:t>
      </w:r>
      <w:r>
        <w:rPr>
          <w:rFonts w:eastAsia="Calibri"/>
          <w:szCs w:val="24"/>
          <w:u w:val="single"/>
          <w:lang w:eastAsia="pt-BR"/>
        </w:rPr>
        <w:fldChar w:fldCharType="end"/>
      </w:r>
      <w:r>
        <w:rPr>
          <w:rFonts w:eastAsia="Calibri"/>
          <w:szCs w:val="24"/>
          <w:lang w:eastAsia="pt-BR"/>
        </w:rPr>
        <w:t>.</w:t>
      </w:r>
    </w:p>
    <w:p w14:paraId="7E09F2A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w:t>
      </w:r>
      <w:r>
        <w:rPr>
          <w:rFonts w:eastAsia="Calibri"/>
          <w:szCs w:val="24"/>
          <w:lang w:eastAsia="pt-BR"/>
        </w:rPr>
        <w:tab/>
      </w:r>
      <w:r>
        <w:rPr>
          <w:rFonts w:eastAsia="Calibri"/>
          <w:szCs w:val="24"/>
          <w:lang w:eastAsia="pt-BR"/>
        </w:rPr>
        <w:t xml:space="preserve">Com fulcro na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2021</w:t>
      </w:r>
      <w:r>
        <w:rPr>
          <w:rFonts w:eastAsia="Calibri"/>
          <w:color w:val="000080"/>
          <w:szCs w:val="24"/>
          <w:u w:val="single"/>
          <w:lang w:eastAsia="pt-BR"/>
        </w:rPr>
        <w:fldChar w:fldCharType="end"/>
      </w:r>
      <w:r>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5EAF5C2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11.2.1.</w:t>
      </w:r>
      <w:r>
        <w:rPr>
          <w:rFonts w:eastAsia="Calibri"/>
          <w:szCs w:val="24"/>
          <w:lang w:eastAsia="pt-BR"/>
        </w:rPr>
        <w:tab/>
      </w:r>
      <w:r>
        <w:rPr>
          <w:rFonts w:eastAsia="Calibri"/>
          <w:szCs w:val="24"/>
          <w:lang w:eastAsia="pt-BR"/>
        </w:rPr>
        <w:t xml:space="preserve">advertência; </w:t>
      </w:r>
    </w:p>
    <w:p w14:paraId="086FB39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11.2.2.</w:t>
      </w:r>
      <w:r>
        <w:rPr>
          <w:rFonts w:eastAsia="Calibri"/>
          <w:szCs w:val="24"/>
          <w:lang w:eastAsia="pt-BR"/>
        </w:rPr>
        <w:tab/>
      </w:r>
      <w:r>
        <w:rPr>
          <w:rFonts w:eastAsia="Calibri"/>
          <w:szCs w:val="24"/>
          <w:lang w:eastAsia="pt-BR"/>
        </w:rPr>
        <w:t>multa;</w:t>
      </w:r>
    </w:p>
    <w:p w14:paraId="4048824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11.2.3.</w:t>
      </w:r>
      <w:r>
        <w:rPr>
          <w:rFonts w:eastAsia="Calibri"/>
          <w:szCs w:val="24"/>
          <w:lang w:eastAsia="pt-BR"/>
        </w:rPr>
        <w:tab/>
      </w:r>
      <w:r>
        <w:rPr>
          <w:rFonts w:eastAsia="Calibri"/>
          <w:szCs w:val="24"/>
          <w:lang w:eastAsia="pt-BR"/>
        </w:rPr>
        <w:t>impedimento de licitar e contratar e</w:t>
      </w:r>
    </w:p>
    <w:p w14:paraId="38BA3435">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11.2.4.</w:t>
      </w:r>
      <w:r>
        <w:rPr>
          <w:rFonts w:eastAsia="Calibri"/>
          <w:szCs w:val="24"/>
          <w:lang w:eastAsia="pt-BR"/>
        </w:rPr>
        <w:tab/>
      </w:r>
      <w:r>
        <w:rPr>
          <w:rFonts w:eastAsia="Calibri"/>
          <w:szCs w:val="24"/>
          <w:lang w:eastAsia="pt-BR"/>
        </w:rPr>
        <w:t>declaração de inidoneidade para licitar ou contratar, enquanto perdurarem os motivos determinantes da punição ou até que seja promovida sua reabilitação perante a própria autoridade que aplicou a penalidade.</w:t>
      </w:r>
    </w:p>
    <w:p w14:paraId="5A71B65C">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w:t>
      </w:r>
      <w:r>
        <w:rPr>
          <w:rFonts w:eastAsia="Calibri"/>
          <w:szCs w:val="24"/>
          <w:lang w:eastAsia="pt-BR"/>
        </w:rPr>
        <w:tab/>
      </w:r>
      <w:r>
        <w:rPr>
          <w:rFonts w:eastAsia="Calibri"/>
          <w:szCs w:val="24"/>
          <w:lang w:eastAsia="pt-BR"/>
        </w:rPr>
        <w:t>Na aplicação das sanções serão considerados:</w:t>
      </w:r>
    </w:p>
    <w:p w14:paraId="576DD0D8">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11.3.1.</w:t>
      </w:r>
      <w:r>
        <w:rPr>
          <w:rFonts w:eastAsia="Calibri"/>
          <w:szCs w:val="24"/>
          <w:lang w:eastAsia="pt-BR"/>
        </w:rPr>
        <w:tab/>
      </w:r>
      <w:r>
        <w:rPr>
          <w:rFonts w:eastAsia="Calibri"/>
          <w:szCs w:val="24"/>
          <w:lang w:eastAsia="pt-BR"/>
        </w:rPr>
        <w:t>a natureza e a gravidade da infração cometida.</w:t>
      </w:r>
    </w:p>
    <w:p w14:paraId="2AF1DE1D">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11.3.2.</w:t>
      </w:r>
      <w:r>
        <w:rPr>
          <w:rFonts w:eastAsia="Calibri"/>
          <w:szCs w:val="24"/>
          <w:lang w:eastAsia="pt-BR"/>
        </w:rPr>
        <w:tab/>
      </w:r>
      <w:r>
        <w:rPr>
          <w:rFonts w:eastAsia="Calibri"/>
          <w:szCs w:val="24"/>
          <w:lang w:eastAsia="pt-BR"/>
        </w:rPr>
        <w:t>as peculiaridades do caso concreto</w:t>
      </w:r>
    </w:p>
    <w:p w14:paraId="1BE2CABD">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11.3.3.</w:t>
      </w:r>
      <w:r>
        <w:rPr>
          <w:rFonts w:eastAsia="Calibri"/>
          <w:szCs w:val="24"/>
          <w:lang w:eastAsia="pt-BR"/>
        </w:rPr>
        <w:tab/>
      </w:r>
      <w:r>
        <w:rPr>
          <w:rFonts w:eastAsia="Calibri"/>
          <w:szCs w:val="24"/>
          <w:lang w:eastAsia="pt-BR"/>
        </w:rPr>
        <w:t>as circunstâncias agravantes ou atenuantes</w:t>
      </w:r>
    </w:p>
    <w:p w14:paraId="66888415">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11.3.4.</w:t>
      </w:r>
      <w:r>
        <w:rPr>
          <w:rFonts w:eastAsia="Calibri"/>
          <w:szCs w:val="24"/>
          <w:lang w:eastAsia="pt-BR"/>
        </w:rPr>
        <w:tab/>
      </w:r>
      <w:r>
        <w:rPr>
          <w:rFonts w:eastAsia="Calibri"/>
          <w:szCs w:val="24"/>
          <w:lang w:eastAsia="pt-BR"/>
        </w:rPr>
        <w:t>os danos que dela provierem para a Administração Pública</w:t>
      </w:r>
    </w:p>
    <w:p w14:paraId="1E40082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11.3.5.</w:t>
      </w:r>
      <w:r>
        <w:rPr>
          <w:rFonts w:eastAsia="Calibri"/>
          <w:szCs w:val="24"/>
          <w:lang w:eastAsia="pt-BR"/>
        </w:rPr>
        <w:tab/>
      </w:r>
      <w:r>
        <w:rPr>
          <w:rFonts w:eastAsia="Calibri"/>
          <w:szCs w:val="24"/>
          <w:lang w:eastAsia="pt-BR"/>
        </w:rPr>
        <w:t>a implantação ou o aperfeiçoamento de programa de integridade, conforme normas e orientações dos órgãos de controle.</w:t>
      </w:r>
    </w:p>
    <w:p w14:paraId="1985709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w:t>
      </w:r>
      <w:r>
        <w:rPr>
          <w:rFonts w:eastAsia="Calibri"/>
          <w:szCs w:val="24"/>
          <w:lang w:eastAsia="pt-BR"/>
        </w:rPr>
        <w:tab/>
      </w:r>
      <w:r>
        <w:rPr>
          <w:rFonts w:eastAsia="Calibri"/>
          <w:szCs w:val="24"/>
          <w:lang w:eastAsia="pt-BR"/>
        </w:rPr>
        <w:t xml:space="preserve">A multa será recolhida em percentual de 0,5% a 30% incidente sobre o valor do contrato licitado, recolhida no prazo máximo de </w:t>
      </w:r>
      <w:r>
        <w:rPr>
          <w:rFonts w:eastAsia="Calibri"/>
          <w:b/>
          <w:bCs/>
          <w:szCs w:val="24"/>
          <w:lang w:eastAsia="pt-BR"/>
        </w:rPr>
        <w:t>30 (trinta) dias</w:t>
      </w:r>
      <w:r>
        <w:rPr>
          <w:rFonts w:eastAsia="Calibri"/>
          <w:szCs w:val="24"/>
          <w:lang w:eastAsia="pt-BR"/>
        </w:rPr>
        <w:t xml:space="preserve"> úteis, a contar da comunicação oficial. </w:t>
      </w:r>
    </w:p>
    <w:p w14:paraId="2F3C77E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11.4.1.</w:t>
      </w:r>
      <w:r>
        <w:rPr>
          <w:rFonts w:eastAsia="Calibri"/>
          <w:szCs w:val="24"/>
          <w:lang w:eastAsia="pt-BR"/>
        </w:rPr>
        <w:tab/>
      </w:r>
      <w:r>
        <w:rPr>
          <w:rFonts w:eastAsia="Calibri"/>
          <w:szCs w:val="24"/>
          <w:lang w:eastAsia="pt-BR"/>
        </w:rPr>
        <w:t>Para as infrações previstas nos itens 11.1.1, 11.1.2 e 11.1.3, a multa será de 0,5% a 15% do valor do contrato licitado.</w:t>
      </w:r>
    </w:p>
    <w:p w14:paraId="3DD134E8">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11.4.2.</w:t>
      </w:r>
      <w:r>
        <w:rPr>
          <w:rFonts w:eastAsia="Calibri"/>
          <w:szCs w:val="24"/>
          <w:lang w:eastAsia="pt-BR"/>
        </w:rPr>
        <w:tab/>
      </w:r>
      <w:r>
        <w:rPr>
          <w:rFonts w:eastAsia="Calibri"/>
          <w:szCs w:val="24"/>
          <w:lang w:eastAsia="pt-BR"/>
        </w:rPr>
        <w:t>Para as infrações previstas nos itens 11.1.4, 11.1.5, 11.1.6, 11.1.7 e 11.1.8 a multa será de 15% a 30% do valor do contrato licitado.</w:t>
      </w:r>
    </w:p>
    <w:p w14:paraId="1DE78D8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11.5.</w:t>
      </w:r>
      <w:r>
        <w:rPr>
          <w:rFonts w:eastAsia="Calibri"/>
          <w:szCs w:val="24"/>
          <w:lang w:eastAsia="pt-BR"/>
        </w:rPr>
        <w:tab/>
      </w:r>
      <w:r>
        <w:rPr>
          <w:rFonts w:eastAsia="Calibri"/>
          <w:szCs w:val="24"/>
          <w:lang w:eastAsia="pt-BR"/>
        </w:rPr>
        <w:t>As sanções de advertência, impedimento de licitar e contratar e declaração de inidoneidade para licitar ou contratar poderão ser aplicadas, cumulativamente ou não, à penalidade de multa.</w:t>
      </w:r>
    </w:p>
    <w:p w14:paraId="572C9D46">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11.6.</w:t>
      </w:r>
      <w:r>
        <w:rPr>
          <w:rFonts w:eastAsia="Calibri"/>
          <w:szCs w:val="24"/>
          <w:lang w:eastAsia="pt-BR"/>
        </w:rPr>
        <w:tab/>
      </w:r>
      <w:r>
        <w:rPr>
          <w:rFonts w:eastAsia="Calibri"/>
          <w:szCs w:val="24"/>
          <w:lang w:eastAsia="pt-BR"/>
        </w:rPr>
        <w:t>Na aplicação da sanção de multa será facultada a defesa do interessado no prazo de 15 (quinze) dias úteis, contado da data de sua intimação.</w:t>
      </w:r>
    </w:p>
    <w:p w14:paraId="659A7998">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11.7.</w:t>
      </w:r>
      <w:r>
        <w:rPr>
          <w:rFonts w:eastAsia="Calibri"/>
          <w:szCs w:val="24"/>
          <w:lang w:eastAsia="pt-BR"/>
        </w:rPr>
        <w:tab/>
      </w:r>
      <w:r>
        <w:rPr>
          <w:rFonts w:eastAsia="Calibri"/>
          <w:szCs w:val="24"/>
          <w:lang w:eastAsia="pt-BR"/>
        </w:rPr>
        <w:t>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2379D06">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11.8.</w:t>
      </w:r>
      <w:r>
        <w:rPr>
          <w:rFonts w:eastAsia="Calibri"/>
          <w:szCs w:val="24"/>
          <w:lang w:eastAsia="pt-BR"/>
        </w:rPr>
        <w:tab/>
      </w:r>
      <w:r>
        <w:rPr>
          <w:rFonts w:eastAsia="Calibri"/>
          <w:szCs w:val="24"/>
          <w:lang w:eastAsia="pt-BR"/>
        </w:rPr>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w:instrText>
      </w:r>
      <w:r>
        <w:fldChar w:fldCharType="separate"/>
      </w:r>
      <w:r>
        <w:rPr>
          <w:rFonts w:eastAsia="Calibri"/>
          <w:color w:val="000080"/>
          <w:szCs w:val="24"/>
          <w:u w:val="single"/>
          <w:lang w:eastAsia="pt-BR"/>
        </w:rPr>
        <w:t>art. 156, §5º, da Lei n.º 14.133/2021</w:t>
      </w:r>
      <w:r>
        <w:rPr>
          <w:rFonts w:eastAsia="Calibri"/>
          <w:color w:val="000080"/>
          <w:szCs w:val="24"/>
          <w:u w:val="single"/>
          <w:lang w:eastAsia="pt-BR"/>
        </w:rPr>
        <w:fldChar w:fldCharType="end"/>
      </w:r>
      <w:r>
        <w:rPr>
          <w:rFonts w:eastAsia="Calibri"/>
          <w:szCs w:val="24"/>
          <w:lang w:eastAsia="pt-BR"/>
        </w:rPr>
        <w:t>.</w:t>
      </w:r>
    </w:p>
    <w:p w14:paraId="5A8FE318">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11.9.</w:t>
      </w:r>
      <w:r>
        <w:rPr>
          <w:rFonts w:eastAsia="Calibri"/>
          <w:szCs w:val="24"/>
          <w:lang w:eastAsia="pt-BR"/>
        </w:rPr>
        <w:tab/>
      </w:r>
      <w:r>
        <w:rPr>
          <w:rFonts w:eastAsia="Calibri"/>
          <w:szCs w:val="24"/>
          <w:lang w:eastAsia="pt-BR"/>
        </w:rPr>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5D07E98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w:t>
      </w:r>
      <w:r>
        <w:rPr>
          <w:rFonts w:eastAsia="Calibri"/>
          <w:szCs w:val="24"/>
          <w:lang w:eastAsia="pt-BR"/>
        </w:rPr>
        <w:tab/>
      </w:r>
      <w:r>
        <w:rPr>
          <w:rFonts w:eastAsia="Calibri"/>
          <w:szCs w:val="24"/>
          <w:lang w:eastAsia="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397E4A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r>
      <w:r>
        <w:rPr>
          <w:rFonts w:eastAsia="Calibri"/>
          <w:szCs w:val="24"/>
          <w:lang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2A812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r>
      <w:r>
        <w:rPr>
          <w:rFonts w:eastAsia="Calibri"/>
          <w:szCs w:val="24"/>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AA98366">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r>
      <w:r>
        <w:rPr>
          <w:rFonts w:eastAsia="Calibri"/>
          <w:szCs w:val="24"/>
          <w:lang w:eastAsia="pt-BR"/>
        </w:rPr>
        <w:t>O recurso e o pedido de reconsideração terão efeito suspensivo do ato ou da decisão recorrida até que sobrevenha decisão final da autoridade competente.</w:t>
      </w:r>
    </w:p>
    <w:p w14:paraId="2422857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Pr>
          <w:rFonts w:eastAsia="Calibri"/>
          <w:szCs w:val="24"/>
          <w:lang w:eastAsia="pt-BR"/>
        </w:rPr>
        <w:tab/>
      </w:r>
      <w:r>
        <w:rPr>
          <w:rFonts w:eastAsia="Calibri"/>
          <w:szCs w:val="24"/>
          <w:lang w:eastAsia="pt-BR"/>
        </w:rPr>
        <w:t>A aplicação das sanções previstas neste edital não exclui, em hipótese alguma, a obrigação de reparação integral dos danos causados.</w:t>
      </w:r>
    </w:p>
    <w:p w14:paraId="5B663264">
      <w:pPr>
        <w:suppressAutoHyphens w:val="0"/>
        <w:autoSpaceDE w:val="0"/>
        <w:autoSpaceDN w:val="0"/>
        <w:adjustRightInd w:val="0"/>
        <w:spacing w:before="6" w:after="6"/>
        <w:jc w:val="both"/>
        <w:rPr>
          <w:rFonts w:eastAsia="Calibri"/>
          <w:szCs w:val="24"/>
          <w:lang w:eastAsia="pt-BR"/>
        </w:rPr>
      </w:pPr>
    </w:p>
    <w:p w14:paraId="7AA80735">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12.</w:t>
      </w:r>
      <w:r>
        <w:rPr>
          <w:rFonts w:eastAsia="Calibri"/>
          <w:b/>
          <w:bCs/>
          <w:szCs w:val="24"/>
          <w:lang w:eastAsia="pt-BR"/>
        </w:rPr>
        <w:tab/>
      </w:r>
      <w:r>
        <w:rPr>
          <w:rFonts w:eastAsia="Calibri"/>
          <w:b/>
          <w:bCs/>
          <w:szCs w:val="24"/>
          <w:lang w:eastAsia="pt-BR"/>
        </w:rPr>
        <w:t>DA IMPUGNAÇÃO AO EDITAL E DO PEDIDO DE ESCLARECIMENTO</w:t>
      </w:r>
    </w:p>
    <w:p w14:paraId="1B29772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12.1.</w:t>
      </w:r>
      <w:r>
        <w:rPr>
          <w:rFonts w:eastAsia="Calibri"/>
          <w:szCs w:val="24"/>
          <w:lang w:eastAsia="pt-BR"/>
        </w:rPr>
        <w:tab/>
      </w:r>
      <w:r>
        <w:rPr>
          <w:rFonts w:eastAsia="Calibri"/>
          <w:szCs w:val="24"/>
          <w:lang w:eastAsia="pt-BR"/>
        </w:rPr>
        <w:t xml:space="preserve">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2021</w:t>
      </w:r>
      <w:r>
        <w:rPr>
          <w:rFonts w:eastAsia="Calibri"/>
          <w:color w:val="000080"/>
          <w:szCs w:val="24"/>
          <w:u w:val="single"/>
          <w:lang w:eastAsia="pt-BR"/>
        </w:rPr>
        <w:fldChar w:fldCharType="end"/>
      </w:r>
      <w:r>
        <w:rPr>
          <w:rFonts w:eastAsia="Calibri"/>
          <w:szCs w:val="24"/>
          <w:lang w:eastAsia="pt-BR"/>
        </w:rPr>
        <w:t>, devendo protocolar o pedido até 3 (três) dias úteis antes da data da abertura do certame.</w:t>
      </w:r>
    </w:p>
    <w:p w14:paraId="20CC4F5C">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12.2.</w:t>
      </w:r>
      <w:r>
        <w:rPr>
          <w:rFonts w:eastAsia="Calibri"/>
          <w:szCs w:val="24"/>
          <w:lang w:eastAsia="pt-BR"/>
        </w:rPr>
        <w:tab/>
      </w:r>
      <w:r>
        <w:rPr>
          <w:rFonts w:eastAsia="Calibri"/>
          <w:szCs w:val="24"/>
          <w:lang w:eastAsia="pt-BR"/>
        </w:rPr>
        <w:t>A resposta à impugnação ou ao pedido de esclarecimento será divulgado em sítio eletrônico oficial no prazo de até 3 (três) dias úteis, limitado ao último dia útil anterior à data da abertura do certame.</w:t>
      </w:r>
    </w:p>
    <w:p w14:paraId="590D478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12.3.</w:t>
      </w:r>
      <w:r>
        <w:rPr>
          <w:rFonts w:eastAsia="Calibri"/>
          <w:szCs w:val="24"/>
          <w:lang w:eastAsia="pt-BR"/>
        </w:rPr>
        <w:tab/>
      </w:r>
      <w:r>
        <w:rPr>
          <w:rFonts w:eastAsia="Calibri"/>
          <w:szCs w:val="24"/>
          <w:lang w:eastAsia="pt-BR"/>
        </w:rPr>
        <w:t xml:space="preserve">A impugnação e o pedido de esclarecimento poderão ser realizados por forma eletrônica,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r>
        <w:rPr>
          <w:rFonts w:eastAsia="Calibri"/>
          <w:szCs w:val="24"/>
          <w:lang w:eastAsia="pt-BR"/>
        </w:rPr>
        <w:t xml:space="preserve"> ou via email: </w:t>
      </w:r>
      <w:r>
        <w:rPr>
          <w:rFonts w:eastAsia="Calibri"/>
          <w:color w:val="000080"/>
          <w:szCs w:val="24"/>
          <w:u w:val="single"/>
          <w:lang w:eastAsia="pt-BR"/>
        </w:rPr>
        <w:t>licitação@pmcaracol.ms.gov.br</w:t>
      </w:r>
      <w:r>
        <w:rPr>
          <w:rFonts w:eastAsia="Calibri"/>
          <w:szCs w:val="24"/>
          <w:lang w:eastAsia="pt-BR"/>
        </w:rPr>
        <w:t>.</w:t>
      </w:r>
    </w:p>
    <w:p w14:paraId="6D7CD37D">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w:t>
      </w:r>
      <w:r>
        <w:rPr>
          <w:rFonts w:eastAsia="Calibri"/>
          <w:szCs w:val="24"/>
          <w:lang w:eastAsia="pt-BR"/>
        </w:rPr>
        <w:tab/>
      </w:r>
      <w:r>
        <w:rPr>
          <w:rFonts w:eastAsia="Calibri"/>
          <w:szCs w:val="24"/>
          <w:lang w:eastAsia="pt-BR"/>
        </w:rPr>
        <w:t>As impugnações e pedidos de esclarecimentos não suspendem os prazos previstos no certame.</w:t>
      </w:r>
    </w:p>
    <w:p w14:paraId="68CA420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12.4.1.</w:t>
      </w:r>
      <w:r>
        <w:rPr>
          <w:rFonts w:eastAsia="Calibri"/>
          <w:szCs w:val="24"/>
          <w:lang w:eastAsia="pt-BR"/>
        </w:rPr>
        <w:tab/>
      </w:r>
      <w:r>
        <w:rPr>
          <w:rFonts w:eastAsia="Calibri"/>
          <w:szCs w:val="24"/>
          <w:lang w:eastAsia="pt-BR"/>
        </w:rPr>
        <w:t>A concessão de efeito suspensivo à impugnação é medida excepcional e deverá ser motivada pelo agente de contratação, nos autos do processo de licitação.</w:t>
      </w:r>
    </w:p>
    <w:p w14:paraId="32538AF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12.5.</w:t>
      </w:r>
      <w:r>
        <w:rPr>
          <w:rFonts w:eastAsia="Calibri"/>
          <w:szCs w:val="24"/>
          <w:lang w:eastAsia="pt-BR"/>
        </w:rPr>
        <w:tab/>
      </w:r>
      <w:r>
        <w:rPr>
          <w:rFonts w:eastAsia="Calibri"/>
          <w:szCs w:val="24"/>
          <w:lang w:eastAsia="pt-BR"/>
        </w:rPr>
        <w:t>Acolhida a impugnação, será definida e publicada nova data para a realização do certame.</w:t>
      </w:r>
    </w:p>
    <w:p w14:paraId="4A06F4B4">
      <w:pPr>
        <w:suppressAutoHyphens w:val="0"/>
        <w:autoSpaceDE w:val="0"/>
        <w:autoSpaceDN w:val="0"/>
        <w:adjustRightInd w:val="0"/>
        <w:spacing w:before="6" w:after="6"/>
        <w:jc w:val="both"/>
        <w:rPr>
          <w:rFonts w:eastAsia="Calibri"/>
          <w:szCs w:val="24"/>
          <w:lang w:eastAsia="pt-BR"/>
        </w:rPr>
      </w:pPr>
    </w:p>
    <w:p w14:paraId="07E68878">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13.</w:t>
      </w:r>
      <w:r>
        <w:rPr>
          <w:rFonts w:eastAsia="Calibri"/>
          <w:b/>
          <w:bCs/>
          <w:szCs w:val="24"/>
          <w:lang w:eastAsia="pt-BR"/>
        </w:rPr>
        <w:tab/>
      </w:r>
      <w:r>
        <w:rPr>
          <w:rFonts w:eastAsia="Calibri"/>
          <w:b/>
          <w:bCs/>
          <w:szCs w:val="24"/>
          <w:lang w:eastAsia="pt-BR"/>
        </w:rPr>
        <w:t>DAS DISPOSIÇÕES GERAIS</w:t>
      </w:r>
    </w:p>
    <w:p w14:paraId="320E065D">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w:t>
      </w:r>
      <w:r>
        <w:rPr>
          <w:rFonts w:eastAsia="Calibri"/>
          <w:szCs w:val="24"/>
          <w:lang w:eastAsia="pt-BR"/>
        </w:rPr>
        <w:tab/>
      </w:r>
      <w:r>
        <w:rPr>
          <w:rFonts w:eastAsia="Calibri"/>
          <w:szCs w:val="24"/>
          <w:lang w:eastAsia="pt-BR"/>
        </w:rPr>
        <w:t>Será divulgada ata da sessão pública no sistema eletrônico.</w:t>
      </w:r>
    </w:p>
    <w:p w14:paraId="5F16DC0D">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13.2.</w:t>
      </w:r>
      <w:r>
        <w:rPr>
          <w:rFonts w:eastAsia="Calibri"/>
          <w:szCs w:val="24"/>
          <w:lang w:eastAsia="pt-BR"/>
        </w:rPr>
        <w:tab/>
      </w:r>
      <w:r>
        <w:rPr>
          <w:rFonts w:eastAsia="Calibri"/>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04B66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13.3.</w:t>
      </w:r>
      <w:r>
        <w:rPr>
          <w:rFonts w:eastAsia="Calibri"/>
          <w:szCs w:val="24"/>
          <w:lang w:eastAsia="pt-BR"/>
        </w:rPr>
        <w:tab/>
      </w:r>
      <w:r>
        <w:rPr>
          <w:rFonts w:eastAsia="Calibri"/>
          <w:szCs w:val="24"/>
          <w:lang w:eastAsia="pt-BR"/>
        </w:rPr>
        <w:t>Todas as referências de tempo no Edital, no aviso e durante a sessão pública observarão o horário de Brasília - DF.</w:t>
      </w:r>
    </w:p>
    <w:p w14:paraId="4ED5E1BC">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13.4.</w:t>
      </w:r>
      <w:r>
        <w:rPr>
          <w:rFonts w:eastAsia="Calibri"/>
          <w:szCs w:val="24"/>
          <w:lang w:eastAsia="pt-BR"/>
        </w:rPr>
        <w:tab/>
      </w:r>
      <w:r>
        <w:rPr>
          <w:rFonts w:eastAsia="Calibri"/>
          <w:szCs w:val="24"/>
          <w:lang w:eastAsia="pt-BR"/>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E41C71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13.5.</w:t>
      </w:r>
      <w:r>
        <w:rPr>
          <w:rFonts w:eastAsia="Calibri"/>
          <w:szCs w:val="24"/>
          <w:lang w:eastAsia="pt-BR"/>
        </w:rPr>
        <w:tab/>
      </w:r>
      <w:r>
        <w:rPr>
          <w:rFonts w:eastAsia="Calibri"/>
          <w:szCs w:val="24"/>
          <w:lang w:eastAsia="pt-BR"/>
        </w:rPr>
        <w:t>Os licitantes assumem todos os custos de preparação e apresentação de suas propostas e a Administração não será, em nenhum caso, responsável por esses custos, independentemente da condução ou do resultado do processo licitatório.</w:t>
      </w:r>
    </w:p>
    <w:p w14:paraId="3C804088">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13.6.</w:t>
      </w:r>
      <w:r>
        <w:rPr>
          <w:rFonts w:eastAsia="Calibri"/>
          <w:szCs w:val="24"/>
          <w:lang w:eastAsia="pt-BR"/>
        </w:rPr>
        <w:tab/>
      </w:r>
      <w:r>
        <w:rPr>
          <w:rFonts w:eastAsia="Calibri"/>
          <w:szCs w:val="24"/>
          <w:lang w:eastAsia="pt-BR"/>
        </w:rPr>
        <w:t>Na contagem dos prazos estabelecidos neste Edital e seus Anexos, excluir-se-á o dia do início e incluir-se-á o do vencimento. Só se iniciam e vencem os prazos em dias de expediente na Administração.</w:t>
      </w:r>
    </w:p>
    <w:p w14:paraId="1F3886A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13.7.</w:t>
      </w:r>
      <w:r>
        <w:rPr>
          <w:rFonts w:eastAsia="Calibri"/>
          <w:szCs w:val="24"/>
          <w:lang w:eastAsia="pt-BR"/>
        </w:rPr>
        <w:tab/>
      </w:r>
      <w:r>
        <w:rPr>
          <w:rFonts w:eastAsia="Calibri"/>
          <w:szCs w:val="24"/>
          <w:lang w:eastAsia="pt-BR"/>
        </w:rPr>
        <w:t>O desatendimento de exigências formais não essenciais não importará o afastamento do licitante, desde que seja possível o aproveitamento do ato, observados os princípios da isonomia e do interesse público.</w:t>
      </w:r>
    </w:p>
    <w:p w14:paraId="5691DDE6">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13.8.</w:t>
      </w:r>
      <w:r>
        <w:rPr>
          <w:rFonts w:eastAsia="Calibri"/>
          <w:szCs w:val="24"/>
          <w:lang w:eastAsia="pt-BR"/>
        </w:rPr>
        <w:tab/>
      </w:r>
      <w:r>
        <w:rPr>
          <w:rFonts w:eastAsia="Calibri"/>
          <w:szCs w:val="24"/>
          <w:lang w:eastAsia="pt-BR"/>
        </w:rPr>
        <w:t>Em caso de divergência entre disposições deste Edital e de seus anexos ou demais peças que compõem o processo, prevalecerá as deste Edital.</w:t>
      </w:r>
    </w:p>
    <w:p w14:paraId="34FAB3B8">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13.9.</w:t>
      </w:r>
      <w:r>
        <w:rPr>
          <w:rFonts w:eastAsia="Calibri"/>
          <w:szCs w:val="24"/>
          <w:lang w:eastAsia="pt-BR"/>
        </w:rPr>
        <w:tab/>
      </w:r>
      <w:r>
        <w:rPr>
          <w:rFonts w:eastAsia="Calibri"/>
          <w:szCs w:val="24"/>
          <w:lang w:eastAsia="pt-BR"/>
        </w:rPr>
        <w:t xml:space="preserve">O Edital e seus anexos estão disponíveis, na íntegra, no Portal Nacional de Contratações Públicas (PNCP) e endereço eletrônico nos sítios eletrônicos </w:t>
      </w:r>
      <w:r>
        <w:fldChar w:fldCharType="begin"/>
      </w:r>
      <w:r>
        <w:instrText xml:space="preserve"> HYPERLINK "https://avisolicitacao.qualitysistemas.com.br/prefeitura_municipal_de_caracol" </w:instrText>
      </w:r>
      <w:r>
        <w:fldChar w:fldCharType="separate"/>
      </w:r>
      <w:r>
        <w:rPr>
          <w:rFonts w:eastAsia="Calibri"/>
          <w:szCs w:val="24"/>
          <w:lang w:eastAsia="pt-BR"/>
        </w:rPr>
        <w:t>https://avisolicitacao.qualitysistemas.com.br/prefeitura_municipal_de_caracol</w:t>
      </w:r>
      <w:r>
        <w:rPr>
          <w:rFonts w:eastAsia="Calibri"/>
          <w:szCs w:val="24"/>
          <w:lang w:eastAsia="pt-BR"/>
        </w:rPr>
        <w:fldChar w:fldCharType="end"/>
      </w:r>
      <w:r>
        <w:rPr>
          <w:rFonts w:eastAsia="Calibri"/>
          <w:szCs w:val="24"/>
          <w:lang w:eastAsia="pt-BR"/>
        </w:rPr>
        <w:t xml:space="preserve">, e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p>
    <w:p w14:paraId="10CD7AA8">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w:t>
      </w:r>
      <w:r>
        <w:rPr>
          <w:rFonts w:eastAsia="Calibri"/>
          <w:szCs w:val="24"/>
          <w:lang w:eastAsia="pt-BR"/>
        </w:rPr>
        <w:tab/>
      </w:r>
      <w:r>
        <w:rPr>
          <w:rFonts w:eastAsia="Calibri"/>
          <w:szCs w:val="24"/>
          <w:lang w:eastAsia="pt-BR"/>
        </w:rPr>
        <w:t>Integram este Edital, para todos os fins e efeitos, os seguintes anexos:</w:t>
      </w:r>
    </w:p>
    <w:p w14:paraId="35E72638">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w:t>
      </w:r>
      <w:r>
        <w:rPr>
          <w:rFonts w:eastAsia="Calibri"/>
          <w:szCs w:val="24"/>
          <w:lang w:eastAsia="pt-BR"/>
        </w:rPr>
        <w:tab/>
      </w:r>
      <w:r>
        <w:rPr>
          <w:rFonts w:eastAsia="Calibri"/>
          <w:szCs w:val="24"/>
          <w:lang w:eastAsia="pt-BR"/>
        </w:rPr>
        <w:t>ANEXO I - Termo de Referência e IMR;</w:t>
      </w:r>
    </w:p>
    <w:p w14:paraId="7FB20C1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13.10.1.1.</w:t>
      </w:r>
      <w:r>
        <w:rPr>
          <w:rFonts w:eastAsia="Calibri"/>
          <w:szCs w:val="24"/>
          <w:lang w:eastAsia="pt-BR"/>
        </w:rPr>
        <w:tab/>
      </w:r>
      <w:bookmarkStart w:id="1" w:name="_Hlk189203460"/>
      <w:r>
        <w:rPr>
          <w:rFonts w:eastAsia="Calibri"/>
          <w:szCs w:val="24"/>
          <w:lang w:eastAsia="pt-BR"/>
        </w:rPr>
        <w:t>Apêndice do Anexo I – Estudo Técnico Preliminar</w:t>
      </w:r>
    </w:p>
    <w:bookmarkEnd w:id="1"/>
    <w:p w14:paraId="6C8758D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13.10.2.</w:t>
      </w:r>
      <w:r>
        <w:rPr>
          <w:rFonts w:eastAsia="Calibri"/>
          <w:szCs w:val="24"/>
          <w:lang w:eastAsia="pt-BR"/>
        </w:rPr>
        <w:tab/>
      </w:r>
      <w:r>
        <w:rPr>
          <w:rFonts w:eastAsia="Calibri"/>
          <w:szCs w:val="24"/>
          <w:lang w:eastAsia="pt-BR"/>
        </w:rPr>
        <w:t>ANEXO II – Minuta de Termo de Contrato</w:t>
      </w:r>
    </w:p>
    <w:p w14:paraId="1F6966F6">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13.10.3.          ANEXO III – Minuta da Ata de Registro de Preço</w:t>
      </w:r>
    </w:p>
    <w:p w14:paraId="299FC043">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13.10.4.</w:t>
      </w:r>
      <w:r>
        <w:rPr>
          <w:rFonts w:eastAsia="Calibri"/>
          <w:szCs w:val="24"/>
          <w:lang w:eastAsia="pt-BR"/>
        </w:rPr>
        <w:tab/>
      </w:r>
      <w:r>
        <w:rPr>
          <w:rFonts w:eastAsia="Calibri"/>
          <w:szCs w:val="24"/>
          <w:lang w:eastAsia="pt-BR"/>
        </w:rPr>
        <w:t>ANEXO IV – Modelo de declaração geral</w:t>
      </w:r>
    </w:p>
    <w:p w14:paraId="709F9C75">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13.10.5. ANEXO V – Modelo de Declaração ME-EPP.</w:t>
      </w:r>
    </w:p>
    <w:p w14:paraId="255FD054">
      <w:pPr>
        <w:autoSpaceDE w:val="0"/>
        <w:autoSpaceDN w:val="0"/>
        <w:adjustRightInd w:val="0"/>
        <w:spacing w:before="72" w:after="72"/>
        <w:ind w:firstLine="567"/>
        <w:jc w:val="right"/>
        <w:rPr>
          <w:rFonts w:eastAsia="Calibri"/>
          <w:szCs w:val="24"/>
          <w:lang w:eastAsia="pt-BR"/>
        </w:rPr>
      </w:pPr>
      <w:r>
        <w:rPr>
          <w:rFonts w:eastAsia="Calibri"/>
          <w:szCs w:val="24"/>
          <w:lang w:eastAsia="pt-BR"/>
        </w:rPr>
        <w:t xml:space="preserve">Caracol MS, </w:t>
      </w:r>
      <w:r>
        <w:rPr>
          <w:rFonts w:hint="default" w:eastAsia="Calibri"/>
          <w:szCs w:val="24"/>
          <w:lang w:val="en-US" w:eastAsia="pt-BR"/>
        </w:rPr>
        <w:t xml:space="preserve">30 </w:t>
      </w:r>
      <w:r>
        <w:rPr>
          <w:rFonts w:eastAsia="Calibri"/>
          <w:szCs w:val="24"/>
          <w:lang w:eastAsia="pt-BR"/>
        </w:rPr>
        <w:t xml:space="preserve">de </w:t>
      </w:r>
      <w:r>
        <w:rPr>
          <w:rFonts w:hint="default" w:eastAsia="Calibri"/>
          <w:szCs w:val="24"/>
          <w:lang w:val="en-US" w:eastAsia="pt-BR"/>
        </w:rPr>
        <w:t>junho</w:t>
      </w:r>
      <w:r>
        <w:rPr>
          <w:rFonts w:eastAsia="Calibri"/>
          <w:szCs w:val="24"/>
          <w:lang w:eastAsia="pt-BR"/>
        </w:rPr>
        <w:t xml:space="preserve"> de 2025.</w:t>
      </w:r>
    </w:p>
    <w:p w14:paraId="67C7FB7B">
      <w:pPr>
        <w:autoSpaceDE w:val="0"/>
        <w:autoSpaceDN w:val="0"/>
        <w:adjustRightInd w:val="0"/>
        <w:spacing w:before="72" w:after="72"/>
        <w:ind w:right="-1"/>
        <w:jc w:val="both"/>
        <w:rPr>
          <w:rFonts w:eastAsia="Calibri"/>
          <w:b/>
          <w:bCs/>
          <w:szCs w:val="24"/>
          <w:lang w:eastAsia="pt-BR"/>
        </w:rPr>
      </w:pPr>
    </w:p>
    <w:p w14:paraId="7E079D22">
      <w:pPr>
        <w:suppressAutoHyphens w:val="0"/>
        <w:autoSpaceDE w:val="0"/>
        <w:autoSpaceDN w:val="0"/>
        <w:adjustRightInd w:val="0"/>
        <w:jc w:val="center"/>
        <w:rPr>
          <w:rFonts w:eastAsia="Calibri"/>
          <w:b/>
          <w:bCs/>
          <w:color w:val="000000"/>
          <w:szCs w:val="24"/>
          <w:lang w:eastAsia="pt-BR"/>
        </w:rPr>
      </w:pPr>
    </w:p>
    <w:p w14:paraId="6A6AB109">
      <w:pPr>
        <w:suppressAutoHyphens w:val="0"/>
        <w:autoSpaceDE w:val="0"/>
        <w:autoSpaceDN w:val="0"/>
        <w:adjustRightInd w:val="0"/>
        <w:jc w:val="center"/>
        <w:rPr>
          <w:rFonts w:eastAsia="Calibri"/>
          <w:b/>
          <w:bCs/>
          <w:color w:val="000000"/>
          <w:szCs w:val="24"/>
          <w:lang w:eastAsia="pt-BR"/>
        </w:rPr>
      </w:pPr>
    </w:p>
    <w:p w14:paraId="0524206F">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55FCF83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64CA8701">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456EC907">
      <w:pPr>
        <w:spacing w:before="72" w:beforeLines="30" w:after="72" w:afterLines="30"/>
        <w:ind w:right="-1"/>
        <w:jc w:val="center"/>
        <w:rPr>
          <w:b/>
          <w:bCs/>
          <w:szCs w:val="24"/>
          <w:u w:val="single"/>
        </w:rPr>
      </w:pPr>
      <w:bookmarkStart w:id="17" w:name="_GoBack"/>
      <w:bookmarkEnd w:id="17"/>
      <w:r>
        <w:rPr>
          <w:b/>
          <w:bCs/>
          <w:szCs w:val="24"/>
          <w:u w:val="single"/>
        </w:rPr>
        <w:br w:type="page"/>
      </w:r>
      <w:r>
        <w:rPr>
          <w:b/>
          <w:bCs/>
          <w:szCs w:val="24"/>
          <w:u w:val="single"/>
        </w:rPr>
        <w:t>Anexo I</w:t>
      </w:r>
    </w:p>
    <w:bookmarkEnd w:id="0"/>
    <w:p w14:paraId="4622DA26">
      <w:pPr>
        <w:spacing w:line="360" w:lineRule="auto"/>
        <w:jc w:val="center"/>
        <w:rPr>
          <w:b/>
          <w:bCs/>
          <w:szCs w:val="24"/>
          <w:u w:val="single"/>
        </w:rPr>
      </w:pPr>
      <w:bookmarkStart w:id="2" w:name="_Hlk82471863"/>
      <w:r>
        <w:rPr>
          <w:b/>
          <w:bCs/>
          <w:szCs w:val="24"/>
          <w:u w:val="single"/>
        </w:rPr>
        <w:t>TERMO DE REFERÊNCIA</w:t>
      </w:r>
      <w:bookmarkEnd w:id="2"/>
    </w:p>
    <w:p w14:paraId="37A70218">
      <w:pPr>
        <w:pStyle w:val="206"/>
        <w:jc w:val="center"/>
        <w:rPr>
          <w:rFonts w:ascii="Arial" w:hAnsi="Arial" w:cs="Arial"/>
          <w:b/>
          <w:bCs/>
          <w:color w:val="000000" w:themeColor="dark1"/>
          <w:u w:val="single"/>
          <w14:textFill>
            <w14:solidFill>
              <w14:schemeClr w14:val="dk1"/>
            </w14:solidFill>
          </w14:textFill>
        </w:rPr>
      </w:pPr>
      <w:r>
        <w:rPr>
          <w:rFonts w:ascii="Times New Roman" w:hAnsi="Times New Roman" w:cs="Times New Roman"/>
          <w:b/>
          <w:bCs/>
          <w:u w:val="single"/>
        </w:rPr>
        <w:t xml:space="preserve">E EXCLUSIVO ME/EPP </w:t>
      </w:r>
    </w:p>
    <w:p w14:paraId="1856F7B0">
      <w:pPr>
        <w:jc w:val="center"/>
        <w:rPr>
          <w:rFonts w:ascii="Arial" w:hAnsi="Arial" w:cs="Arial"/>
          <w:bCs/>
          <w:szCs w:val="24"/>
        </w:rPr>
      </w:pPr>
    </w:p>
    <w:p w14:paraId="6030CF18">
      <w:pPr>
        <w:keepNext/>
        <w:keepLines/>
        <w:suppressAutoHyphens w:val="0"/>
        <w:autoSpaceDE w:val="0"/>
        <w:autoSpaceDN w:val="0"/>
        <w:adjustRightInd w:val="0"/>
        <w:spacing w:line="360" w:lineRule="auto"/>
        <w:ind w:left="360" w:hanging="360"/>
        <w:jc w:val="both"/>
        <w:rPr>
          <w:rFonts w:eastAsia="Calibri"/>
          <w:b/>
          <w:bCs/>
          <w:color w:val="000000"/>
          <w:szCs w:val="24"/>
          <w:lang w:eastAsia="pt-BR"/>
        </w:rPr>
      </w:pPr>
      <w:r>
        <w:rPr>
          <w:rFonts w:eastAsia="Calibri"/>
          <w:b/>
          <w:bCs/>
          <w:szCs w:val="24"/>
          <w:lang w:eastAsia="pt-BR"/>
        </w:rPr>
        <w:t>1.</w:t>
      </w:r>
      <w:r>
        <w:rPr>
          <w:rFonts w:eastAsia="Calibri"/>
          <w:b/>
          <w:bCs/>
          <w:szCs w:val="24"/>
          <w:lang w:eastAsia="pt-BR"/>
        </w:rPr>
        <w:tab/>
      </w:r>
      <w:r>
        <w:rPr>
          <w:rFonts w:eastAsia="Calibri"/>
          <w:b/>
          <w:bCs/>
          <w:color w:val="000000"/>
          <w:szCs w:val="24"/>
          <w:lang w:eastAsia="pt-BR"/>
        </w:rPr>
        <w:t>CONDIÇÕES GERAIS DA CONTRATAÇÃO</w:t>
      </w:r>
    </w:p>
    <w:p w14:paraId="4B85BE36">
      <w:pPr>
        <w:suppressAutoHyphens w:val="0"/>
        <w:autoSpaceDE w:val="0"/>
        <w:autoSpaceDN w:val="0"/>
        <w:adjustRightInd w:val="0"/>
        <w:spacing w:line="360" w:lineRule="auto"/>
        <w:ind w:right="-1"/>
        <w:jc w:val="both"/>
        <w:rPr>
          <w:rFonts w:eastAsia="Calibri"/>
          <w:szCs w:val="24"/>
          <w:lang w:eastAsia="pt-BR"/>
        </w:rPr>
      </w:pPr>
      <w:r>
        <w:rPr>
          <w:rFonts w:eastAsia="Calibri"/>
          <w:b/>
          <w:bCs/>
          <w:szCs w:val="24"/>
          <w:lang w:eastAsia="pt-BR"/>
        </w:rPr>
        <w:t>1.1.</w:t>
      </w:r>
      <w:r>
        <w:rPr>
          <w:rFonts w:eastAsia="Calibri"/>
          <w:color w:val="000000"/>
          <w:szCs w:val="24"/>
          <w:lang w:eastAsia="pt-BR"/>
        </w:rPr>
        <w:t xml:space="preserve"> aquisição de persianas com sua respectiva instalação no local/setor solicitante, para atender as demandas das secretarias e gabinete da Prefeitura Municipal de Caracol/MS</w:t>
      </w:r>
      <w:r>
        <w:rPr>
          <w:rFonts w:eastAsia="Calibri"/>
          <w:szCs w:val="24"/>
          <w:lang w:eastAsia="pt-BR"/>
        </w:rPr>
        <w:t>, conforme condições e exigências estabelecidas neste instrumento.</w:t>
      </w:r>
    </w:p>
    <w:tbl>
      <w:tblPr>
        <w:tblStyle w:val="8"/>
        <w:tblW w:w="0" w:type="auto"/>
        <w:tblInd w:w="0" w:type="dxa"/>
        <w:tblLayout w:type="fixed"/>
        <w:tblCellMar>
          <w:top w:w="0" w:type="dxa"/>
          <w:left w:w="70" w:type="dxa"/>
          <w:bottom w:w="0" w:type="dxa"/>
          <w:right w:w="70" w:type="dxa"/>
        </w:tblCellMar>
      </w:tblPr>
      <w:tblGrid>
        <w:gridCol w:w="779"/>
        <w:gridCol w:w="879"/>
        <w:gridCol w:w="3639"/>
        <w:gridCol w:w="771"/>
        <w:gridCol w:w="1078"/>
        <w:gridCol w:w="1066"/>
        <w:gridCol w:w="1276"/>
      </w:tblGrid>
      <w:tr w14:paraId="57E4FF64">
        <w:tblPrEx>
          <w:tblCellMar>
            <w:top w:w="0" w:type="dxa"/>
            <w:left w:w="70" w:type="dxa"/>
            <w:bottom w:w="0" w:type="dxa"/>
            <w:right w:w="70" w:type="dxa"/>
          </w:tblCellMar>
        </w:tblPrEx>
        <w:trPr>
          <w:trHeight w:val="315" w:hRule="atLeast"/>
        </w:trPr>
        <w:tc>
          <w:tcPr>
            <w:tcW w:w="9488" w:type="dxa"/>
            <w:gridSpan w:val="7"/>
            <w:tcBorders>
              <w:top w:val="single" w:color="auto" w:sz="8" w:space="0"/>
              <w:left w:val="single" w:color="auto" w:sz="8" w:space="0"/>
              <w:bottom w:val="single" w:color="auto" w:sz="8" w:space="0"/>
              <w:right w:val="single" w:color="000000" w:sz="8" w:space="0"/>
            </w:tcBorders>
            <w:shd w:val="clear" w:color="000000" w:fill="D9D9D9"/>
            <w:vAlign w:val="center"/>
          </w:tcPr>
          <w:p w14:paraId="64DEF189">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 xml:space="preserve">LOTE: ÚNICO </w:t>
            </w:r>
          </w:p>
        </w:tc>
      </w:tr>
      <w:tr w14:paraId="07E0671F">
        <w:tblPrEx>
          <w:tblCellMar>
            <w:top w:w="0" w:type="dxa"/>
            <w:left w:w="70" w:type="dxa"/>
            <w:bottom w:w="0" w:type="dxa"/>
            <w:right w:w="70" w:type="dxa"/>
          </w:tblCellMar>
        </w:tblPrEx>
        <w:trPr>
          <w:trHeight w:val="315" w:hRule="atLeast"/>
        </w:trPr>
        <w:tc>
          <w:tcPr>
            <w:tcW w:w="779" w:type="dxa"/>
            <w:tcBorders>
              <w:top w:val="nil"/>
              <w:left w:val="single" w:color="auto" w:sz="8" w:space="0"/>
              <w:bottom w:val="single" w:color="auto" w:sz="8" w:space="0"/>
              <w:right w:val="single" w:color="auto" w:sz="4" w:space="0"/>
            </w:tcBorders>
            <w:vAlign w:val="center"/>
          </w:tcPr>
          <w:p w14:paraId="07268B61">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Item</w:t>
            </w:r>
          </w:p>
        </w:tc>
        <w:tc>
          <w:tcPr>
            <w:tcW w:w="879" w:type="dxa"/>
            <w:tcBorders>
              <w:top w:val="nil"/>
              <w:left w:val="nil"/>
              <w:bottom w:val="single" w:color="auto" w:sz="8" w:space="0"/>
              <w:right w:val="single" w:color="auto" w:sz="4" w:space="0"/>
            </w:tcBorders>
            <w:vAlign w:val="center"/>
          </w:tcPr>
          <w:p w14:paraId="6CBDB8DD">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Código</w:t>
            </w:r>
          </w:p>
        </w:tc>
        <w:tc>
          <w:tcPr>
            <w:tcW w:w="3639" w:type="dxa"/>
            <w:tcBorders>
              <w:top w:val="nil"/>
              <w:left w:val="nil"/>
              <w:bottom w:val="single" w:color="auto" w:sz="8" w:space="0"/>
              <w:right w:val="single" w:color="auto" w:sz="4" w:space="0"/>
            </w:tcBorders>
            <w:vAlign w:val="center"/>
          </w:tcPr>
          <w:p w14:paraId="4569F211">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Descrição</w:t>
            </w:r>
          </w:p>
        </w:tc>
        <w:tc>
          <w:tcPr>
            <w:tcW w:w="771" w:type="dxa"/>
            <w:tcBorders>
              <w:top w:val="nil"/>
              <w:left w:val="nil"/>
              <w:bottom w:val="single" w:color="auto" w:sz="8" w:space="0"/>
              <w:right w:val="single" w:color="auto" w:sz="4" w:space="0"/>
            </w:tcBorders>
            <w:vAlign w:val="center"/>
          </w:tcPr>
          <w:p w14:paraId="0C7852B7">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Quant.</w:t>
            </w:r>
          </w:p>
        </w:tc>
        <w:tc>
          <w:tcPr>
            <w:tcW w:w="1078" w:type="dxa"/>
            <w:tcBorders>
              <w:top w:val="nil"/>
              <w:left w:val="nil"/>
              <w:bottom w:val="single" w:color="auto" w:sz="8" w:space="0"/>
              <w:right w:val="single" w:color="auto" w:sz="4" w:space="0"/>
            </w:tcBorders>
            <w:vAlign w:val="center"/>
          </w:tcPr>
          <w:p w14:paraId="7F09F677">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Unidade</w:t>
            </w:r>
          </w:p>
        </w:tc>
        <w:tc>
          <w:tcPr>
            <w:tcW w:w="1066" w:type="dxa"/>
            <w:tcBorders>
              <w:top w:val="nil"/>
              <w:left w:val="nil"/>
              <w:bottom w:val="single" w:color="auto" w:sz="8" w:space="0"/>
              <w:right w:val="single" w:color="auto" w:sz="4" w:space="0"/>
            </w:tcBorders>
            <w:vAlign w:val="center"/>
          </w:tcPr>
          <w:p w14:paraId="3C413814">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 xml:space="preserve"> Valor Unit. </w:t>
            </w:r>
          </w:p>
        </w:tc>
        <w:tc>
          <w:tcPr>
            <w:tcW w:w="1276" w:type="dxa"/>
            <w:tcBorders>
              <w:top w:val="nil"/>
              <w:left w:val="nil"/>
              <w:bottom w:val="single" w:color="auto" w:sz="8" w:space="0"/>
              <w:right w:val="single" w:color="auto" w:sz="8" w:space="0"/>
            </w:tcBorders>
            <w:vAlign w:val="center"/>
          </w:tcPr>
          <w:p w14:paraId="2D11330E">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 xml:space="preserve"> Valor Total </w:t>
            </w:r>
          </w:p>
        </w:tc>
      </w:tr>
      <w:tr w14:paraId="7C671B37">
        <w:tblPrEx>
          <w:tblCellMar>
            <w:top w:w="0" w:type="dxa"/>
            <w:left w:w="70" w:type="dxa"/>
            <w:bottom w:w="0" w:type="dxa"/>
            <w:right w:w="70" w:type="dxa"/>
          </w:tblCellMar>
        </w:tblPrEx>
        <w:trPr>
          <w:trHeight w:val="3980" w:hRule="atLeast"/>
        </w:trPr>
        <w:tc>
          <w:tcPr>
            <w:tcW w:w="779" w:type="dxa"/>
            <w:tcBorders>
              <w:top w:val="nil"/>
              <w:left w:val="single" w:color="auto" w:sz="8" w:space="0"/>
              <w:bottom w:val="single" w:color="auto" w:sz="4" w:space="0"/>
              <w:right w:val="single" w:color="auto" w:sz="4" w:space="0"/>
            </w:tcBorders>
            <w:vAlign w:val="center"/>
          </w:tcPr>
          <w:p w14:paraId="46E0CB3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879" w:type="dxa"/>
            <w:tcBorders>
              <w:top w:val="nil"/>
              <w:left w:val="nil"/>
              <w:bottom w:val="single" w:color="auto" w:sz="4" w:space="0"/>
              <w:right w:val="single" w:color="auto" w:sz="4" w:space="0"/>
            </w:tcBorders>
            <w:vAlign w:val="center"/>
          </w:tcPr>
          <w:p w14:paraId="38E16E6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34156</w:t>
            </w:r>
          </w:p>
        </w:tc>
        <w:tc>
          <w:tcPr>
            <w:tcW w:w="3639" w:type="dxa"/>
            <w:tcBorders>
              <w:top w:val="nil"/>
              <w:left w:val="nil"/>
              <w:bottom w:val="single" w:color="auto" w:sz="4" w:space="0"/>
              <w:right w:val="single" w:color="auto" w:sz="4" w:space="0"/>
            </w:tcBorders>
            <w:vAlign w:val="bottom"/>
          </w:tcPr>
          <w:p w14:paraId="3B552256">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M x 2,40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4C130A9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color="auto" w:sz="4" w:space="0"/>
              <w:right w:val="single" w:color="auto" w:sz="4" w:space="0"/>
            </w:tcBorders>
            <w:vAlign w:val="center"/>
          </w:tcPr>
          <w:p w14:paraId="118947E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5A98199F">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R$ 1.248,00 </w:t>
            </w:r>
          </w:p>
        </w:tc>
        <w:tc>
          <w:tcPr>
            <w:tcW w:w="1276" w:type="dxa"/>
            <w:tcBorders>
              <w:top w:val="nil"/>
              <w:left w:val="nil"/>
              <w:bottom w:val="single" w:color="auto" w:sz="4" w:space="0"/>
              <w:right w:val="single" w:color="auto" w:sz="8" w:space="0"/>
            </w:tcBorders>
            <w:vAlign w:val="center"/>
          </w:tcPr>
          <w:p w14:paraId="181BC52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3.744,00 </w:t>
            </w:r>
          </w:p>
        </w:tc>
      </w:tr>
      <w:tr w14:paraId="392E6C49">
        <w:tblPrEx>
          <w:tblCellMar>
            <w:top w:w="0" w:type="dxa"/>
            <w:left w:w="70" w:type="dxa"/>
            <w:bottom w:w="0" w:type="dxa"/>
            <w:right w:w="70" w:type="dxa"/>
          </w:tblCellMar>
        </w:tblPrEx>
        <w:trPr>
          <w:trHeight w:val="4102" w:hRule="atLeast"/>
        </w:trPr>
        <w:tc>
          <w:tcPr>
            <w:tcW w:w="779" w:type="dxa"/>
            <w:tcBorders>
              <w:top w:val="nil"/>
              <w:left w:val="single" w:color="auto" w:sz="8" w:space="0"/>
              <w:bottom w:val="single" w:color="auto" w:sz="4" w:space="0"/>
              <w:right w:val="single" w:color="auto" w:sz="4" w:space="0"/>
            </w:tcBorders>
            <w:vAlign w:val="center"/>
          </w:tcPr>
          <w:p w14:paraId="1A8C1A1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879" w:type="dxa"/>
            <w:tcBorders>
              <w:top w:val="nil"/>
              <w:left w:val="nil"/>
              <w:bottom w:val="single" w:color="auto" w:sz="4" w:space="0"/>
              <w:right w:val="single" w:color="auto" w:sz="4" w:space="0"/>
            </w:tcBorders>
            <w:vAlign w:val="center"/>
          </w:tcPr>
          <w:p w14:paraId="0BD0FF9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34157</w:t>
            </w:r>
          </w:p>
        </w:tc>
        <w:tc>
          <w:tcPr>
            <w:tcW w:w="3639" w:type="dxa"/>
            <w:tcBorders>
              <w:top w:val="nil"/>
              <w:left w:val="nil"/>
              <w:bottom w:val="single" w:color="auto" w:sz="4" w:space="0"/>
              <w:right w:val="single" w:color="auto" w:sz="4" w:space="0"/>
            </w:tcBorders>
            <w:vAlign w:val="bottom"/>
          </w:tcPr>
          <w:p w14:paraId="6BE99ED7">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7C7F824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078" w:type="dxa"/>
            <w:tcBorders>
              <w:top w:val="nil"/>
              <w:left w:val="nil"/>
              <w:bottom w:val="single" w:color="auto" w:sz="4" w:space="0"/>
              <w:right w:val="single" w:color="auto" w:sz="4" w:space="0"/>
            </w:tcBorders>
            <w:vAlign w:val="center"/>
          </w:tcPr>
          <w:p w14:paraId="42B5FED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5AFD58BD">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822,64 </w:t>
            </w:r>
          </w:p>
        </w:tc>
        <w:tc>
          <w:tcPr>
            <w:tcW w:w="1276" w:type="dxa"/>
            <w:tcBorders>
              <w:top w:val="nil"/>
              <w:left w:val="nil"/>
              <w:bottom w:val="single" w:color="auto" w:sz="4" w:space="0"/>
              <w:right w:val="single" w:color="auto" w:sz="8" w:space="0"/>
            </w:tcBorders>
            <w:vAlign w:val="center"/>
          </w:tcPr>
          <w:p w14:paraId="4442291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4.113,20 </w:t>
            </w:r>
          </w:p>
        </w:tc>
      </w:tr>
      <w:tr w14:paraId="44F5E02D">
        <w:tblPrEx>
          <w:tblCellMar>
            <w:top w:w="0" w:type="dxa"/>
            <w:left w:w="70" w:type="dxa"/>
            <w:bottom w:w="0" w:type="dxa"/>
            <w:right w:w="70" w:type="dxa"/>
          </w:tblCellMar>
        </w:tblPrEx>
        <w:trPr>
          <w:trHeight w:val="2394" w:hRule="atLeast"/>
        </w:trPr>
        <w:tc>
          <w:tcPr>
            <w:tcW w:w="779" w:type="dxa"/>
            <w:tcBorders>
              <w:top w:val="nil"/>
              <w:left w:val="single" w:color="auto" w:sz="8" w:space="0"/>
              <w:bottom w:val="single" w:color="auto" w:sz="4" w:space="0"/>
              <w:right w:val="single" w:color="auto" w:sz="4" w:space="0"/>
            </w:tcBorders>
            <w:vAlign w:val="center"/>
          </w:tcPr>
          <w:p w14:paraId="44FCF0B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879" w:type="dxa"/>
            <w:tcBorders>
              <w:top w:val="nil"/>
              <w:left w:val="nil"/>
              <w:bottom w:val="single" w:color="auto" w:sz="4" w:space="0"/>
              <w:right w:val="single" w:color="auto" w:sz="4" w:space="0"/>
            </w:tcBorders>
            <w:vAlign w:val="center"/>
          </w:tcPr>
          <w:p w14:paraId="36AB0E7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34158</w:t>
            </w:r>
          </w:p>
        </w:tc>
        <w:tc>
          <w:tcPr>
            <w:tcW w:w="3639" w:type="dxa"/>
            <w:tcBorders>
              <w:top w:val="nil"/>
              <w:left w:val="nil"/>
              <w:bottom w:val="single" w:color="auto" w:sz="4" w:space="0"/>
              <w:right w:val="single" w:color="auto" w:sz="4" w:space="0"/>
            </w:tcBorders>
            <w:vAlign w:val="bottom"/>
          </w:tcPr>
          <w:p w14:paraId="5B56ECB5">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30C3B0C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7</w:t>
            </w:r>
          </w:p>
        </w:tc>
        <w:tc>
          <w:tcPr>
            <w:tcW w:w="1078" w:type="dxa"/>
            <w:tcBorders>
              <w:top w:val="nil"/>
              <w:left w:val="nil"/>
              <w:bottom w:val="single" w:color="auto" w:sz="4" w:space="0"/>
              <w:right w:val="single" w:color="auto" w:sz="4" w:space="0"/>
            </w:tcBorders>
            <w:vAlign w:val="center"/>
          </w:tcPr>
          <w:p w14:paraId="5E62622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7F5CE036">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R$ 1.067,73 </w:t>
            </w:r>
          </w:p>
        </w:tc>
        <w:tc>
          <w:tcPr>
            <w:tcW w:w="1276" w:type="dxa"/>
            <w:tcBorders>
              <w:top w:val="nil"/>
              <w:left w:val="nil"/>
              <w:bottom w:val="single" w:color="auto" w:sz="4" w:space="0"/>
              <w:right w:val="single" w:color="auto" w:sz="8" w:space="0"/>
            </w:tcBorders>
            <w:vAlign w:val="center"/>
          </w:tcPr>
          <w:p w14:paraId="29127A9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7.474,11 </w:t>
            </w:r>
          </w:p>
        </w:tc>
      </w:tr>
      <w:tr w14:paraId="279213CF">
        <w:tblPrEx>
          <w:tblCellMar>
            <w:top w:w="0" w:type="dxa"/>
            <w:left w:w="70" w:type="dxa"/>
            <w:bottom w:w="0" w:type="dxa"/>
            <w:right w:w="70" w:type="dxa"/>
          </w:tblCellMar>
        </w:tblPrEx>
        <w:trPr>
          <w:trHeight w:val="2394" w:hRule="atLeast"/>
        </w:trPr>
        <w:tc>
          <w:tcPr>
            <w:tcW w:w="779" w:type="dxa"/>
            <w:tcBorders>
              <w:top w:val="nil"/>
              <w:left w:val="single" w:color="auto" w:sz="8" w:space="0"/>
              <w:bottom w:val="single" w:color="auto" w:sz="4" w:space="0"/>
              <w:right w:val="single" w:color="auto" w:sz="4" w:space="0"/>
            </w:tcBorders>
            <w:vAlign w:val="center"/>
          </w:tcPr>
          <w:p w14:paraId="27A5F8B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879" w:type="dxa"/>
            <w:tcBorders>
              <w:top w:val="nil"/>
              <w:left w:val="nil"/>
              <w:bottom w:val="single" w:color="auto" w:sz="4" w:space="0"/>
              <w:right w:val="single" w:color="auto" w:sz="4" w:space="0"/>
            </w:tcBorders>
            <w:vAlign w:val="center"/>
          </w:tcPr>
          <w:p w14:paraId="25433A3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34159</w:t>
            </w:r>
          </w:p>
        </w:tc>
        <w:tc>
          <w:tcPr>
            <w:tcW w:w="3639" w:type="dxa"/>
            <w:tcBorders>
              <w:top w:val="nil"/>
              <w:left w:val="nil"/>
              <w:bottom w:val="single" w:color="auto" w:sz="4" w:space="0"/>
              <w:right w:val="single" w:color="auto" w:sz="4" w:space="0"/>
            </w:tcBorders>
            <w:vAlign w:val="bottom"/>
          </w:tcPr>
          <w:p w14:paraId="1F1CBFCC">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2CF6C5F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078" w:type="dxa"/>
            <w:tcBorders>
              <w:top w:val="nil"/>
              <w:left w:val="nil"/>
              <w:bottom w:val="single" w:color="auto" w:sz="4" w:space="0"/>
              <w:right w:val="single" w:color="auto" w:sz="4" w:space="0"/>
            </w:tcBorders>
            <w:vAlign w:val="center"/>
          </w:tcPr>
          <w:p w14:paraId="1215217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4FB1CDC9">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929,66 </w:t>
            </w:r>
          </w:p>
        </w:tc>
        <w:tc>
          <w:tcPr>
            <w:tcW w:w="1276" w:type="dxa"/>
            <w:tcBorders>
              <w:top w:val="nil"/>
              <w:left w:val="nil"/>
              <w:bottom w:val="single" w:color="auto" w:sz="4" w:space="0"/>
              <w:right w:val="single" w:color="auto" w:sz="8" w:space="0"/>
            </w:tcBorders>
            <w:vAlign w:val="center"/>
          </w:tcPr>
          <w:p w14:paraId="7330860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4.648,30 </w:t>
            </w:r>
          </w:p>
        </w:tc>
      </w:tr>
      <w:tr w14:paraId="5D207FCC">
        <w:tblPrEx>
          <w:tblCellMar>
            <w:top w:w="0" w:type="dxa"/>
            <w:left w:w="70" w:type="dxa"/>
            <w:bottom w:w="0" w:type="dxa"/>
            <w:right w:w="70" w:type="dxa"/>
          </w:tblCellMar>
        </w:tblPrEx>
        <w:trPr>
          <w:trHeight w:val="4092" w:hRule="atLeast"/>
        </w:trPr>
        <w:tc>
          <w:tcPr>
            <w:tcW w:w="779" w:type="dxa"/>
            <w:tcBorders>
              <w:top w:val="nil"/>
              <w:left w:val="single" w:color="auto" w:sz="8" w:space="0"/>
              <w:bottom w:val="single" w:color="auto" w:sz="4" w:space="0"/>
              <w:right w:val="single" w:color="auto" w:sz="4" w:space="0"/>
            </w:tcBorders>
            <w:vAlign w:val="center"/>
          </w:tcPr>
          <w:p w14:paraId="2A0EA34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879" w:type="dxa"/>
            <w:tcBorders>
              <w:top w:val="nil"/>
              <w:left w:val="nil"/>
              <w:bottom w:val="single" w:color="auto" w:sz="4" w:space="0"/>
              <w:right w:val="single" w:color="auto" w:sz="4" w:space="0"/>
            </w:tcBorders>
            <w:vAlign w:val="center"/>
          </w:tcPr>
          <w:p w14:paraId="0E9A7B5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34160</w:t>
            </w:r>
          </w:p>
        </w:tc>
        <w:tc>
          <w:tcPr>
            <w:tcW w:w="3639" w:type="dxa"/>
            <w:tcBorders>
              <w:top w:val="nil"/>
              <w:left w:val="nil"/>
              <w:bottom w:val="single" w:color="auto" w:sz="4" w:space="0"/>
              <w:right w:val="single" w:color="auto" w:sz="4" w:space="0"/>
            </w:tcBorders>
            <w:vAlign w:val="bottom"/>
          </w:tcPr>
          <w:p w14:paraId="57797F75">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2,20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6B1B8BB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color="auto" w:sz="4" w:space="0"/>
              <w:right w:val="single" w:color="auto" w:sz="4" w:space="0"/>
            </w:tcBorders>
            <w:vAlign w:val="center"/>
          </w:tcPr>
          <w:p w14:paraId="1ACBA7A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11EB5FC1">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R$ 2.125,59 </w:t>
            </w:r>
          </w:p>
        </w:tc>
        <w:tc>
          <w:tcPr>
            <w:tcW w:w="1276" w:type="dxa"/>
            <w:tcBorders>
              <w:top w:val="nil"/>
              <w:left w:val="nil"/>
              <w:bottom w:val="single" w:color="auto" w:sz="4" w:space="0"/>
              <w:right w:val="single" w:color="auto" w:sz="8" w:space="0"/>
            </w:tcBorders>
            <w:vAlign w:val="center"/>
          </w:tcPr>
          <w:p w14:paraId="0DC5176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6.376,77 </w:t>
            </w:r>
          </w:p>
        </w:tc>
      </w:tr>
      <w:tr w14:paraId="21B8DD93">
        <w:tblPrEx>
          <w:tblCellMar>
            <w:top w:w="0" w:type="dxa"/>
            <w:left w:w="70" w:type="dxa"/>
            <w:bottom w:w="0" w:type="dxa"/>
            <w:right w:w="70" w:type="dxa"/>
          </w:tblCellMar>
        </w:tblPrEx>
        <w:trPr>
          <w:trHeight w:val="1827" w:hRule="atLeast"/>
        </w:trPr>
        <w:tc>
          <w:tcPr>
            <w:tcW w:w="779" w:type="dxa"/>
            <w:tcBorders>
              <w:top w:val="nil"/>
              <w:left w:val="single" w:color="auto" w:sz="8" w:space="0"/>
              <w:bottom w:val="single" w:color="auto" w:sz="4" w:space="0"/>
              <w:right w:val="single" w:color="auto" w:sz="4" w:space="0"/>
            </w:tcBorders>
            <w:vAlign w:val="center"/>
          </w:tcPr>
          <w:p w14:paraId="42D38EB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6</w:t>
            </w:r>
          </w:p>
        </w:tc>
        <w:tc>
          <w:tcPr>
            <w:tcW w:w="879" w:type="dxa"/>
            <w:tcBorders>
              <w:top w:val="nil"/>
              <w:left w:val="nil"/>
              <w:bottom w:val="single" w:color="auto" w:sz="4" w:space="0"/>
              <w:right w:val="single" w:color="auto" w:sz="4" w:space="0"/>
            </w:tcBorders>
            <w:vAlign w:val="center"/>
          </w:tcPr>
          <w:p w14:paraId="4917325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34161</w:t>
            </w:r>
          </w:p>
        </w:tc>
        <w:tc>
          <w:tcPr>
            <w:tcW w:w="3639" w:type="dxa"/>
            <w:tcBorders>
              <w:top w:val="nil"/>
              <w:left w:val="nil"/>
              <w:bottom w:val="single" w:color="auto" w:sz="4" w:space="0"/>
              <w:right w:val="single" w:color="auto" w:sz="4" w:space="0"/>
            </w:tcBorders>
            <w:vAlign w:val="bottom"/>
          </w:tcPr>
          <w:p w14:paraId="19F2F2FF">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1,10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1860EDB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color="auto" w:sz="4" w:space="0"/>
              <w:right w:val="single" w:color="auto" w:sz="4" w:space="0"/>
            </w:tcBorders>
            <w:vAlign w:val="center"/>
          </w:tcPr>
          <w:p w14:paraId="598D41F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1B28F741">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R$ 1.364,59 </w:t>
            </w:r>
          </w:p>
        </w:tc>
        <w:tc>
          <w:tcPr>
            <w:tcW w:w="1276" w:type="dxa"/>
            <w:tcBorders>
              <w:top w:val="nil"/>
              <w:left w:val="nil"/>
              <w:bottom w:val="single" w:color="auto" w:sz="4" w:space="0"/>
              <w:right w:val="single" w:color="auto" w:sz="8" w:space="0"/>
            </w:tcBorders>
            <w:vAlign w:val="center"/>
          </w:tcPr>
          <w:p w14:paraId="0DA22D8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4.093,77 </w:t>
            </w:r>
          </w:p>
        </w:tc>
      </w:tr>
      <w:tr w14:paraId="6C4A5FAD">
        <w:tblPrEx>
          <w:tblCellMar>
            <w:top w:w="0" w:type="dxa"/>
            <w:left w:w="70" w:type="dxa"/>
            <w:bottom w:w="0" w:type="dxa"/>
            <w:right w:w="70" w:type="dxa"/>
          </w:tblCellMar>
        </w:tblPrEx>
        <w:trPr>
          <w:trHeight w:val="977" w:hRule="atLeast"/>
        </w:trPr>
        <w:tc>
          <w:tcPr>
            <w:tcW w:w="779" w:type="dxa"/>
            <w:tcBorders>
              <w:top w:val="nil"/>
              <w:left w:val="single" w:color="auto" w:sz="8" w:space="0"/>
              <w:bottom w:val="single" w:color="auto" w:sz="4" w:space="0"/>
              <w:right w:val="single" w:color="auto" w:sz="4" w:space="0"/>
            </w:tcBorders>
            <w:vAlign w:val="center"/>
          </w:tcPr>
          <w:p w14:paraId="4C1901D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7</w:t>
            </w:r>
          </w:p>
        </w:tc>
        <w:tc>
          <w:tcPr>
            <w:tcW w:w="879" w:type="dxa"/>
            <w:tcBorders>
              <w:top w:val="nil"/>
              <w:left w:val="nil"/>
              <w:bottom w:val="single" w:color="auto" w:sz="4" w:space="0"/>
              <w:right w:val="single" w:color="auto" w:sz="4" w:space="0"/>
            </w:tcBorders>
            <w:vAlign w:val="center"/>
          </w:tcPr>
          <w:p w14:paraId="766903E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34162</w:t>
            </w:r>
          </w:p>
        </w:tc>
        <w:tc>
          <w:tcPr>
            <w:tcW w:w="3639" w:type="dxa"/>
            <w:tcBorders>
              <w:top w:val="nil"/>
              <w:left w:val="nil"/>
              <w:bottom w:val="single" w:color="auto" w:sz="4" w:space="0"/>
              <w:right w:val="single" w:color="auto" w:sz="4" w:space="0"/>
            </w:tcBorders>
            <w:vAlign w:val="bottom"/>
          </w:tcPr>
          <w:p w14:paraId="35C78A7D">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2,20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4318A1A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22FF092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2D0F8D9D">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R$ 1.461,34 </w:t>
            </w:r>
          </w:p>
        </w:tc>
        <w:tc>
          <w:tcPr>
            <w:tcW w:w="1276" w:type="dxa"/>
            <w:tcBorders>
              <w:top w:val="nil"/>
              <w:left w:val="nil"/>
              <w:bottom w:val="single" w:color="auto" w:sz="4" w:space="0"/>
              <w:right w:val="single" w:color="auto" w:sz="8" w:space="0"/>
            </w:tcBorders>
            <w:vAlign w:val="center"/>
          </w:tcPr>
          <w:p w14:paraId="48B8957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2.922,68 </w:t>
            </w:r>
          </w:p>
        </w:tc>
      </w:tr>
      <w:tr w14:paraId="2B261A38">
        <w:tblPrEx>
          <w:tblCellMar>
            <w:top w:w="0" w:type="dxa"/>
            <w:left w:w="70" w:type="dxa"/>
            <w:bottom w:w="0" w:type="dxa"/>
            <w:right w:w="70" w:type="dxa"/>
          </w:tblCellMar>
        </w:tblPrEx>
        <w:trPr>
          <w:trHeight w:val="2571" w:hRule="atLeast"/>
        </w:trPr>
        <w:tc>
          <w:tcPr>
            <w:tcW w:w="779" w:type="dxa"/>
            <w:tcBorders>
              <w:top w:val="nil"/>
              <w:left w:val="single" w:color="auto" w:sz="8" w:space="0"/>
              <w:bottom w:val="single" w:color="auto" w:sz="4" w:space="0"/>
              <w:right w:val="single" w:color="auto" w:sz="4" w:space="0"/>
            </w:tcBorders>
            <w:vAlign w:val="center"/>
          </w:tcPr>
          <w:p w14:paraId="7C45563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879" w:type="dxa"/>
            <w:tcBorders>
              <w:top w:val="nil"/>
              <w:left w:val="nil"/>
              <w:bottom w:val="single" w:color="auto" w:sz="4" w:space="0"/>
              <w:right w:val="single" w:color="auto" w:sz="4" w:space="0"/>
            </w:tcBorders>
            <w:vAlign w:val="center"/>
          </w:tcPr>
          <w:p w14:paraId="0B08C12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34163</w:t>
            </w:r>
          </w:p>
        </w:tc>
        <w:tc>
          <w:tcPr>
            <w:tcW w:w="3639" w:type="dxa"/>
            <w:tcBorders>
              <w:top w:val="nil"/>
              <w:left w:val="nil"/>
              <w:bottom w:val="single" w:color="auto" w:sz="4" w:space="0"/>
              <w:right w:val="single" w:color="auto" w:sz="4" w:space="0"/>
            </w:tcBorders>
            <w:vAlign w:val="bottom"/>
          </w:tcPr>
          <w:p w14:paraId="69E72B9E">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0,70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6481318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4B56D04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5C821142">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855,00 </w:t>
            </w:r>
          </w:p>
        </w:tc>
        <w:tc>
          <w:tcPr>
            <w:tcW w:w="1276" w:type="dxa"/>
            <w:tcBorders>
              <w:top w:val="nil"/>
              <w:left w:val="nil"/>
              <w:bottom w:val="single" w:color="auto" w:sz="4" w:space="0"/>
              <w:right w:val="single" w:color="auto" w:sz="8" w:space="0"/>
            </w:tcBorders>
            <w:vAlign w:val="center"/>
          </w:tcPr>
          <w:p w14:paraId="04DCF16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1.710,00 </w:t>
            </w:r>
          </w:p>
        </w:tc>
      </w:tr>
      <w:tr w14:paraId="505615CD">
        <w:tblPrEx>
          <w:tblCellMar>
            <w:top w:w="0" w:type="dxa"/>
            <w:left w:w="70" w:type="dxa"/>
            <w:bottom w:w="0" w:type="dxa"/>
            <w:right w:w="70" w:type="dxa"/>
          </w:tblCellMar>
        </w:tblPrEx>
        <w:trPr>
          <w:trHeight w:val="410" w:hRule="atLeast"/>
        </w:trPr>
        <w:tc>
          <w:tcPr>
            <w:tcW w:w="779" w:type="dxa"/>
            <w:tcBorders>
              <w:top w:val="nil"/>
              <w:left w:val="single" w:color="auto" w:sz="8" w:space="0"/>
              <w:bottom w:val="single" w:color="auto" w:sz="4" w:space="0"/>
              <w:right w:val="single" w:color="auto" w:sz="4" w:space="0"/>
            </w:tcBorders>
            <w:vAlign w:val="center"/>
          </w:tcPr>
          <w:p w14:paraId="6FC89E5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9</w:t>
            </w:r>
          </w:p>
        </w:tc>
        <w:tc>
          <w:tcPr>
            <w:tcW w:w="879" w:type="dxa"/>
            <w:tcBorders>
              <w:top w:val="nil"/>
              <w:left w:val="nil"/>
              <w:bottom w:val="single" w:color="auto" w:sz="4" w:space="0"/>
              <w:right w:val="single" w:color="auto" w:sz="4" w:space="0"/>
            </w:tcBorders>
            <w:vAlign w:val="center"/>
          </w:tcPr>
          <w:p w14:paraId="7E6FAB8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34164</w:t>
            </w:r>
          </w:p>
        </w:tc>
        <w:tc>
          <w:tcPr>
            <w:tcW w:w="3639" w:type="dxa"/>
            <w:tcBorders>
              <w:top w:val="nil"/>
              <w:left w:val="nil"/>
              <w:bottom w:val="single" w:color="auto" w:sz="4" w:space="0"/>
              <w:right w:val="single" w:color="auto" w:sz="4" w:space="0"/>
            </w:tcBorders>
            <w:vAlign w:val="bottom"/>
          </w:tcPr>
          <w:p w14:paraId="1D1422CD">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0,70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2887D45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color="auto" w:sz="4" w:space="0"/>
              <w:right w:val="single" w:color="auto" w:sz="4" w:space="0"/>
            </w:tcBorders>
            <w:vAlign w:val="center"/>
          </w:tcPr>
          <w:p w14:paraId="7DE9B41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09AFCAAE">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R$ 1.054,53 </w:t>
            </w:r>
          </w:p>
        </w:tc>
        <w:tc>
          <w:tcPr>
            <w:tcW w:w="1276" w:type="dxa"/>
            <w:tcBorders>
              <w:top w:val="nil"/>
              <w:left w:val="nil"/>
              <w:bottom w:val="single" w:color="auto" w:sz="4" w:space="0"/>
              <w:right w:val="single" w:color="auto" w:sz="8" w:space="0"/>
            </w:tcBorders>
            <w:vAlign w:val="center"/>
          </w:tcPr>
          <w:p w14:paraId="37FF185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3.163,59 </w:t>
            </w:r>
          </w:p>
        </w:tc>
      </w:tr>
      <w:tr w14:paraId="704192F9">
        <w:tblPrEx>
          <w:tblCellMar>
            <w:top w:w="0" w:type="dxa"/>
            <w:left w:w="70" w:type="dxa"/>
            <w:bottom w:w="0" w:type="dxa"/>
            <w:right w:w="70" w:type="dxa"/>
          </w:tblCellMar>
        </w:tblPrEx>
        <w:trPr>
          <w:trHeight w:val="1119" w:hRule="atLeast"/>
        </w:trPr>
        <w:tc>
          <w:tcPr>
            <w:tcW w:w="779" w:type="dxa"/>
            <w:tcBorders>
              <w:top w:val="nil"/>
              <w:left w:val="single" w:color="auto" w:sz="8" w:space="0"/>
              <w:bottom w:val="single" w:color="auto" w:sz="4" w:space="0"/>
              <w:right w:val="single" w:color="auto" w:sz="4" w:space="0"/>
            </w:tcBorders>
            <w:vAlign w:val="center"/>
          </w:tcPr>
          <w:p w14:paraId="118F42E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879" w:type="dxa"/>
            <w:tcBorders>
              <w:top w:val="nil"/>
              <w:left w:val="nil"/>
              <w:bottom w:val="single" w:color="auto" w:sz="4" w:space="0"/>
              <w:right w:val="single" w:color="auto" w:sz="4" w:space="0"/>
            </w:tcBorders>
            <w:vAlign w:val="center"/>
          </w:tcPr>
          <w:p w14:paraId="40063AD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34165</w:t>
            </w:r>
          </w:p>
        </w:tc>
        <w:tc>
          <w:tcPr>
            <w:tcW w:w="3639" w:type="dxa"/>
            <w:tcBorders>
              <w:top w:val="nil"/>
              <w:left w:val="nil"/>
              <w:bottom w:val="single" w:color="auto" w:sz="4" w:space="0"/>
              <w:right w:val="single" w:color="auto" w:sz="4" w:space="0"/>
            </w:tcBorders>
            <w:vAlign w:val="bottom"/>
          </w:tcPr>
          <w:p w14:paraId="4A0BEFF2">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4700E65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08915FC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4C13929B">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720,10 </w:t>
            </w:r>
          </w:p>
        </w:tc>
        <w:tc>
          <w:tcPr>
            <w:tcW w:w="1276" w:type="dxa"/>
            <w:tcBorders>
              <w:top w:val="nil"/>
              <w:left w:val="nil"/>
              <w:bottom w:val="single" w:color="auto" w:sz="4" w:space="0"/>
              <w:right w:val="single" w:color="auto" w:sz="8" w:space="0"/>
            </w:tcBorders>
            <w:vAlign w:val="center"/>
          </w:tcPr>
          <w:p w14:paraId="25EC2B3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1.440,20 </w:t>
            </w:r>
          </w:p>
        </w:tc>
      </w:tr>
      <w:tr w14:paraId="2037A850">
        <w:tblPrEx>
          <w:tblCellMar>
            <w:top w:w="0" w:type="dxa"/>
            <w:left w:w="70" w:type="dxa"/>
            <w:bottom w:w="0" w:type="dxa"/>
            <w:right w:w="70" w:type="dxa"/>
          </w:tblCellMar>
        </w:tblPrEx>
        <w:trPr>
          <w:trHeight w:val="4040" w:hRule="atLeast"/>
        </w:trPr>
        <w:tc>
          <w:tcPr>
            <w:tcW w:w="779" w:type="dxa"/>
            <w:tcBorders>
              <w:top w:val="nil"/>
              <w:left w:val="single" w:color="auto" w:sz="8" w:space="0"/>
              <w:bottom w:val="single" w:color="auto" w:sz="4" w:space="0"/>
              <w:right w:val="single" w:color="auto" w:sz="4" w:space="0"/>
            </w:tcBorders>
            <w:vAlign w:val="center"/>
          </w:tcPr>
          <w:p w14:paraId="1EB03FB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11</w:t>
            </w:r>
          </w:p>
        </w:tc>
        <w:tc>
          <w:tcPr>
            <w:tcW w:w="879" w:type="dxa"/>
            <w:tcBorders>
              <w:top w:val="nil"/>
              <w:left w:val="nil"/>
              <w:bottom w:val="single" w:color="auto" w:sz="4" w:space="0"/>
              <w:right w:val="single" w:color="auto" w:sz="4" w:space="0"/>
            </w:tcBorders>
            <w:vAlign w:val="center"/>
          </w:tcPr>
          <w:p w14:paraId="6A8805B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34166</w:t>
            </w:r>
          </w:p>
        </w:tc>
        <w:tc>
          <w:tcPr>
            <w:tcW w:w="3639" w:type="dxa"/>
            <w:tcBorders>
              <w:top w:val="nil"/>
              <w:left w:val="nil"/>
              <w:bottom w:val="single" w:color="auto" w:sz="4" w:space="0"/>
              <w:right w:val="single" w:color="auto" w:sz="4" w:space="0"/>
            </w:tcBorders>
            <w:vAlign w:val="bottom"/>
          </w:tcPr>
          <w:p w14:paraId="7F4F77CB">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26B3A9C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5585C51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07E7A06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720,10 </w:t>
            </w:r>
          </w:p>
        </w:tc>
        <w:tc>
          <w:tcPr>
            <w:tcW w:w="1276" w:type="dxa"/>
            <w:tcBorders>
              <w:top w:val="nil"/>
              <w:left w:val="nil"/>
              <w:bottom w:val="single" w:color="auto" w:sz="4" w:space="0"/>
              <w:right w:val="single" w:color="auto" w:sz="8" w:space="0"/>
            </w:tcBorders>
            <w:vAlign w:val="center"/>
          </w:tcPr>
          <w:p w14:paraId="5C00A7F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1.440,20 </w:t>
            </w:r>
          </w:p>
        </w:tc>
      </w:tr>
      <w:tr w14:paraId="3E13CFC0">
        <w:tblPrEx>
          <w:tblCellMar>
            <w:top w:w="0" w:type="dxa"/>
            <w:left w:w="70" w:type="dxa"/>
            <w:bottom w:w="0" w:type="dxa"/>
            <w:right w:w="70" w:type="dxa"/>
          </w:tblCellMar>
        </w:tblPrEx>
        <w:trPr>
          <w:trHeight w:val="2876" w:hRule="atLeast"/>
        </w:trPr>
        <w:tc>
          <w:tcPr>
            <w:tcW w:w="779" w:type="dxa"/>
            <w:tcBorders>
              <w:top w:val="nil"/>
              <w:left w:val="single" w:color="auto" w:sz="8" w:space="0"/>
              <w:bottom w:val="single" w:color="auto" w:sz="4" w:space="0"/>
              <w:right w:val="single" w:color="auto" w:sz="4" w:space="0"/>
            </w:tcBorders>
            <w:vAlign w:val="center"/>
          </w:tcPr>
          <w:p w14:paraId="1240BDC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12</w:t>
            </w:r>
          </w:p>
        </w:tc>
        <w:tc>
          <w:tcPr>
            <w:tcW w:w="879" w:type="dxa"/>
            <w:tcBorders>
              <w:top w:val="nil"/>
              <w:left w:val="nil"/>
              <w:bottom w:val="single" w:color="auto" w:sz="4" w:space="0"/>
              <w:right w:val="single" w:color="auto" w:sz="4" w:space="0"/>
            </w:tcBorders>
            <w:vAlign w:val="center"/>
          </w:tcPr>
          <w:p w14:paraId="58BD8EC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34167</w:t>
            </w:r>
          </w:p>
        </w:tc>
        <w:tc>
          <w:tcPr>
            <w:tcW w:w="3639" w:type="dxa"/>
            <w:tcBorders>
              <w:top w:val="nil"/>
              <w:left w:val="nil"/>
              <w:bottom w:val="single" w:color="auto" w:sz="4" w:space="0"/>
              <w:right w:val="single" w:color="auto" w:sz="4" w:space="0"/>
            </w:tcBorders>
            <w:vAlign w:val="bottom"/>
          </w:tcPr>
          <w:p w14:paraId="7B1A4792">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1,00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3A38947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27A5615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0E942FF5">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737,12 </w:t>
            </w:r>
          </w:p>
        </w:tc>
        <w:tc>
          <w:tcPr>
            <w:tcW w:w="1276" w:type="dxa"/>
            <w:tcBorders>
              <w:top w:val="nil"/>
              <w:left w:val="nil"/>
              <w:bottom w:val="single" w:color="auto" w:sz="4" w:space="0"/>
              <w:right w:val="single" w:color="auto" w:sz="8" w:space="0"/>
            </w:tcBorders>
            <w:vAlign w:val="center"/>
          </w:tcPr>
          <w:p w14:paraId="66008C5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1.474,24 </w:t>
            </w:r>
          </w:p>
        </w:tc>
      </w:tr>
      <w:tr w14:paraId="6D097F1A">
        <w:tblPrEx>
          <w:tblCellMar>
            <w:top w:w="0" w:type="dxa"/>
            <w:left w:w="70" w:type="dxa"/>
            <w:bottom w:w="0" w:type="dxa"/>
            <w:right w:w="70" w:type="dxa"/>
          </w:tblCellMar>
        </w:tblPrEx>
        <w:trPr>
          <w:trHeight w:val="410" w:hRule="atLeast"/>
        </w:trPr>
        <w:tc>
          <w:tcPr>
            <w:tcW w:w="779" w:type="dxa"/>
            <w:tcBorders>
              <w:top w:val="nil"/>
              <w:left w:val="single" w:color="auto" w:sz="8" w:space="0"/>
              <w:bottom w:val="single" w:color="auto" w:sz="4" w:space="0"/>
              <w:right w:val="single" w:color="auto" w:sz="4" w:space="0"/>
            </w:tcBorders>
            <w:vAlign w:val="center"/>
          </w:tcPr>
          <w:p w14:paraId="1915C7C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13</w:t>
            </w:r>
          </w:p>
        </w:tc>
        <w:tc>
          <w:tcPr>
            <w:tcW w:w="879" w:type="dxa"/>
            <w:tcBorders>
              <w:top w:val="nil"/>
              <w:left w:val="nil"/>
              <w:bottom w:val="single" w:color="auto" w:sz="4" w:space="0"/>
              <w:right w:val="single" w:color="auto" w:sz="4" w:space="0"/>
            </w:tcBorders>
            <w:vAlign w:val="center"/>
          </w:tcPr>
          <w:p w14:paraId="739ECF2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34169</w:t>
            </w:r>
          </w:p>
        </w:tc>
        <w:tc>
          <w:tcPr>
            <w:tcW w:w="3639" w:type="dxa"/>
            <w:tcBorders>
              <w:top w:val="nil"/>
              <w:left w:val="nil"/>
              <w:bottom w:val="single" w:color="auto" w:sz="4" w:space="0"/>
              <w:right w:val="single" w:color="auto" w:sz="4" w:space="0"/>
            </w:tcBorders>
            <w:vAlign w:val="bottom"/>
          </w:tcPr>
          <w:p w14:paraId="2E7DD02E">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2,25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2BA8336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078" w:type="dxa"/>
            <w:tcBorders>
              <w:top w:val="nil"/>
              <w:left w:val="nil"/>
              <w:bottom w:val="single" w:color="auto" w:sz="4" w:space="0"/>
              <w:right w:val="single" w:color="auto" w:sz="4" w:space="0"/>
            </w:tcBorders>
            <w:vAlign w:val="center"/>
          </w:tcPr>
          <w:p w14:paraId="6EC9B7B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4B999629">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962,70 </w:t>
            </w:r>
          </w:p>
        </w:tc>
        <w:tc>
          <w:tcPr>
            <w:tcW w:w="1276" w:type="dxa"/>
            <w:tcBorders>
              <w:top w:val="nil"/>
              <w:left w:val="nil"/>
              <w:bottom w:val="single" w:color="auto" w:sz="4" w:space="0"/>
              <w:right w:val="single" w:color="auto" w:sz="8" w:space="0"/>
            </w:tcBorders>
            <w:vAlign w:val="center"/>
          </w:tcPr>
          <w:p w14:paraId="5E22830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3.850,80 </w:t>
            </w:r>
          </w:p>
        </w:tc>
      </w:tr>
      <w:tr w14:paraId="234CB490">
        <w:tblPrEx>
          <w:tblCellMar>
            <w:top w:w="0" w:type="dxa"/>
            <w:left w:w="70" w:type="dxa"/>
            <w:bottom w:w="0" w:type="dxa"/>
            <w:right w:w="70" w:type="dxa"/>
          </w:tblCellMar>
        </w:tblPrEx>
        <w:trPr>
          <w:trHeight w:val="2587" w:hRule="atLeast"/>
        </w:trPr>
        <w:tc>
          <w:tcPr>
            <w:tcW w:w="779" w:type="dxa"/>
            <w:tcBorders>
              <w:top w:val="nil"/>
              <w:left w:val="single" w:color="auto" w:sz="8" w:space="0"/>
              <w:bottom w:val="single" w:color="auto" w:sz="4" w:space="0"/>
              <w:right w:val="single" w:color="auto" w:sz="4" w:space="0"/>
            </w:tcBorders>
            <w:vAlign w:val="center"/>
          </w:tcPr>
          <w:p w14:paraId="205E074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14</w:t>
            </w:r>
          </w:p>
        </w:tc>
        <w:tc>
          <w:tcPr>
            <w:tcW w:w="879" w:type="dxa"/>
            <w:tcBorders>
              <w:top w:val="nil"/>
              <w:left w:val="nil"/>
              <w:bottom w:val="single" w:color="auto" w:sz="4" w:space="0"/>
              <w:right w:val="single" w:color="auto" w:sz="4" w:space="0"/>
            </w:tcBorders>
            <w:vAlign w:val="center"/>
          </w:tcPr>
          <w:p w14:paraId="524ADC6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34170</w:t>
            </w:r>
          </w:p>
        </w:tc>
        <w:tc>
          <w:tcPr>
            <w:tcW w:w="3639" w:type="dxa"/>
            <w:tcBorders>
              <w:top w:val="nil"/>
              <w:left w:val="nil"/>
              <w:bottom w:val="single" w:color="auto" w:sz="4" w:space="0"/>
              <w:right w:val="single" w:color="auto" w:sz="4" w:space="0"/>
            </w:tcBorders>
            <w:vAlign w:val="bottom"/>
          </w:tcPr>
          <w:p w14:paraId="1CF5530D">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0,80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0A7FDD1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665153C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590801BC">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995,92 </w:t>
            </w:r>
          </w:p>
        </w:tc>
        <w:tc>
          <w:tcPr>
            <w:tcW w:w="1276" w:type="dxa"/>
            <w:tcBorders>
              <w:top w:val="nil"/>
              <w:left w:val="nil"/>
              <w:bottom w:val="single" w:color="auto" w:sz="4" w:space="0"/>
              <w:right w:val="single" w:color="auto" w:sz="8" w:space="0"/>
            </w:tcBorders>
            <w:vAlign w:val="center"/>
          </w:tcPr>
          <w:p w14:paraId="2337809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1.991,84 </w:t>
            </w:r>
          </w:p>
        </w:tc>
      </w:tr>
      <w:tr w14:paraId="37374B79">
        <w:tblPrEx>
          <w:tblCellMar>
            <w:top w:w="0" w:type="dxa"/>
            <w:left w:w="70" w:type="dxa"/>
            <w:bottom w:w="0" w:type="dxa"/>
            <w:right w:w="70" w:type="dxa"/>
          </w:tblCellMar>
        </w:tblPrEx>
        <w:trPr>
          <w:trHeight w:val="2922" w:hRule="atLeast"/>
        </w:trPr>
        <w:tc>
          <w:tcPr>
            <w:tcW w:w="779" w:type="dxa"/>
            <w:tcBorders>
              <w:top w:val="nil"/>
              <w:left w:val="single" w:color="auto" w:sz="8" w:space="0"/>
              <w:bottom w:val="single" w:color="auto" w:sz="4" w:space="0"/>
              <w:right w:val="single" w:color="auto" w:sz="4" w:space="0"/>
            </w:tcBorders>
            <w:vAlign w:val="center"/>
          </w:tcPr>
          <w:p w14:paraId="50B7C96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15</w:t>
            </w:r>
          </w:p>
        </w:tc>
        <w:tc>
          <w:tcPr>
            <w:tcW w:w="879" w:type="dxa"/>
            <w:tcBorders>
              <w:top w:val="nil"/>
              <w:left w:val="nil"/>
              <w:bottom w:val="single" w:color="auto" w:sz="4" w:space="0"/>
              <w:right w:val="single" w:color="auto" w:sz="4" w:space="0"/>
            </w:tcBorders>
            <w:vAlign w:val="center"/>
          </w:tcPr>
          <w:p w14:paraId="35B5A2F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34171</w:t>
            </w:r>
          </w:p>
        </w:tc>
        <w:tc>
          <w:tcPr>
            <w:tcW w:w="3639" w:type="dxa"/>
            <w:tcBorders>
              <w:top w:val="nil"/>
              <w:left w:val="nil"/>
              <w:bottom w:val="single" w:color="auto" w:sz="4" w:space="0"/>
              <w:right w:val="single" w:color="auto" w:sz="4" w:space="0"/>
            </w:tcBorders>
            <w:vAlign w:val="bottom"/>
          </w:tcPr>
          <w:p w14:paraId="1439F34A">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0E3726A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color="auto" w:sz="4" w:space="0"/>
              <w:right w:val="single" w:color="auto" w:sz="4" w:space="0"/>
            </w:tcBorders>
            <w:vAlign w:val="center"/>
          </w:tcPr>
          <w:p w14:paraId="74D2235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3CA3930F">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804,26 </w:t>
            </w:r>
          </w:p>
        </w:tc>
        <w:tc>
          <w:tcPr>
            <w:tcW w:w="1276" w:type="dxa"/>
            <w:tcBorders>
              <w:top w:val="nil"/>
              <w:left w:val="nil"/>
              <w:bottom w:val="single" w:color="auto" w:sz="4" w:space="0"/>
              <w:right w:val="single" w:color="auto" w:sz="8" w:space="0"/>
            </w:tcBorders>
            <w:vAlign w:val="center"/>
          </w:tcPr>
          <w:p w14:paraId="6A4D6C0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2.412,78 </w:t>
            </w:r>
          </w:p>
        </w:tc>
      </w:tr>
      <w:tr w14:paraId="7CFE4072">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5F573A7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16</w:t>
            </w:r>
          </w:p>
        </w:tc>
        <w:tc>
          <w:tcPr>
            <w:tcW w:w="879" w:type="dxa"/>
            <w:tcBorders>
              <w:top w:val="nil"/>
              <w:left w:val="nil"/>
              <w:bottom w:val="single" w:color="auto" w:sz="4" w:space="0"/>
              <w:right w:val="single" w:color="auto" w:sz="4" w:space="0"/>
            </w:tcBorders>
            <w:vAlign w:val="center"/>
          </w:tcPr>
          <w:p w14:paraId="306BF64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34172</w:t>
            </w:r>
          </w:p>
        </w:tc>
        <w:tc>
          <w:tcPr>
            <w:tcW w:w="3639" w:type="dxa"/>
            <w:tcBorders>
              <w:top w:val="nil"/>
              <w:left w:val="nil"/>
              <w:bottom w:val="single" w:color="auto" w:sz="4" w:space="0"/>
              <w:right w:val="single" w:color="auto" w:sz="4" w:space="0"/>
            </w:tcBorders>
            <w:vAlign w:val="bottom"/>
          </w:tcPr>
          <w:p w14:paraId="38D4AB7C">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1,60 x 2,30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51C380C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color="auto" w:sz="4" w:space="0"/>
              <w:right w:val="single" w:color="auto" w:sz="4" w:space="0"/>
            </w:tcBorders>
            <w:vAlign w:val="center"/>
          </w:tcPr>
          <w:p w14:paraId="543005C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515A283D">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R$ 1.266,67 </w:t>
            </w:r>
          </w:p>
        </w:tc>
        <w:tc>
          <w:tcPr>
            <w:tcW w:w="1276" w:type="dxa"/>
            <w:tcBorders>
              <w:top w:val="nil"/>
              <w:left w:val="nil"/>
              <w:bottom w:val="single" w:color="auto" w:sz="4" w:space="0"/>
              <w:right w:val="single" w:color="auto" w:sz="8" w:space="0"/>
            </w:tcBorders>
            <w:vAlign w:val="center"/>
          </w:tcPr>
          <w:p w14:paraId="0AC6858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1.266,67 </w:t>
            </w:r>
          </w:p>
        </w:tc>
      </w:tr>
      <w:tr w14:paraId="1956501F">
        <w:tblPrEx>
          <w:tblCellMar>
            <w:top w:w="0" w:type="dxa"/>
            <w:left w:w="70" w:type="dxa"/>
            <w:bottom w:w="0" w:type="dxa"/>
            <w:right w:w="70" w:type="dxa"/>
          </w:tblCellMar>
        </w:tblPrEx>
        <w:trPr>
          <w:trHeight w:val="1544" w:hRule="atLeast"/>
        </w:trPr>
        <w:tc>
          <w:tcPr>
            <w:tcW w:w="779" w:type="dxa"/>
            <w:tcBorders>
              <w:top w:val="nil"/>
              <w:left w:val="single" w:color="auto" w:sz="8" w:space="0"/>
              <w:bottom w:val="single" w:color="auto" w:sz="4" w:space="0"/>
              <w:right w:val="single" w:color="auto" w:sz="4" w:space="0"/>
            </w:tcBorders>
            <w:vAlign w:val="center"/>
          </w:tcPr>
          <w:p w14:paraId="40FB478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17</w:t>
            </w:r>
          </w:p>
        </w:tc>
        <w:tc>
          <w:tcPr>
            <w:tcW w:w="879" w:type="dxa"/>
            <w:tcBorders>
              <w:top w:val="nil"/>
              <w:left w:val="nil"/>
              <w:bottom w:val="single" w:color="auto" w:sz="4" w:space="0"/>
              <w:right w:val="single" w:color="auto" w:sz="4" w:space="0"/>
            </w:tcBorders>
            <w:vAlign w:val="center"/>
          </w:tcPr>
          <w:p w14:paraId="02F3F87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34173</w:t>
            </w:r>
          </w:p>
        </w:tc>
        <w:tc>
          <w:tcPr>
            <w:tcW w:w="3639" w:type="dxa"/>
            <w:tcBorders>
              <w:top w:val="nil"/>
              <w:left w:val="nil"/>
              <w:bottom w:val="single" w:color="auto" w:sz="4" w:space="0"/>
              <w:right w:val="single" w:color="auto" w:sz="4" w:space="0"/>
            </w:tcBorders>
            <w:vAlign w:val="bottom"/>
          </w:tcPr>
          <w:p w14:paraId="648F885A">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1,90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w:t>
            </w:r>
          </w:p>
        </w:tc>
        <w:tc>
          <w:tcPr>
            <w:tcW w:w="771" w:type="dxa"/>
            <w:tcBorders>
              <w:top w:val="nil"/>
              <w:left w:val="nil"/>
              <w:bottom w:val="single" w:color="auto" w:sz="4" w:space="0"/>
              <w:right w:val="single" w:color="auto" w:sz="4" w:space="0"/>
            </w:tcBorders>
            <w:vAlign w:val="center"/>
          </w:tcPr>
          <w:p w14:paraId="716EDB7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44E6048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47486D9C">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888,00 </w:t>
            </w:r>
          </w:p>
        </w:tc>
        <w:tc>
          <w:tcPr>
            <w:tcW w:w="1276" w:type="dxa"/>
            <w:tcBorders>
              <w:top w:val="nil"/>
              <w:left w:val="nil"/>
              <w:bottom w:val="single" w:color="auto" w:sz="4" w:space="0"/>
              <w:right w:val="single" w:color="auto" w:sz="8" w:space="0"/>
            </w:tcBorders>
            <w:vAlign w:val="center"/>
          </w:tcPr>
          <w:p w14:paraId="40A1C6D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1.776,00 </w:t>
            </w:r>
          </w:p>
        </w:tc>
      </w:tr>
      <w:tr w14:paraId="0A82472C">
        <w:tblPrEx>
          <w:tblCellMar>
            <w:top w:w="0" w:type="dxa"/>
            <w:left w:w="70" w:type="dxa"/>
            <w:bottom w:w="0" w:type="dxa"/>
            <w:right w:w="70" w:type="dxa"/>
          </w:tblCellMar>
        </w:tblPrEx>
        <w:trPr>
          <w:trHeight w:val="1764" w:hRule="atLeast"/>
        </w:trPr>
        <w:tc>
          <w:tcPr>
            <w:tcW w:w="779" w:type="dxa"/>
            <w:tcBorders>
              <w:top w:val="nil"/>
              <w:left w:val="single" w:color="auto" w:sz="8" w:space="0"/>
              <w:bottom w:val="single" w:color="auto" w:sz="4" w:space="0"/>
              <w:right w:val="single" w:color="auto" w:sz="4" w:space="0"/>
            </w:tcBorders>
            <w:vAlign w:val="center"/>
          </w:tcPr>
          <w:p w14:paraId="1F4C6E3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18</w:t>
            </w:r>
          </w:p>
        </w:tc>
        <w:tc>
          <w:tcPr>
            <w:tcW w:w="879" w:type="dxa"/>
            <w:tcBorders>
              <w:top w:val="nil"/>
              <w:left w:val="nil"/>
              <w:bottom w:val="single" w:color="auto" w:sz="4" w:space="0"/>
              <w:right w:val="single" w:color="auto" w:sz="4" w:space="0"/>
            </w:tcBorders>
            <w:vAlign w:val="center"/>
          </w:tcPr>
          <w:p w14:paraId="522CC2E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34174</w:t>
            </w:r>
          </w:p>
        </w:tc>
        <w:tc>
          <w:tcPr>
            <w:tcW w:w="3639" w:type="dxa"/>
            <w:tcBorders>
              <w:top w:val="nil"/>
              <w:left w:val="nil"/>
              <w:bottom w:val="single" w:color="auto" w:sz="4" w:space="0"/>
              <w:right w:val="single" w:color="auto" w:sz="4" w:space="0"/>
            </w:tcBorders>
            <w:vAlign w:val="bottom"/>
          </w:tcPr>
          <w:p w14:paraId="1A3D844A">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4508CE1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078" w:type="dxa"/>
            <w:tcBorders>
              <w:top w:val="nil"/>
              <w:left w:val="nil"/>
              <w:bottom w:val="single" w:color="auto" w:sz="4" w:space="0"/>
              <w:right w:val="single" w:color="auto" w:sz="4" w:space="0"/>
            </w:tcBorders>
            <w:vAlign w:val="center"/>
          </w:tcPr>
          <w:p w14:paraId="7DD745E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46A2CC26">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746,94 </w:t>
            </w:r>
          </w:p>
        </w:tc>
        <w:tc>
          <w:tcPr>
            <w:tcW w:w="1276" w:type="dxa"/>
            <w:tcBorders>
              <w:top w:val="nil"/>
              <w:left w:val="nil"/>
              <w:bottom w:val="single" w:color="auto" w:sz="4" w:space="0"/>
              <w:right w:val="single" w:color="auto" w:sz="8" w:space="0"/>
            </w:tcBorders>
            <w:vAlign w:val="center"/>
          </w:tcPr>
          <w:p w14:paraId="6E7E9E0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3.734,70 </w:t>
            </w:r>
          </w:p>
        </w:tc>
      </w:tr>
      <w:tr w14:paraId="2A9604FB">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42F10C9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19</w:t>
            </w:r>
          </w:p>
        </w:tc>
        <w:tc>
          <w:tcPr>
            <w:tcW w:w="879" w:type="dxa"/>
            <w:tcBorders>
              <w:top w:val="nil"/>
              <w:left w:val="nil"/>
              <w:bottom w:val="single" w:color="auto" w:sz="4" w:space="0"/>
              <w:right w:val="single" w:color="auto" w:sz="4" w:space="0"/>
            </w:tcBorders>
            <w:vAlign w:val="center"/>
          </w:tcPr>
          <w:p w14:paraId="347C0F9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34175</w:t>
            </w:r>
          </w:p>
        </w:tc>
        <w:tc>
          <w:tcPr>
            <w:tcW w:w="3639" w:type="dxa"/>
            <w:tcBorders>
              <w:top w:val="nil"/>
              <w:left w:val="nil"/>
              <w:bottom w:val="single" w:color="auto" w:sz="4" w:space="0"/>
              <w:right w:val="single" w:color="auto" w:sz="4" w:space="0"/>
            </w:tcBorders>
            <w:vAlign w:val="bottom"/>
          </w:tcPr>
          <w:p w14:paraId="166FB3F5">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5657812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color="auto" w:sz="4" w:space="0"/>
              <w:right w:val="single" w:color="auto" w:sz="4" w:space="0"/>
            </w:tcBorders>
            <w:vAlign w:val="center"/>
          </w:tcPr>
          <w:p w14:paraId="7602125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4885E899">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R$ 1.100,00 </w:t>
            </w:r>
          </w:p>
        </w:tc>
        <w:tc>
          <w:tcPr>
            <w:tcW w:w="1276" w:type="dxa"/>
            <w:tcBorders>
              <w:top w:val="nil"/>
              <w:left w:val="nil"/>
              <w:bottom w:val="single" w:color="auto" w:sz="4" w:space="0"/>
              <w:right w:val="single" w:color="auto" w:sz="8" w:space="0"/>
            </w:tcBorders>
            <w:vAlign w:val="center"/>
          </w:tcPr>
          <w:p w14:paraId="5439058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1.100,00 </w:t>
            </w:r>
          </w:p>
        </w:tc>
      </w:tr>
      <w:tr w14:paraId="78718DA7">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5849CB1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20</w:t>
            </w:r>
          </w:p>
        </w:tc>
        <w:tc>
          <w:tcPr>
            <w:tcW w:w="879" w:type="dxa"/>
            <w:tcBorders>
              <w:top w:val="nil"/>
              <w:left w:val="nil"/>
              <w:bottom w:val="single" w:color="auto" w:sz="4" w:space="0"/>
              <w:right w:val="single" w:color="auto" w:sz="4" w:space="0"/>
            </w:tcBorders>
            <w:vAlign w:val="center"/>
          </w:tcPr>
          <w:p w14:paraId="22018DF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34176</w:t>
            </w:r>
          </w:p>
        </w:tc>
        <w:tc>
          <w:tcPr>
            <w:tcW w:w="3639" w:type="dxa"/>
            <w:tcBorders>
              <w:top w:val="nil"/>
              <w:left w:val="nil"/>
              <w:bottom w:val="single" w:color="auto" w:sz="4" w:space="0"/>
              <w:right w:val="single" w:color="auto" w:sz="4" w:space="0"/>
            </w:tcBorders>
            <w:vAlign w:val="bottom"/>
          </w:tcPr>
          <w:p w14:paraId="30AF4D2A">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50300C5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color="auto" w:sz="4" w:space="0"/>
              <w:right w:val="single" w:color="auto" w:sz="4" w:space="0"/>
            </w:tcBorders>
            <w:vAlign w:val="center"/>
          </w:tcPr>
          <w:p w14:paraId="5E56356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2C4B9B6B">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R$ 1.230,00 </w:t>
            </w:r>
          </w:p>
        </w:tc>
        <w:tc>
          <w:tcPr>
            <w:tcW w:w="1276" w:type="dxa"/>
            <w:tcBorders>
              <w:top w:val="nil"/>
              <w:left w:val="nil"/>
              <w:bottom w:val="single" w:color="auto" w:sz="4" w:space="0"/>
              <w:right w:val="single" w:color="auto" w:sz="8" w:space="0"/>
            </w:tcBorders>
            <w:vAlign w:val="center"/>
          </w:tcPr>
          <w:p w14:paraId="6B961A0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1.230,00 </w:t>
            </w:r>
          </w:p>
        </w:tc>
      </w:tr>
      <w:tr w14:paraId="232E5E77">
        <w:tblPrEx>
          <w:tblCellMar>
            <w:top w:w="0" w:type="dxa"/>
            <w:left w:w="70" w:type="dxa"/>
            <w:bottom w:w="0" w:type="dxa"/>
            <w:right w:w="70" w:type="dxa"/>
          </w:tblCellMar>
        </w:tblPrEx>
        <w:trPr>
          <w:trHeight w:val="1118" w:hRule="atLeast"/>
        </w:trPr>
        <w:tc>
          <w:tcPr>
            <w:tcW w:w="779" w:type="dxa"/>
            <w:tcBorders>
              <w:top w:val="nil"/>
              <w:left w:val="single" w:color="auto" w:sz="8" w:space="0"/>
              <w:bottom w:val="single" w:color="auto" w:sz="4" w:space="0"/>
              <w:right w:val="single" w:color="auto" w:sz="4" w:space="0"/>
            </w:tcBorders>
            <w:vAlign w:val="center"/>
          </w:tcPr>
          <w:p w14:paraId="37543D7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21</w:t>
            </w:r>
          </w:p>
        </w:tc>
        <w:tc>
          <w:tcPr>
            <w:tcW w:w="879" w:type="dxa"/>
            <w:tcBorders>
              <w:top w:val="nil"/>
              <w:left w:val="nil"/>
              <w:bottom w:val="single" w:color="auto" w:sz="4" w:space="0"/>
              <w:right w:val="single" w:color="auto" w:sz="4" w:space="0"/>
            </w:tcBorders>
            <w:vAlign w:val="center"/>
          </w:tcPr>
          <w:p w14:paraId="35C723E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34177</w:t>
            </w:r>
          </w:p>
        </w:tc>
        <w:tc>
          <w:tcPr>
            <w:tcW w:w="3639" w:type="dxa"/>
            <w:tcBorders>
              <w:top w:val="nil"/>
              <w:left w:val="nil"/>
              <w:bottom w:val="single" w:color="auto" w:sz="4" w:space="0"/>
              <w:right w:val="single" w:color="auto" w:sz="4" w:space="0"/>
            </w:tcBorders>
            <w:vAlign w:val="bottom"/>
          </w:tcPr>
          <w:p w14:paraId="33B8F956">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5A42165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color="auto" w:sz="4" w:space="0"/>
              <w:right w:val="single" w:color="auto" w:sz="4" w:space="0"/>
            </w:tcBorders>
            <w:vAlign w:val="center"/>
          </w:tcPr>
          <w:p w14:paraId="3460912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77AD54D0">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R$ 1.330,00 </w:t>
            </w:r>
          </w:p>
        </w:tc>
        <w:tc>
          <w:tcPr>
            <w:tcW w:w="1276" w:type="dxa"/>
            <w:tcBorders>
              <w:top w:val="nil"/>
              <w:left w:val="nil"/>
              <w:bottom w:val="single" w:color="auto" w:sz="4" w:space="0"/>
              <w:right w:val="single" w:color="auto" w:sz="8" w:space="0"/>
            </w:tcBorders>
            <w:vAlign w:val="center"/>
          </w:tcPr>
          <w:p w14:paraId="4F9BB2F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1.330,00 </w:t>
            </w:r>
          </w:p>
        </w:tc>
      </w:tr>
      <w:tr w14:paraId="3890AB6B">
        <w:tblPrEx>
          <w:tblCellMar>
            <w:top w:w="0" w:type="dxa"/>
            <w:left w:w="70" w:type="dxa"/>
            <w:bottom w:w="0" w:type="dxa"/>
            <w:right w:w="70" w:type="dxa"/>
          </w:tblCellMar>
        </w:tblPrEx>
        <w:trPr>
          <w:trHeight w:val="2228" w:hRule="atLeast"/>
        </w:trPr>
        <w:tc>
          <w:tcPr>
            <w:tcW w:w="779" w:type="dxa"/>
            <w:tcBorders>
              <w:top w:val="nil"/>
              <w:left w:val="single" w:color="auto" w:sz="8" w:space="0"/>
              <w:bottom w:val="single" w:color="auto" w:sz="4" w:space="0"/>
              <w:right w:val="single" w:color="auto" w:sz="4" w:space="0"/>
            </w:tcBorders>
            <w:vAlign w:val="center"/>
          </w:tcPr>
          <w:p w14:paraId="44EACAC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22</w:t>
            </w:r>
          </w:p>
        </w:tc>
        <w:tc>
          <w:tcPr>
            <w:tcW w:w="879" w:type="dxa"/>
            <w:tcBorders>
              <w:top w:val="nil"/>
              <w:left w:val="nil"/>
              <w:bottom w:val="single" w:color="auto" w:sz="4" w:space="0"/>
              <w:right w:val="single" w:color="auto" w:sz="4" w:space="0"/>
            </w:tcBorders>
            <w:vAlign w:val="center"/>
          </w:tcPr>
          <w:p w14:paraId="7E7316E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34178</w:t>
            </w:r>
          </w:p>
        </w:tc>
        <w:tc>
          <w:tcPr>
            <w:tcW w:w="3639" w:type="dxa"/>
            <w:tcBorders>
              <w:top w:val="nil"/>
              <w:left w:val="nil"/>
              <w:bottom w:val="single" w:color="auto" w:sz="4" w:space="0"/>
              <w:right w:val="single" w:color="auto" w:sz="4" w:space="0"/>
            </w:tcBorders>
            <w:vAlign w:val="bottom"/>
          </w:tcPr>
          <w:p w14:paraId="204376FD">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2,20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5738892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2EF33ED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44BEA07D">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R$ 1.125,00 </w:t>
            </w:r>
          </w:p>
        </w:tc>
        <w:tc>
          <w:tcPr>
            <w:tcW w:w="1276" w:type="dxa"/>
            <w:tcBorders>
              <w:top w:val="nil"/>
              <w:left w:val="nil"/>
              <w:bottom w:val="single" w:color="auto" w:sz="4" w:space="0"/>
              <w:right w:val="single" w:color="auto" w:sz="8" w:space="0"/>
            </w:tcBorders>
            <w:vAlign w:val="center"/>
          </w:tcPr>
          <w:p w14:paraId="601FA1D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2.250,00 </w:t>
            </w:r>
          </w:p>
        </w:tc>
      </w:tr>
      <w:tr w14:paraId="26EA05D1">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210CFA7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23</w:t>
            </w:r>
          </w:p>
        </w:tc>
        <w:tc>
          <w:tcPr>
            <w:tcW w:w="879" w:type="dxa"/>
            <w:tcBorders>
              <w:top w:val="nil"/>
              <w:left w:val="nil"/>
              <w:bottom w:val="single" w:color="auto" w:sz="4" w:space="0"/>
              <w:right w:val="single" w:color="auto" w:sz="4" w:space="0"/>
            </w:tcBorders>
            <w:vAlign w:val="center"/>
          </w:tcPr>
          <w:p w14:paraId="09F0A15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34179</w:t>
            </w:r>
          </w:p>
        </w:tc>
        <w:tc>
          <w:tcPr>
            <w:tcW w:w="3639" w:type="dxa"/>
            <w:tcBorders>
              <w:top w:val="nil"/>
              <w:left w:val="nil"/>
              <w:bottom w:val="single" w:color="auto" w:sz="4" w:space="0"/>
              <w:right w:val="single" w:color="auto" w:sz="4" w:space="0"/>
            </w:tcBorders>
            <w:vAlign w:val="bottom"/>
          </w:tcPr>
          <w:p w14:paraId="6F6A2360">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55DC107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1078" w:type="dxa"/>
            <w:tcBorders>
              <w:top w:val="nil"/>
              <w:left w:val="nil"/>
              <w:bottom w:val="single" w:color="auto" w:sz="4" w:space="0"/>
              <w:right w:val="single" w:color="auto" w:sz="4" w:space="0"/>
            </w:tcBorders>
            <w:vAlign w:val="center"/>
          </w:tcPr>
          <w:p w14:paraId="7671539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749FB871">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R$ 1.230,00 </w:t>
            </w:r>
          </w:p>
        </w:tc>
        <w:tc>
          <w:tcPr>
            <w:tcW w:w="1276" w:type="dxa"/>
            <w:tcBorders>
              <w:top w:val="nil"/>
              <w:left w:val="nil"/>
              <w:bottom w:val="single" w:color="auto" w:sz="4" w:space="0"/>
              <w:right w:val="single" w:color="auto" w:sz="8" w:space="0"/>
            </w:tcBorders>
            <w:vAlign w:val="center"/>
          </w:tcPr>
          <w:p w14:paraId="2E73AE1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9.840,00 </w:t>
            </w:r>
          </w:p>
        </w:tc>
      </w:tr>
      <w:tr w14:paraId="64C70061">
        <w:tblPrEx>
          <w:tblCellMar>
            <w:top w:w="0" w:type="dxa"/>
            <w:left w:w="70" w:type="dxa"/>
            <w:bottom w:w="0" w:type="dxa"/>
            <w:right w:w="70" w:type="dxa"/>
          </w:tblCellMar>
        </w:tblPrEx>
        <w:trPr>
          <w:trHeight w:val="2445" w:hRule="atLeast"/>
        </w:trPr>
        <w:tc>
          <w:tcPr>
            <w:tcW w:w="779" w:type="dxa"/>
            <w:tcBorders>
              <w:top w:val="nil"/>
              <w:left w:val="single" w:color="auto" w:sz="8" w:space="0"/>
              <w:bottom w:val="single" w:color="auto" w:sz="4" w:space="0"/>
              <w:right w:val="single" w:color="auto" w:sz="4" w:space="0"/>
            </w:tcBorders>
            <w:vAlign w:val="center"/>
          </w:tcPr>
          <w:p w14:paraId="7AEDE08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24</w:t>
            </w:r>
          </w:p>
        </w:tc>
        <w:tc>
          <w:tcPr>
            <w:tcW w:w="879" w:type="dxa"/>
            <w:tcBorders>
              <w:top w:val="nil"/>
              <w:left w:val="nil"/>
              <w:bottom w:val="single" w:color="auto" w:sz="4" w:space="0"/>
              <w:right w:val="single" w:color="auto" w:sz="4" w:space="0"/>
            </w:tcBorders>
            <w:vAlign w:val="center"/>
          </w:tcPr>
          <w:p w14:paraId="12CB0DA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34180</w:t>
            </w:r>
          </w:p>
        </w:tc>
        <w:tc>
          <w:tcPr>
            <w:tcW w:w="3639" w:type="dxa"/>
            <w:tcBorders>
              <w:top w:val="nil"/>
              <w:left w:val="nil"/>
              <w:bottom w:val="single" w:color="auto" w:sz="4" w:space="0"/>
              <w:right w:val="single" w:color="auto" w:sz="4" w:space="0"/>
            </w:tcBorders>
            <w:vAlign w:val="bottom"/>
          </w:tcPr>
          <w:p w14:paraId="12D6C610">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54790ED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color="auto" w:sz="4" w:space="0"/>
              <w:right w:val="single" w:color="auto" w:sz="4" w:space="0"/>
            </w:tcBorders>
            <w:vAlign w:val="center"/>
          </w:tcPr>
          <w:p w14:paraId="433BC67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673AAEEE">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R$ 1.100,00 </w:t>
            </w:r>
          </w:p>
        </w:tc>
        <w:tc>
          <w:tcPr>
            <w:tcW w:w="1276" w:type="dxa"/>
            <w:tcBorders>
              <w:top w:val="nil"/>
              <w:left w:val="nil"/>
              <w:bottom w:val="single" w:color="auto" w:sz="4" w:space="0"/>
              <w:right w:val="single" w:color="auto" w:sz="8" w:space="0"/>
            </w:tcBorders>
            <w:vAlign w:val="center"/>
          </w:tcPr>
          <w:p w14:paraId="5155D48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1.100,00 </w:t>
            </w:r>
          </w:p>
        </w:tc>
      </w:tr>
      <w:tr w14:paraId="322892AB">
        <w:tblPrEx>
          <w:tblCellMar>
            <w:top w:w="0" w:type="dxa"/>
            <w:left w:w="70" w:type="dxa"/>
            <w:bottom w:w="0" w:type="dxa"/>
            <w:right w:w="70" w:type="dxa"/>
          </w:tblCellMar>
        </w:tblPrEx>
        <w:trPr>
          <w:trHeight w:val="3347" w:hRule="atLeast"/>
        </w:trPr>
        <w:tc>
          <w:tcPr>
            <w:tcW w:w="779" w:type="dxa"/>
            <w:tcBorders>
              <w:top w:val="nil"/>
              <w:left w:val="single" w:color="auto" w:sz="8" w:space="0"/>
              <w:bottom w:val="single" w:color="auto" w:sz="4" w:space="0"/>
              <w:right w:val="single" w:color="auto" w:sz="4" w:space="0"/>
            </w:tcBorders>
            <w:vAlign w:val="center"/>
          </w:tcPr>
          <w:p w14:paraId="4166721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25</w:t>
            </w:r>
          </w:p>
        </w:tc>
        <w:tc>
          <w:tcPr>
            <w:tcW w:w="879" w:type="dxa"/>
            <w:tcBorders>
              <w:top w:val="nil"/>
              <w:left w:val="nil"/>
              <w:bottom w:val="single" w:color="auto" w:sz="4" w:space="0"/>
              <w:right w:val="single" w:color="auto" w:sz="4" w:space="0"/>
            </w:tcBorders>
            <w:vAlign w:val="center"/>
          </w:tcPr>
          <w:p w14:paraId="1232AE1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34181</w:t>
            </w:r>
          </w:p>
        </w:tc>
        <w:tc>
          <w:tcPr>
            <w:tcW w:w="3639" w:type="dxa"/>
            <w:tcBorders>
              <w:top w:val="nil"/>
              <w:left w:val="nil"/>
              <w:bottom w:val="single" w:color="auto" w:sz="4" w:space="0"/>
              <w:right w:val="single" w:color="auto" w:sz="4" w:space="0"/>
            </w:tcBorders>
            <w:vAlign w:val="bottom"/>
          </w:tcPr>
          <w:p w14:paraId="3D4CD5B6">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47AF738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30F07FD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1564A3D0">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R$ 1.100,00 </w:t>
            </w:r>
          </w:p>
        </w:tc>
        <w:tc>
          <w:tcPr>
            <w:tcW w:w="1276" w:type="dxa"/>
            <w:tcBorders>
              <w:top w:val="nil"/>
              <w:left w:val="nil"/>
              <w:bottom w:val="single" w:color="auto" w:sz="4" w:space="0"/>
              <w:right w:val="single" w:color="auto" w:sz="8" w:space="0"/>
            </w:tcBorders>
            <w:vAlign w:val="center"/>
          </w:tcPr>
          <w:p w14:paraId="50ED141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2.200,00 </w:t>
            </w:r>
          </w:p>
        </w:tc>
      </w:tr>
      <w:tr w14:paraId="0D341A92">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598F7B9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26</w:t>
            </w:r>
          </w:p>
        </w:tc>
        <w:tc>
          <w:tcPr>
            <w:tcW w:w="879" w:type="dxa"/>
            <w:tcBorders>
              <w:top w:val="nil"/>
              <w:left w:val="nil"/>
              <w:bottom w:val="single" w:color="auto" w:sz="4" w:space="0"/>
              <w:right w:val="single" w:color="auto" w:sz="4" w:space="0"/>
            </w:tcBorders>
            <w:vAlign w:val="center"/>
          </w:tcPr>
          <w:p w14:paraId="7084548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34182</w:t>
            </w:r>
          </w:p>
        </w:tc>
        <w:tc>
          <w:tcPr>
            <w:tcW w:w="3639" w:type="dxa"/>
            <w:tcBorders>
              <w:top w:val="nil"/>
              <w:left w:val="nil"/>
              <w:bottom w:val="single" w:color="auto" w:sz="4" w:space="0"/>
              <w:right w:val="single" w:color="auto" w:sz="4" w:space="0"/>
            </w:tcBorders>
            <w:vAlign w:val="bottom"/>
          </w:tcPr>
          <w:p w14:paraId="1FAB7345">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2.50 x 1.50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0F71E8C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1078" w:type="dxa"/>
            <w:tcBorders>
              <w:top w:val="nil"/>
              <w:left w:val="nil"/>
              <w:bottom w:val="single" w:color="auto" w:sz="4" w:space="0"/>
              <w:right w:val="single" w:color="auto" w:sz="4" w:space="0"/>
            </w:tcBorders>
            <w:vAlign w:val="center"/>
          </w:tcPr>
          <w:p w14:paraId="1FFBAB1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14DEEC1E">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R$ 1.330,00 </w:t>
            </w:r>
          </w:p>
        </w:tc>
        <w:tc>
          <w:tcPr>
            <w:tcW w:w="1276" w:type="dxa"/>
            <w:tcBorders>
              <w:top w:val="nil"/>
              <w:left w:val="nil"/>
              <w:bottom w:val="single" w:color="auto" w:sz="4" w:space="0"/>
              <w:right w:val="single" w:color="auto" w:sz="8" w:space="0"/>
            </w:tcBorders>
            <w:vAlign w:val="center"/>
          </w:tcPr>
          <w:p w14:paraId="47150A2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R$ 13.300,00 </w:t>
            </w:r>
          </w:p>
        </w:tc>
      </w:tr>
      <w:tr w14:paraId="2E890E14">
        <w:tblPrEx>
          <w:tblCellMar>
            <w:top w:w="0" w:type="dxa"/>
            <w:left w:w="70" w:type="dxa"/>
            <w:bottom w:w="0" w:type="dxa"/>
            <w:right w:w="70" w:type="dxa"/>
          </w:tblCellMar>
        </w:tblPrEx>
        <w:trPr>
          <w:trHeight w:val="3528" w:hRule="atLeast"/>
        </w:trPr>
        <w:tc>
          <w:tcPr>
            <w:tcW w:w="779" w:type="dxa"/>
            <w:tcBorders>
              <w:top w:val="nil"/>
              <w:left w:val="single" w:color="auto" w:sz="8" w:space="0"/>
              <w:bottom w:val="single" w:color="auto" w:sz="4" w:space="0"/>
              <w:right w:val="single" w:color="auto" w:sz="4" w:space="0"/>
            </w:tcBorders>
            <w:vAlign w:val="center"/>
          </w:tcPr>
          <w:p w14:paraId="22EC0BB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27</w:t>
            </w:r>
          </w:p>
        </w:tc>
        <w:tc>
          <w:tcPr>
            <w:tcW w:w="879" w:type="dxa"/>
            <w:tcBorders>
              <w:top w:val="nil"/>
              <w:left w:val="nil"/>
              <w:bottom w:val="single" w:color="auto" w:sz="4" w:space="0"/>
              <w:right w:val="single" w:color="auto" w:sz="4" w:space="0"/>
            </w:tcBorders>
            <w:vAlign w:val="center"/>
          </w:tcPr>
          <w:p w14:paraId="54891EB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34266</w:t>
            </w:r>
          </w:p>
        </w:tc>
        <w:tc>
          <w:tcPr>
            <w:tcW w:w="3639" w:type="dxa"/>
            <w:tcBorders>
              <w:top w:val="nil"/>
              <w:left w:val="nil"/>
              <w:bottom w:val="single" w:color="auto" w:sz="4" w:space="0"/>
              <w:right w:val="single" w:color="auto" w:sz="4" w:space="0"/>
            </w:tcBorders>
            <w:vAlign w:val="bottom"/>
          </w:tcPr>
          <w:p w14:paraId="2B6BA8F9">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2,20 M x 2,20 M(ALTURA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5C3E1A2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1078" w:type="dxa"/>
            <w:tcBorders>
              <w:top w:val="nil"/>
              <w:left w:val="nil"/>
              <w:bottom w:val="single" w:color="auto" w:sz="4" w:space="0"/>
              <w:right w:val="single" w:color="auto" w:sz="4" w:space="0"/>
            </w:tcBorders>
            <w:vAlign w:val="center"/>
          </w:tcPr>
          <w:p w14:paraId="557EC8E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7BEEF5C0">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R$ 1.461,34 </w:t>
            </w:r>
          </w:p>
        </w:tc>
        <w:tc>
          <w:tcPr>
            <w:tcW w:w="1276" w:type="dxa"/>
            <w:tcBorders>
              <w:top w:val="nil"/>
              <w:left w:val="nil"/>
              <w:bottom w:val="single" w:color="auto" w:sz="4" w:space="0"/>
              <w:right w:val="single" w:color="auto" w:sz="8" w:space="0"/>
            </w:tcBorders>
            <w:vAlign w:val="center"/>
          </w:tcPr>
          <w:p w14:paraId="1956B5C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R$ 14.613,40 </w:t>
            </w:r>
          </w:p>
        </w:tc>
      </w:tr>
      <w:tr w14:paraId="48391C6A">
        <w:tblPrEx>
          <w:tblCellMar>
            <w:top w:w="0" w:type="dxa"/>
            <w:left w:w="70" w:type="dxa"/>
            <w:bottom w:w="0" w:type="dxa"/>
            <w:right w:w="70" w:type="dxa"/>
          </w:tblCellMar>
        </w:tblPrEx>
        <w:trPr>
          <w:trHeight w:val="977" w:hRule="atLeast"/>
        </w:trPr>
        <w:tc>
          <w:tcPr>
            <w:tcW w:w="779" w:type="dxa"/>
            <w:tcBorders>
              <w:top w:val="nil"/>
              <w:left w:val="single" w:color="auto" w:sz="8" w:space="0"/>
              <w:bottom w:val="single" w:color="auto" w:sz="4" w:space="0"/>
              <w:right w:val="single" w:color="auto" w:sz="4" w:space="0"/>
            </w:tcBorders>
            <w:vAlign w:val="center"/>
          </w:tcPr>
          <w:p w14:paraId="5AEDED3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28</w:t>
            </w:r>
          </w:p>
        </w:tc>
        <w:tc>
          <w:tcPr>
            <w:tcW w:w="879" w:type="dxa"/>
            <w:tcBorders>
              <w:top w:val="nil"/>
              <w:left w:val="nil"/>
              <w:bottom w:val="single" w:color="auto" w:sz="4" w:space="0"/>
              <w:right w:val="single" w:color="auto" w:sz="4" w:space="0"/>
            </w:tcBorders>
            <w:vAlign w:val="center"/>
          </w:tcPr>
          <w:p w14:paraId="74B2D3B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34267</w:t>
            </w:r>
          </w:p>
        </w:tc>
        <w:tc>
          <w:tcPr>
            <w:tcW w:w="3639" w:type="dxa"/>
            <w:tcBorders>
              <w:top w:val="nil"/>
              <w:left w:val="nil"/>
              <w:bottom w:val="single" w:color="auto" w:sz="4" w:space="0"/>
              <w:right w:val="single" w:color="auto" w:sz="4" w:space="0"/>
            </w:tcBorders>
            <w:vAlign w:val="bottom"/>
          </w:tcPr>
          <w:p w14:paraId="0B70E0CF">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2.00 x 3.00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046D2A1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color="auto" w:sz="4" w:space="0"/>
              <w:right w:val="single" w:color="auto" w:sz="4" w:space="0"/>
            </w:tcBorders>
            <w:vAlign w:val="center"/>
          </w:tcPr>
          <w:p w14:paraId="6AF3588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14979C5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R$ 1.504,79 </w:t>
            </w:r>
          </w:p>
        </w:tc>
        <w:tc>
          <w:tcPr>
            <w:tcW w:w="1276" w:type="dxa"/>
            <w:tcBorders>
              <w:top w:val="nil"/>
              <w:left w:val="nil"/>
              <w:bottom w:val="single" w:color="auto" w:sz="4" w:space="0"/>
              <w:right w:val="single" w:color="auto" w:sz="8" w:space="0"/>
            </w:tcBorders>
            <w:vAlign w:val="center"/>
          </w:tcPr>
          <w:p w14:paraId="17558E1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1.504,79 </w:t>
            </w:r>
          </w:p>
        </w:tc>
      </w:tr>
      <w:tr w14:paraId="05EFD65C">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5203E55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29</w:t>
            </w:r>
          </w:p>
        </w:tc>
        <w:tc>
          <w:tcPr>
            <w:tcW w:w="879" w:type="dxa"/>
            <w:tcBorders>
              <w:top w:val="nil"/>
              <w:left w:val="nil"/>
              <w:bottom w:val="single" w:color="auto" w:sz="4" w:space="0"/>
              <w:right w:val="single" w:color="auto" w:sz="4" w:space="0"/>
            </w:tcBorders>
            <w:vAlign w:val="center"/>
          </w:tcPr>
          <w:p w14:paraId="7A82752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34268</w:t>
            </w:r>
          </w:p>
        </w:tc>
        <w:tc>
          <w:tcPr>
            <w:tcW w:w="3639" w:type="dxa"/>
            <w:tcBorders>
              <w:top w:val="nil"/>
              <w:left w:val="nil"/>
              <w:bottom w:val="single" w:color="auto" w:sz="4" w:space="0"/>
              <w:right w:val="single" w:color="auto" w:sz="4" w:space="0"/>
            </w:tcBorders>
            <w:vAlign w:val="bottom"/>
          </w:tcPr>
          <w:p w14:paraId="79D6241F">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1.00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2734C54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1078" w:type="dxa"/>
            <w:tcBorders>
              <w:top w:val="nil"/>
              <w:left w:val="nil"/>
              <w:bottom w:val="single" w:color="auto" w:sz="4" w:space="0"/>
              <w:right w:val="single" w:color="auto" w:sz="4" w:space="0"/>
            </w:tcBorders>
            <w:vAlign w:val="center"/>
          </w:tcPr>
          <w:p w14:paraId="2E82078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4D6840E7">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R$ 1.083,33 </w:t>
            </w:r>
          </w:p>
        </w:tc>
        <w:tc>
          <w:tcPr>
            <w:tcW w:w="1276" w:type="dxa"/>
            <w:tcBorders>
              <w:top w:val="nil"/>
              <w:left w:val="nil"/>
              <w:bottom w:val="single" w:color="auto" w:sz="4" w:space="0"/>
              <w:right w:val="single" w:color="auto" w:sz="8" w:space="0"/>
            </w:tcBorders>
            <w:vAlign w:val="center"/>
          </w:tcPr>
          <w:p w14:paraId="338EBCD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8.666,64 </w:t>
            </w:r>
          </w:p>
        </w:tc>
      </w:tr>
      <w:tr w14:paraId="0DBFEEE2">
        <w:tblPrEx>
          <w:tblCellMar>
            <w:top w:w="0" w:type="dxa"/>
            <w:left w:w="70" w:type="dxa"/>
            <w:bottom w:w="0" w:type="dxa"/>
            <w:right w:w="70" w:type="dxa"/>
          </w:tblCellMar>
        </w:tblPrEx>
        <w:trPr>
          <w:trHeight w:val="2819" w:hRule="atLeast"/>
        </w:trPr>
        <w:tc>
          <w:tcPr>
            <w:tcW w:w="779" w:type="dxa"/>
            <w:tcBorders>
              <w:top w:val="nil"/>
              <w:left w:val="single" w:color="auto" w:sz="8" w:space="0"/>
              <w:bottom w:val="single" w:color="auto" w:sz="4" w:space="0"/>
              <w:right w:val="single" w:color="auto" w:sz="4" w:space="0"/>
            </w:tcBorders>
            <w:vAlign w:val="center"/>
          </w:tcPr>
          <w:p w14:paraId="5CFF2EC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30</w:t>
            </w:r>
          </w:p>
        </w:tc>
        <w:tc>
          <w:tcPr>
            <w:tcW w:w="879" w:type="dxa"/>
            <w:tcBorders>
              <w:top w:val="nil"/>
              <w:left w:val="nil"/>
              <w:bottom w:val="single" w:color="auto" w:sz="4" w:space="0"/>
              <w:right w:val="single" w:color="auto" w:sz="4" w:space="0"/>
            </w:tcBorders>
            <w:vAlign w:val="center"/>
          </w:tcPr>
          <w:p w14:paraId="44B1B02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34269</w:t>
            </w:r>
          </w:p>
        </w:tc>
        <w:tc>
          <w:tcPr>
            <w:tcW w:w="3639" w:type="dxa"/>
            <w:tcBorders>
              <w:top w:val="nil"/>
              <w:left w:val="nil"/>
              <w:bottom w:val="single" w:color="auto" w:sz="4" w:space="0"/>
              <w:right w:val="single" w:color="auto" w:sz="4" w:space="0"/>
            </w:tcBorders>
            <w:vAlign w:val="bottom"/>
          </w:tcPr>
          <w:p w14:paraId="6FC0972B">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1.80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4A74513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078" w:type="dxa"/>
            <w:tcBorders>
              <w:top w:val="nil"/>
              <w:left w:val="nil"/>
              <w:bottom w:val="single" w:color="auto" w:sz="4" w:space="0"/>
              <w:right w:val="single" w:color="auto" w:sz="4" w:space="0"/>
            </w:tcBorders>
            <w:vAlign w:val="center"/>
          </w:tcPr>
          <w:p w14:paraId="6B5DA4D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0289CCD6">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908,66 </w:t>
            </w:r>
          </w:p>
        </w:tc>
        <w:tc>
          <w:tcPr>
            <w:tcW w:w="1276" w:type="dxa"/>
            <w:tcBorders>
              <w:top w:val="nil"/>
              <w:left w:val="nil"/>
              <w:bottom w:val="single" w:color="auto" w:sz="4" w:space="0"/>
              <w:right w:val="single" w:color="auto" w:sz="8" w:space="0"/>
            </w:tcBorders>
            <w:vAlign w:val="center"/>
          </w:tcPr>
          <w:p w14:paraId="7B83E39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3.634,64 </w:t>
            </w:r>
          </w:p>
        </w:tc>
      </w:tr>
      <w:tr w14:paraId="2B9AFFEB">
        <w:tblPrEx>
          <w:tblCellMar>
            <w:top w:w="0" w:type="dxa"/>
            <w:left w:w="70" w:type="dxa"/>
            <w:bottom w:w="0" w:type="dxa"/>
            <w:right w:w="70" w:type="dxa"/>
          </w:tblCellMar>
        </w:tblPrEx>
        <w:trPr>
          <w:trHeight w:val="3667" w:hRule="atLeast"/>
        </w:trPr>
        <w:tc>
          <w:tcPr>
            <w:tcW w:w="779" w:type="dxa"/>
            <w:tcBorders>
              <w:top w:val="nil"/>
              <w:left w:val="single" w:color="auto" w:sz="8" w:space="0"/>
              <w:bottom w:val="single" w:color="auto" w:sz="4" w:space="0"/>
              <w:right w:val="single" w:color="auto" w:sz="4" w:space="0"/>
            </w:tcBorders>
            <w:vAlign w:val="center"/>
          </w:tcPr>
          <w:p w14:paraId="173C0D6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31</w:t>
            </w:r>
          </w:p>
        </w:tc>
        <w:tc>
          <w:tcPr>
            <w:tcW w:w="879" w:type="dxa"/>
            <w:tcBorders>
              <w:top w:val="nil"/>
              <w:left w:val="nil"/>
              <w:bottom w:val="single" w:color="auto" w:sz="4" w:space="0"/>
              <w:right w:val="single" w:color="auto" w:sz="4" w:space="0"/>
            </w:tcBorders>
            <w:vAlign w:val="center"/>
          </w:tcPr>
          <w:p w14:paraId="75DBC05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34270</w:t>
            </w:r>
          </w:p>
        </w:tc>
        <w:tc>
          <w:tcPr>
            <w:tcW w:w="3639" w:type="dxa"/>
            <w:tcBorders>
              <w:top w:val="nil"/>
              <w:left w:val="nil"/>
              <w:bottom w:val="single" w:color="auto" w:sz="4" w:space="0"/>
              <w:right w:val="single" w:color="auto" w:sz="4" w:space="0"/>
            </w:tcBorders>
            <w:vAlign w:val="bottom"/>
          </w:tcPr>
          <w:p w14:paraId="0A6F078D">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0.80 x 1.60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6081716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078" w:type="dxa"/>
            <w:tcBorders>
              <w:top w:val="nil"/>
              <w:left w:val="nil"/>
              <w:bottom w:val="single" w:color="auto" w:sz="4" w:space="0"/>
              <w:right w:val="single" w:color="auto" w:sz="4" w:space="0"/>
            </w:tcBorders>
            <w:vAlign w:val="center"/>
          </w:tcPr>
          <w:p w14:paraId="60E7892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2D86759D">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857,33 </w:t>
            </w:r>
          </w:p>
        </w:tc>
        <w:tc>
          <w:tcPr>
            <w:tcW w:w="1276" w:type="dxa"/>
            <w:tcBorders>
              <w:top w:val="nil"/>
              <w:left w:val="nil"/>
              <w:bottom w:val="single" w:color="auto" w:sz="4" w:space="0"/>
              <w:right w:val="single" w:color="auto" w:sz="8" w:space="0"/>
            </w:tcBorders>
            <w:vAlign w:val="center"/>
          </w:tcPr>
          <w:p w14:paraId="1A5AE1F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3.429,32 </w:t>
            </w:r>
          </w:p>
        </w:tc>
      </w:tr>
      <w:tr w14:paraId="4F99A8DF">
        <w:tblPrEx>
          <w:tblCellMar>
            <w:top w:w="0" w:type="dxa"/>
            <w:left w:w="70" w:type="dxa"/>
            <w:bottom w:w="0" w:type="dxa"/>
            <w:right w:w="70" w:type="dxa"/>
          </w:tblCellMar>
        </w:tblPrEx>
        <w:trPr>
          <w:trHeight w:val="278" w:hRule="atLeast"/>
        </w:trPr>
        <w:tc>
          <w:tcPr>
            <w:tcW w:w="779" w:type="dxa"/>
            <w:tcBorders>
              <w:top w:val="nil"/>
              <w:left w:val="single" w:color="auto" w:sz="8" w:space="0"/>
              <w:bottom w:val="single" w:color="auto" w:sz="8" w:space="0"/>
              <w:right w:val="single" w:color="auto" w:sz="4" w:space="0"/>
            </w:tcBorders>
            <w:vAlign w:val="center"/>
          </w:tcPr>
          <w:p w14:paraId="7458AFA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32</w:t>
            </w:r>
          </w:p>
        </w:tc>
        <w:tc>
          <w:tcPr>
            <w:tcW w:w="879" w:type="dxa"/>
            <w:tcBorders>
              <w:top w:val="nil"/>
              <w:left w:val="nil"/>
              <w:bottom w:val="single" w:color="auto" w:sz="8" w:space="0"/>
              <w:right w:val="single" w:color="auto" w:sz="4" w:space="0"/>
            </w:tcBorders>
            <w:vAlign w:val="center"/>
          </w:tcPr>
          <w:p w14:paraId="0956F52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34271</w:t>
            </w:r>
          </w:p>
        </w:tc>
        <w:tc>
          <w:tcPr>
            <w:tcW w:w="3639" w:type="dxa"/>
            <w:tcBorders>
              <w:top w:val="nil"/>
              <w:left w:val="nil"/>
              <w:bottom w:val="single" w:color="auto" w:sz="8" w:space="0"/>
              <w:right w:val="single" w:color="auto" w:sz="4" w:space="0"/>
            </w:tcBorders>
            <w:vAlign w:val="bottom"/>
          </w:tcPr>
          <w:p w14:paraId="6808AE04">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w:t>
            </w:r>
          </w:p>
          <w:p w14:paraId="3008B42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8" w:space="0"/>
              <w:right w:val="single" w:color="auto" w:sz="4" w:space="0"/>
            </w:tcBorders>
            <w:vAlign w:val="center"/>
          </w:tcPr>
          <w:p w14:paraId="58F4412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8" w:space="0"/>
              <w:right w:val="single" w:color="auto" w:sz="4" w:space="0"/>
            </w:tcBorders>
            <w:vAlign w:val="center"/>
          </w:tcPr>
          <w:p w14:paraId="2D74D1E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8" w:space="0"/>
              <w:right w:val="single" w:color="auto" w:sz="4" w:space="0"/>
            </w:tcBorders>
            <w:vAlign w:val="center"/>
          </w:tcPr>
          <w:p w14:paraId="75A58F77">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R$ 1.164,80 </w:t>
            </w:r>
          </w:p>
        </w:tc>
        <w:tc>
          <w:tcPr>
            <w:tcW w:w="1276" w:type="dxa"/>
            <w:tcBorders>
              <w:top w:val="nil"/>
              <w:left w:val="nil"/>
              <w:bottom w:val="single" w:color="auto" w:sz="8" w:space="0"/>
              <w:right w:val="single" w:color="auto" w:sz="8" w:space="0"/>
            </w:tcBorders>
            <w:vAlign w:val="center"/>
          </w:tcPr>
          <w:p w14:paraId="6B7DAE6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2.329,60 </w:t>
            </w:r>
          </w:p>
        </w:tc>
      </w:tr>
    </w:tbl>
    <w:p w14:paraId="54F0570A">
      <w:pPr>
        <w:suppressAutoHyphens w:val="0"/>
        <w:autoSpaceDE w:val="0"/>
        <w:autoSpaceDN w:val="0"/>
        <w:adjustRightInd w:val="0"/>
        <w:spacing w:line="360" w:lineRule="auto"/>
        <w:jc w:val="both"/>
        <w:rPr>
          <w:rFonts w:eastAsia="Calibri"/>
          <w:color w:val="000000"/>
          <w:szCs w:val="24"/>
          <w:lang w:eastAsia="pt-BR"/>
        </w:rPr>
      </w:pPr>
    </w:p>
    <w:p w14:paraId="23480748">
      <w:pPr>
        <w:suppressAutoHyphens w:val="0"/>
        <w:autoSpaceDE w:val="0"/>
        <w:autoSpaceDN w:val="0"/>
        <w:adjustRightInd w:val="0"/>
        <w:spacing w:line="360" w:lineRule="auto"/>
        <w:jc w:val="both"/>
        <w:rPr>
          <w:rFonts w:eastAsia="Calibri"/>
          <w:color w:val="000000"/>
          <w:szCs w:val="24"/>
          <w:lang w:eastAsia="pt-BR"/>
        </w:rPr>
      </w:pPr>
    </w:p>
    <w:p w14:paraId="1D4C172C">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Valor total de R$ 124.162,24.</w:t>
      </w:r>
    </w:p>
    <w:p w14:paraId="0B21A770">
      <w:pPr>
        <w:suppressAutoHyphens w:val="0"/>
        <w:autoSpaceDE w:val="0"/>
        <w:autoSpaceDN w:val="0"/>
        <w:adjustRightInd w:val="0"/>
        <w:spacing w:line="360" w:lineRule="auto"/>
        <w:jc w:val="both"/>
        <w:rPr>
          <w:rFonts w:eastAsia="Calibri"/>
          <w:szCs w:val="24"/>
          <w:lang w:eastAsia="pt-BR"/>
        </w:rPr>
      </w:pPr>
      <w:r>
        <w:rPr>
          <w:rFonts w:eastAsia="Calibri"/>
          <w:b/>
          <w:bCs/>
          <w:szCs w:val="24"/>
          <w:lang w:eastAsia="pt-BR"/>
        </w:rPr>
        <w:t>1.2.</w:t>
      </w:r>
      <w:r>
        <w:rPr>
          <w:rFonts w:eastAsia="Calibri"/>
          <w:szCs w:val="24"/>
          <w:lang w:eastAsia="pt-BR"/>
        </w:rPr>
        <w:t xml:space="preserve"> Os bens objeto desta contratação são caracterizados como comuns, cujos padrões de desempenho e qualidade foram objetivamente definidos através de especificações usuais de mercado. </w:t>
      </w:r>
    </w:p>
    <w:p w14:paraId="25212CDC">
      <w:pPr>
        <w:suppressAutoHyphens w:val="0"/>
        <w:autoSpaceDE w:val="0"/>
        <w:autoSpaceDN w:val="0"/>
        <w:adjustRightInd w:val="0"/>
        <w:spacing w:line="360" w:lineRule="auto"/>
        <w:jc w:val="both"/>
        <w:rPr>
          <w:rFonts w:eastAsia="Calibri"/>
          <w:szCs w:val="24"/>
          <w:lang w:eastAsia="pt-BR"/>
        </w:rPr>
      </w:pPr>
      <w:r>
        <w:rPr>
          <w:rFonts w:eastAsia="Calibri"/>
          <w:b/>
          <w:bCs/>
          <w:szCs w:val="24"/>
          <w:lang w:eastAsia="pt-BR"/>
        </w:rPr>
        <w:t>1.3.</w:t>
      </w:r>
      <w:r>
        <w:rPr>
          <w:rFonts w:eastAsia="Calibri"/>
          <w:szCs w:val="24"/>
          <w:lang w:eastAsia="pt-BR"/>
        </w:rPr>
        <w:t xml:space="preserve"> O objeto desta contratação não se enquadra como sendo de bem de luxo, conforme decreto 109 de 19 de setembro de 2022.</w:t>
      </w:r>
    </w:p>
    <w:p w14:paraId="04C2BE1B">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1.4.</w:t>
      </w:r>
      <w:r>
        <w:rPr>
          <w:rFonts w:eastAsia="Calibri"/>
          <w:color w:val="000000"/>
          <w:szCs w:val="24"/>
          <w:lang w:eastAsia="pt-BR"/>
        </w:rPr>
        <w:t xml:space="preserve"> O prazo de vigência da contratação é de 12 (doze) meses contados do primeiro dia útil subsequente a publicação do extrato da ARP no diário oficial do município, na forma do artigo 105 da Lei n° 14.133, de 2021.</w:t>
      </w:r>
    </w:p>
    <w:p w14:paraId="3E03BE8B">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1.5</w:t>
      </w:r>
      <w:r>
        <w:rPr>
          <w:rFonts w:eastAsia="Calibri"/>
          <w:color w:val="000000"/>
          <w:szCs w:val="24"/>
          <w:lang w:eastAsia="pt-BR"/>
        </w:rPr>
        <w:t>. A ARP oferece maior detalhamento das regras que serão aplicadas em relação à vigência da contratação.</w:t>
      </w:r>
    </w:p>
    <w:p w14:paraId="30B19ED5">
      <w:pPr>
        <w:suppressAutoHyphens w:val="0"/>
        <w:autoSpaceDE w:val="0"/>
        <w:autoSpaceDN w:val="0"/>
        <w:adjustRightInd w:val="0"/>
        <w:spacing w:line="360" w:lineRule="auto"/>
        <w:jc w:val="both"/>
        <w:rPr>
          <w:rFonts w:eastAsia="Calibri"/>
          <w:color w:val="000000"/>
          <w:szCs w:val="24"/>
          <w:lang w:eastAsia="pt-BR"/>
        </w:rPr>
      </w:pPr>
    </w:p>
    <w:p w14:paraId="29271E08">
      <w:pPr>
        <w:keepNext/>
        <w:keepLines/>
        <w:suppressAutoHyphens w:val="0"/>
        <w:autoSpaceDE w:val="0"/>
        <w:autoSpaceDN w:val="0"/>
        <w:adjustRightInd w:val="0"/>
        <w:spacing w:line="360" w:lineRule="auto"/>
        <w:ind w:left="360" w:hanging="360"/>
        <w:jc w:val="both"/>
        <w:rPr>
          <w:rFonts w:eastAsia="Calibri"/>
          <w:b/>
          <w:bCs/>
          <w:color w:val="000000"/>
          <w:szCs w:val="24"/>
          <w:lang w:eastAsia="pt-BR"/>
        </w:rPr>
      </w:pPr>
      <w:r>
        <w:rPr>
          <w:rFonts w:eastAsia="Calibri"/>
          <w:b/>
          <w:bCs/>
          <w:szCs w:val="24"/>
          <w:lang w:eastAsia="pt-BR"/>
        </w:rPr>
        <w:t>2.</w:t>
      </w:r>
      <w:r>
        <w:rPr>
          <w:rFonts w:eastAsia="Calibri"/>
          <w:b/>
          <w:bCs/>
          <w:szCs w:val="24"/>
          <w:lang w:eastAsia="pt-BR"/>
        </w:rPr>
        <w:tab/>
      </w:r>
      <w:r>
        <w:rPr>
          <w:rFonts w:eastAsia="Calibri"/>
          <w:b/>
          <w:bCs/>
          <w:color w:val="000000"/>
          <w:szCs w:val="24"/>
          <w:lang w:eastAsia="pt-BR"/>
        </w:rPr>
        <w:t>FUNDAMENTAÇÃO E DESCRIÇÃO DA NECESSIDADE DA CONTRATAÇÃO</w:t>
      </w:r>
    </w:p>
    <w:p w14:paraId="5CB7EBC7">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2.1.</w:t>
      </w:r>
      <w:r>
        <w:rPr>
          <w:rFonts w:eastAsia="Calibri"/>
          <w:color w:val="000000"/>
          <w:szCs w:val="24"/>
          <w:lang w:eastAsia="pt-BR"/>
        </w:rPr>
        <w:t xml:space="preserve"> A Fundamentação da Contratação e de seus quantitativos encontra-se pormenorizada em Tópico específico dos Estudos Técnicos Preliminares.</w:t>
      </w:r>
    </w:p>
    <w:p w14:paraId="16DD0717">
      <w:pPr>
        <w:suppressAutoHyphens w:val="0"/>
        <w:autoSpaceDE w:val="0"/>
        <w:autoSpaceDN w:val="0"/>
        <w:adjustRightInd w:val="0"/>
        <w:spacing w:line="360" w:lineRule="auto"/>
        <w:ind w:right="-1"/>
        <w:jc w:val="both"/>
        <w:rPr>
          <w:rFonts w:eastAsia="Calibri"/>
          <w:color w:val="1F497D"/>
          <w:szCs w:val="24"/>
          <w:lang w:eastAsia="pt-BR"/>
        </w:rPr>
      </w:pPr>
      <w:r>
        <w:rPr>
          <w:rFonts w:eastAsia="Calibri"/>
          <w:b/>
          <w:bCs/>
          <w:color w:val="000000"/>
          <w:szCs w:val="24"/>
          <w:lang w:eastAsia="pt-BR"/>
        </w:rPr>
        <w:t>2.2</w:t>
      </w:r>
      <w:r>
        <w:rPr>
          <w:rFonts w:eastAsia="Calibri"/>
          <w:color w:val="000000"/>
          <w:szCs w:val="24"/>
          <w:lang w:eastAsia="pt-BR"/>
        </w:rPr>
        <w:t>.</w:t>
      </w:r>
      <w:r>
        <w:rPr>
          <w:rFonts w:eastAsia="Calibri"/>
          <w:szCs w:val="24"/>
          <w:lang w:eastAsia="pt-BR"/>
        </w:rPr>
        <w:t xml:space="preserve"> A futura contratação está devidamente alinhada ao Plano de Contratações Anual (2025), publicado no dia Portal nacional das contratações no dia 19/12/2024, disponível no link </w:t>
      </w:r>
      <w:r>
        <w:fldChar w:fldCharType="begin"/>
      </w:r>
      <w:r>
        <w:instrText xml:space="preserve"> HYPERLINK "https://pncp.gov.br/app/pca/03217924000132/2025" </w:instrText>
      </w:r>
      <w:r>
        <w:fldChar w:fldCharType="separate"/>
      </w:r>
      <w:r>
        <w:rPr>
          <w:rFonts w:eastAsia="Calibri"/>
          <w:szCs w:val="24"/>
          <w:lang w:eastAsia="pt-BR"/>
        </w:rPr>
        <w:t>https://pncp.gov.br/app/pca/03217924000132/2025</w:t>
      </w:r>
      <w:r>
        <w:rPr>
          <w:rFonts w:eastAsia="Calibri"/>
          <w:szCs w:val="24"/>
          <w:lang w:eastAsia="pt-BR"/>
        </w:rPr>
        <w:fldChar w:fldCharType="end"/>
      </w:r>
      <w:r>
        <w:rPr>
          <w:rFonts w:eastAsia="Calibri"/>
          <w:color w:val="1F497D"/>
          <w:szCs w:val="24"/>
          <w:lang w:eastAsia="pt-BR"/>
        </w:rPr>
        <w:t>.</w:t>
      </w:r>
    </w:p>
    <w:p w14:paraId="3865B002">
      <w:pPr>
        <w:suppressAutoHyphens w:val="0"/>
        <w:autoSpaceDE w:val="0"/>
        <w:autoSpaceDN w:val="0"/>
        <w:adjustRightInd w:val="0"/>
        <w:spacing w:line="360" w:lineRule="auto"/>
        <w:ind w:right="-1"/>
        <w:jc w:val="both"/>
        <w:rPr>
          <w:rFonts w:eastAsia="Calibri"/>
          <w:color w:val="1F497D"/>
          <w:szCs w:val="24"/>
          <w:lang w:eastAsia="pt-BR"/>
        </w:rPr>
      </w:pPr>
    </w:p>
    <w:p w14:paraId="301E0E7A">
      <w:pPr>
        <w:keepNext/>
        <w:keepLines/>
        <w:suppressAutoHyphens w:val="0"/>
        <w:autoSpaceDE w:val="0"/>
        <w:autoSpaceDN w:val="0"/>
        <w:adjustRightInd w:val="0"/>
        <w:spacing w:line="360" w:lineRule="auto"/>
        <w:jc w:val="both"/>
        <w:rPr>
          <w:rFonts w:eastAsia="Calibri"/>
          <w:b/>
          <w:bCs/>
          <w:color w:val="000000"/>
          <w:szCs w:val="24"/>
          <w:lang w:eastAsia="pt-BR"/>
        </w:rPr>
      </w:pPr>
      <w:r>
        <w:rPr>
          <w:rFonts w:eastAsia="Calibri"/>
          <w:b/>
          <w:bCs/>
          <w:szCs w:val="24"/>
          <w:lang w:eastAsia="pt-BR"/>
        </w:rPr>
        <w:t>3.</w:t>
      </w:r>
      <w:r>
        <w:rPr>
          <w:rFonts w:eastAsia="Calibri"/>
          <w:b/>
          <w:bCs/>
          <w:szCs w:val="24"/>
          <w:lang w:eastAsia="pt-BR"/>
        </w:rPr>
        <w:tab/>
      </w:r>
      <w:r>
        <w:rPr>
          <w:rFonts w:eastAsia="Calibri"/>
          <w:b/>
          <w:bCs/>
          <w:color w:val="000000"/>
          <w:szCs w:val="24"/>
          <w:lang w:eastAsia="pt-BR"/>
        </w:rPr>
        <w:t>DESCRIÇÃO DA SOLUÇÃO COMO UM TODO CONSIDERADO O CICLO DE VIDA DO OBJETO E ESPECIFICAÇÃO DO PRODUTO</w:t>
      </w:r>
    </w:p>
    <w:p w14:paraId="0C1E1851">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3.1.</w:t>
      </w:r>
      <w:r>
        <w:rPr>
          <w:rFonts w:eastAsia="Calibri"/>
          <w:color w:val="000000"/>
          <w:szCs w:val="24"/>
          <w:lang w:eastAsia="pt-BR"/>
        </w:rPr>
        <w:t xml:space="preserve"> A descrição da solução como um todo encontra-se pormenorizada em tópico específico dos Estudos Técnicos Preliminares.</w:t>
      </w:r>
    </w:p>
    <w:p w14:paraId="7997A587">
      <w:pPr>
        <w:suppressAutoHyphens w:val="0"/>
        <w:autoSpaceDE w:val="0"/>
        <w:autoSpaceDN w:val="0"/>
        <w:adjustRightInd w:val="0"/>
        <w:spacing w:line="360" w:lineRule="auto"/>
        <w:jc w:val="both"/>
        <w:rPr>
          <w:rFonts w:eastAsia="Calibri"/>
          <w:color w:val="000000"/>
          <w:szCs w:val="24"/>
          <w:lang w:eastAsia="pt-BR"/>
        </w:rPr>
      </w:pPr>
    </w:p>
    <w:p w14:paraId="49B61E88">
      <w:pPr>
        <w:keepNext/>
        <w:keepLines/>
        <w:suppressAutoHyphens w:val="0"/>
        <w:autoSpaceDE w:val="0"/>
        <w:autoSpaceDN w:val="0"/>
        <w:adjustRightInd w:val="0"/>
        <w:spacing w:line="360" w:lineRule="auto"/>
        <w:ind w:left="360" w:hanging="360"/>
        <w:jc w:val="both"/>
        <w:rPr>
          <w:rFonts w:eastAsia="Calibri"/>
          <w:b/>
          <w:bCs/>
          <w:color w:val="000000"/>
          <w:szCs w:val="24"/>
          <w:lang w:eastAsia="pt-BR"/>
        </w:rPr>
      </w:pPr>
      <w:r>
        <w:rPr>
          <w:rFonts w:eastAsia="Calibri"/>
          <w:b/>
          <w:bCs/>
          <w:szCs w:val="24"/>
          <w:lang w:eastAsia="pt-BR"/>
        </w:rPr>
        <w:t>4.</w:t>
      </w:r>
      <w:r>
        <w:rPr>
          <w:rFonts w:eastAsia="Calibri"/>
          <w:b/>
          <w:bCs/>
          <w:szCs w:val="24"/>
          <w:lang w:eastAsia="pt-BR"/>
        </w:rPr>
        <w:tab/>
      </w:r>
      <w:r>
        <w:rPr>
          <w:rFonts w:eastAsia="Calibri"/>
          <w:b/>
          <w:bCs/>
          <w:color w:val="000000"/>
          <w:szCs w:val="24"/>
          <w:lang w:eastAsia="pt-BR"/>
        </w:rPr>
        <w:t>REQUISITOS DA CONTRATAÇÃO</w:t>
      </w:r>
    </w:p>
    <w:p w14:paraId="6ABE3639">
      <w:pPr>
        <w:suppressAutoHyphens w:val="0"/>
        <w:autoSpaceDE w:val="0"/>
        <w:autoSpaceDN w:val="0"/>
        <w:adjustRightInd w:val="0"/>
        <w:spacing w:line="360" w:lineRule="auto"/>
        <w:jc w:val="both"/>
        <w:rPr>
          <w:rFonts w:eastAsia="Calibri"/>
          <w:color w:val="000000"/>
          <w:szCs w:val="24"/>
          <w:lang w:eastAsia="pt-BR"/>
        </w:rPr>
      </w:pPr>
      <w:r>
        <w:rPr>
          <w:rFonts w:eastAsia="Calibri"/>
          <w:szCs w:val="24"/>
          <w:lang w:eastAsia="pt-BR"/>
        </w:rPr>
        <w:t>4.1.</w:t>
      </w:r>
      <w:r>
        <w:rPr>
          <w:rFonts w:eastAsia="Calibri"/>
          <w:szCs w:val="24"/>
          <w:lang w:eastAsia="pt-BR"/>
        </w:rPr>
        <w:tab/>
      </w:r>
      <w:r>
        <w:rPr>
          <w:rFonts w:eastAsia="Calibri"/>
          <w:color w:val="000000"/>
          <w:szCs w:val="24"/>
          <w:lang w:eastAsia="pt-BR"/>
        </w:rPr>
        <w:t xml:space="preserve">Os requisitos da contratação estão inseridos na descrição das especificações do objeto que constam no item 1.1. </w:t>
      </w:r>
    </w:p>
    <w:p w14:paraId="1E331B5A">
      <w:pPr>
        <w:suppressAutoHyphens w:val="0"/>
        <w:autoSpaceDE w:val="0"/>
        <w:autoSpaceDN w:val="0"/>
        <w:adjustRightInd w:val="0"/>
        <w:spacing w:line="360" w:lineRule="auto"/>
        <w:jc w:val="both"/>
        <w:rPr>
          <w:rFonts w:eastAsia="Calibri"/>
          <w:color w:val="000000"/>
          <w:szCs w:val="24"/>
          <w:lang w:eastAsia="pt-BR"/>
        </w:rPr>
      </w:pPr>
    </w:p>
    <w:p w14:paraId="29ACFBBA">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4.3. Subcontratação</w:t>
      </w:r>
    </w:p>
    <w:p w14:paraId="6C41D29A">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Não é admitida a subcontratação do objeto contratual.</w:t>
      </w:r>
    </w:p>
    <w:p w14:paraId="34395B74">
      <w:pPr>
        <w:suppressAutoHyphens w:val="0"/>
        <w:autoSpaceDE w:val="0"/>
        <w:autoSpaceDN w:val="0"/>
        <w:adjustRightInd w:val="0"/>
        <w:spacing w:line="360" w:lineRule="auto"/>
        <w:jc w:val="both"/>
        <w:rPr>
          <w:rFonts w:eastAsia="Calibri"/>
          <w:color w:val="000000"/>
          <w:szCs w:val="24"/>
          <w:lang w:eastAsia="pt-BR"/>
        </w:rPr>
      </w:pPr>
    </w:p>
    <w:p w14:paraId="17762E36">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4.4. Garantia da contratação</w:t>
      </w:r>
    </w:p>
    <w:p w14:paraId="2BD78285">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Não haverá exigência da garantia da contratação dos </w:t>
      </w:r>
      <w:r>
        <w:fldChar w:fldCharType="begin"/>
      </w:r>
      <w:r>
        <w:instrText xml:space="preserve"> HYPERLINK "http://www.planalto.gov.br/ccivil_03/_ato2019-2022/2021/lei/L14133.htm" \l "art96" </w:instrText>
      </w:r>
      <w:r>
        <w:fldChar w:fldCharType="separate"/>
      </w:r>
      <w:r>
        <w:rPr>
          <w:rFonts w:eastAsia="Calibri"/>
          <w:color w:val="0000FF"/>
          <w:szCs w:val="24"/>
          <w:u w:val="single"/>
          <w:lang w:eastAsia="pt-BR"/>
        </w:rPr>
        <w:t>artigos 96 e seguintes da Lei nº 14.133, de 2021</w:t>
      </w:r>
      <w:r>
        <w:rPr>
          <w:rFonts w:eastAsia="Calibri"/>
          <w:color w:val="0000FF"/>
          <w:szCs w:val="24"/>
          <w:u w:val="single"/>
          <w:lang w:eastAsia="pt-BR"/>
        </w:rPr>
        <w:fldChar w:fldCharType="end"/>
      </w:r>
      <w:r>
        <w:rPr>
          <w:rFonts w:eastAsia="Calibri"/>
          <w:color w:val="000000"/>
          <w:szCs w:val="24"/>
          <w:lang w:eastAsia="pt-BR"/>
        </w:rPr>
        <w:t>, pelas razões constantes do Estudo Técnico Preliminar.</w:t>
      </w:r>
    </w:p>
    <w:p w14:paraId="05B6E4F0">
      <w:pPr>
        <w:suppressAutoHyphens w:val="0"/>
        <w:autoSpaceDE w:val="0"/>
        <w:autoSpaceDN w:val="0"/>
        <w:adjustRightInd w:val="0"/>
        <w:spacing w:line="360" w:lineRule="auto"/>
        <w:jc w:val="both"/>
        <w:rPr>
          <w:rFonts w:eastAsia="Calibri"/>
          <w:color w:val="000000"/>
          <w:szCs w:val="24"/>
          <w:lang w:eastAsia="pt-BR"/>
        </w:rPr>
      </w:pPr>
    </w:p>
    <w:p w14:paraId="54797CA4">
      <w:pPr>
        <w:keepNext/>
        <w:keepLines/>
        <w:suppressAutoHyphens w:val="0"/>
        <w:autoSpaceDE w:val="0"/>
        <w:autoSpaceDN w:val="0"/>
        <w:adjustRightInd w:val="0"/>
        <w:spacing w:line="360" w:lineRule="auto"/>
        <w:ind w:left="360" w:hanging="360"/>
        <w:jc w:val="both"/>
        <w:rPr>
          <w:rFonts w:eastAsia="Calibri"/>
          <w:b/>
          <w:bCs/>
          <w:color w:val="000000"/>
          <w:szCs w:val="24"/>
          <w:lang w:eastAsia="pt-BR"/>
        </w:rPr>
      </w:pPr>
      <w:r>
        <w:rPr>
          <w:rFonts w:eastAsia="Calibri"/>
          <w:b/>
          <w:bCs/>
          <w:szCs w:val="24"/>
          <w:lang w:eastAsia="pt-BR"/>
        </w:rPr>
        <w:t>5.</w:t>
      </w:r>
      <w:r>
        <w:rPr>
          <w:rFonts w:eastAsia="Calibri"/>
          <w:b/>
          <w:bCs/>
          <w:szCs w:val="24"/>
          <w:lang w:eastAsia="pt-BR"/>
        </w:rPr>
        <w:tab/>
      </w:r>
      <w:r>
        <w:rPr>
          <w:rFonts w:eastAsia="Calibri"/>
          <w:b/>
          <w:bCs/>
          <w:color w:val="000000"/>
          <w:szCs w:val="24"/>
          <w:lang w:eastAsia="pt-BR"/>
        </w:rPr>
        <w:t>MODELO DE EXECUÇÃO DO OBJETO</w:t>
      </w:r>
    </w:p>
    <w:p w14:paraId="53AF74EC">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Condições de Entrega</w:t>
      </w:r>
    </w:p>
    <w:p w14:paraId="0D25574E">
      <w:pPr>
        <w:autoSpaceDE w:val="0"/>
        <w:autoSpaceDN w:val="0"/>
        <w:adjustRightInd w:val="0"/>
        <w:spacing w:before="120" w:after="120" w:line="360" w:lineRule="auto"/>
        <w:jc w:val="both"/>
        <w:rPr>
          <w:rFonts w:eastAsia="Calibri"/>
          <w:kern w:val="3"/>
          <w:szCs w:val="24"/>
          <w:lang w:eastAsia="pt-BR"/>
        </w:rPr>
      </w:pPr>
      <w:r>
        <w:rPr>
          <w:rFonts w:eastAsia="Calibri"/>
          <w:b/>
          <w:bCs/>
          <w:kern w:val="3"/>
          <w:szCs w:val="24"/>
          <w:lang w:eastAsia="pt-BR"/>
        </w:rPr>
        <w:t>5.1</w:t>
      </w:r>
      <w:r>
        <w:rPr>
          <w:rFonts w:eastAsia="Calibri"/>
          <w:kern w:val="3"/>
          <w:szCs w:val="24"/>
          <w:lang w:eastAsia="pt-BR"/>
        </w:rPr>
        <w:t>. O prazo de entrega dos bens é de 15(quinze) dias uteis, a contar da emissão da Ordem de Fornecimento emitida pelo Departamento de Compras, de forma parcela, conforme a necessidade da administração e sem quantidade mínima, e deverão ser instalados nos</w:t>
      </w:r>
      <w:r>
        <w:rPr>
          <w:rFonts w:eastAsia="Calibri"/>
          <w:color w:val="000000"/>
          <w:kern w:val="3"/>
          <w:szCs w:val="24"/>
          <w:lang w:eastAsia="pt-BR"/>
        </w:rPr>
        <w:t xml:space="preserve"> seguintes endereços conforme a secretaria solicitante; em dias uteis das 07:00 </w:t>
      </w:r>
      <w:r>
        <w:rPr>
          <w:rFonts w:eastAsia="Calibri"/>
          <w:color w:val="000000"/>
          <w:kern w:val="3"/>
          <w:szCs w:val="24"/>
          <w:highlight w:val="white"/>
          <w:lang w:eastAsia="pt-BR"/>
        </w:rPr>
        <w:t>às</w:t>
      </w:r>
      <w:r>
        <w:rPr>
          <w:rFonts w:eastAsia="Calibri"/>
          <w:color w:val="000000"/>
          <w:kern w:val="3"/>
          <w:szCs w:val="24"/>
          <w:lang w:eastAsia="pt-BR"/>
        </w:rPr>
        <w:t xml:space="preserve"> 11:00 e das 13:00 </w:t>
      </w:r>
      <w:r>
        <w:rPr>
          <w:rFonts w:eastAsia="Calibri"/>
          <w:color w:val="000000"/>
          <w:kern w:val="3"/>
          <w:szCs w:val="24"/>
          <w:highlight w:val="white"/>
          <w:lang w:eastAsia="pt-BR"/>
        </w:rPr>
        <w:t>às</w:t>
      </w:r>
      <w:r>
        <w:rPr>
          <w:rFonts w:eastAsia="Calibri"/>
          <w:color w:val="000000"/>
          <w:kern w:val="3"/>
          <w:szCs w:val="24"/>
          <w:lang w:eastAsia="pt-BR"/>
        </w:rPr>
        <w:t xml:space="preserve"> 17:00 hs.</w:t>
      </w:r>
    </w:p>
    <w:p w14:paraId="6C930F72">
      <w:pPr>
        <w:suppressAutoHyphens w:val="0"/>
        <w:autoSpaceDE w:val="0"/>
        <w:autoSpaceDN w:val="0"/>
        <w:adjustRightInd w:val="0"/>
        <w:spacing w:line="360" w:lineRule="auto"/>
        <w:jc w:val="both"/>
        <w:rPr>
          <w:rFonts w:eastAsia="Calibri"/>
          <w:b/>
          <w:bCs/>
          <w:color w:val="000000"/>
          <w:szCs w:val="24"/>
          <w:lang w:eastAsia="pt-BR"/>
        </w:rPr>
      </w:pPr>
      <w:r>
        <w:rPr>
          <w:rFonts w:eastAsia="Calibri"/>
          <w:b/>
          <w:bCs/>
          <w:color w:val="000000"/>
          <w:szCs w:val="24"/>
          <w:lang w:eastAsia="pt-BR"/>
        </w:rPr>
        <w:t>Secretaria Municipal de Saúde;</w:t>
      </w:r>
    </w:p>
    <w:p w14:paraId="60C46686">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 Rua Duque de caxias, 221- Centro - CEP 79270-000.</w:t>
      </w:r>
    </w:p>
    <w:p w14:paraId="699E01E9">
      <w:pPr>
        <w:suppressAutoHyphens w:val="0"/>
        <w:autoSpaceDE w:val="0"/>
        <w:autoSpaceDN w:val="0"/>
        <w:adjustRightInd w:val="0"/>
        <w:spacing w:line="360" w:lineRule="auto"/>
        <w:jc w:val="both"/>
        <w:rPr>
          <w:rFonts w:eastAsia="Calibri"/>
          <w:b/>
          <w:bCs/>
          <w:color w:val="000000"/>
          <w:szCs w:val="24"/>
          <w:lang w:eastAsia="pt-BR"/>
        </w:rPr>
      </w:pPr>
      <w:r>
        <w:rPr>
          <w:rFonts w:eastAsia="Calibri"/>
          <w:b/>
          <w:bCs/>
          <w:color w:val="000000"/>
          <w:szCs w:val="24"/>
          <w:lang w:eastAsia="pt-BR"/>
        </w:rPr>
        <w:t>Secretaria Municipal de Educação;</w:t>
      </w:r>
    </w:p>
    <w:p w14:paraId="6DBC42AD">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Rua Gerônimo Martins Leite N°, Centro- CEP 79270-000.</w:t>
      </w:r>
    </w:p>
    <w:p w14:paraId="6A56CA6D">
      <w:pPr>
        <w:suppressAutoHyphens w:val="0"/>
        <w:autoSpaceDE w:val="0"/>
        <w:autoSpaceDN w:val="0"/>
        <w:adjustRightInd w:val="0"/>
        <w:spacing w:line="360" w:lineRule="auto"/>
        <w:jc w:val="both"/>
        <w:rPr>
          <w:rFonts w:eastAsia="Calibri"/>
          <w:b/>
          <w:bCs/>
          <w:color w:val="000000"/>
          <w:szCs w:val="24"/>
          <w:lang w:eastAsia="pt-BR"/>
        </w:rPr>
      </w:pPr>
      <w:r>
        <w:rPr>
          <w:rFonts w:eastAsia="Calibri"/>
          <w:b/>
          <w:bCs/>
          <w:color w:val="000000"/>
          <w:szCs w:val="24"/>
          <w:lang w:eastAsia="pt-BR"/>
        </w:rPr>
        <w:t>Secretaria Municipal de Assistência social;</w:t>
      </w:r>
    </w:p>
    <w:p w14:paraId="1EA0A0E0">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Rua Duque de caxias, 411- Centro - CEP 79270-000.</w:t>
      </w:r>
    </w:p>
    <w:p w14:paraId="13486CB9">
      <w:pPr>
        <w:suppressAutoHyphens w:val="0"/>
        <w:autoSpaceDE w:val="0"/>
        <w:autoSpaceDN w:val="0"/>
        <w:adjustRightInd w:val="0"/>
        <w:spacing w:line="360" w:lineRule="auto"/>
        <w:jc w:val="both"/>
        <w:rPr>
          <w:rFonts w:eastAsia="Calibri"/>
          <w:b/>
          <w:bCs/>
          <w:color w:val="000000"/>
          <w:szCs w:val="24"/>
          <w:lang w:eastAsia="pt-BR"/>
        </w:rPr>
      </w:pPr>
      <w:r>
        <w:rPr>
          <w:rFonts w:eastAsia="Calibri"/>
          <w:b/>
          <w:bCs/>
          <w:color w:val="000000"/>
          <w:szCs w:val="24"/>
          <w:lang w:eastAsia="pt-BR"/>
        </w:rPr>
        <w:t xml:space="preserve">Prefeitura Municipal/ Departamentos de Compras. </w:t>
      </w:r>
    </w:p>
    <w:p w14:paraId="5C7FA349">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Av. Libindo Ferreira Leite, 160  - Centro, 79270-000.</w:t>
      </w:r>
    </w:p>
    <w:p w14:paraId="27A81C8F">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5.2.</w:t>
      </w:r>
      <w:r>
        <w:rPr>
          <w:rFonts w:eastAsia="Calibri"/>
          <w:szCs w:val="24"/>
          <w:lang w:eastAsia="pt-BR"/>
        </w:rPr>
        <w:t xml:space="preserve"> A instalação do material será agendada com o departamento de compras, através de e-mail oficial(</w:t>
      </w:r>
      <w:r>
        <w:fldChar w:fldCharType="begin"/>
      </w:r>
      <w:r>
        <w:instrText xml:space="preserve"> HYPERLINK "mailto:compras@pmcaracol.ms.gov.br" </w:instrText>
      </w:r>
      <w:r>
        <w:fldChar w:fldCharType="separate"/>
      </w:r>
      <w:r>
        <w:rPr>
          <w:rFonts w:eastAsia="Calibri"/>
          <w:color w:val="0000FF"/>
          <w:szCs w:val="24"/>
          <w:u w:val="single"/>
          <w:lang w:eastAsia="pt-BR"/>
        </w:rPr>
        <w:t>compras@pmcaracol.ms.gov.br</w:t>
      </w:r>
      <w:r>
        <w:rPr>
          <w:rFonts w:eastAsia="Calibri"/>
          <w:color w:val="0000FF"/>
          <w:szCs w:val="24"/>
          <w:u w:val="single"/>
          <w:lang w:eastAsia="pt-BR"/>
        </w:rPr>
        <w:fldChar w:fldCharType="end"/>
      </w:r>
      <w:r>
        <w:rPr>
          <w:rFonts w:eastAsia="Calibri"/>
          <w:szCs w:val="24"/>
          <w:lang w:eastAsia="pt-BR"/>
        </w:rPr>
        <w:t xml:space="preserve">) após confirmação com a secretária demandante. </w:t>
      </w:r>
    </w:p>
    <w:p w14:paraId="775C6925">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5.3</w:t>
      </w:r>
      <w:r>
        <w:rPr>
          <w:rFonts w:eastAsia="Calibri"/>
          <w:color w:val="000000"/>
          <w:szCs w:val="24"/>
          <w:lang w:eastAsia="pt-BR"/>
        </w:rPr>
        <w:t xml:space="preserve">. </w:t>
      </w:r>
      <w:r>
        <w:rPr>
          <w:rFonts w:eastAsia="Calibri"/>
          <w:szCs w:val="24"/>
          <w:lang w:eastAsia="pt-BR"/>
        </w:rPr>
        <w:t>A aquisição dos produtos se dará a partir da publicação do extrato da Ata de Registro no Diário oficial do Município</w:t>
      </w:r>
    </w:p>
    <w:p w14:paraId="2F3AB06C">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5.4</w:t>
      </w:r>
      <w:r>
        <w:rPr>
          <w:rFonts w:eastAsia="Calibri"/>
          <w:color w:val="000000"/>
          <w:szCs w:val="24"/>
          <w:lang w:eastAsia="pt-BR"/>
        </w:rPr>
        <w:t>. As requisições serão em formulário padrão da Prefeitura Municipal de Caracol.</w:t>
      </w:r>
    </w:p>
    <w:p w14:paraId="798EDBFF">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 xml:space="preserve">5.5. </w:t>
      </w:r>
      <w:r>
        <w:rPr>
          <w:rFonts w:eastAsia="Calibri"/>
          <w:color w:val="000000"/>
          <w:szCs w:val="24"/>
          <w:lang w:eastAsia="pt-BR"/>
        </w:rPr>
        <w:t>Nos preços cotados deverão estar incluídos todos os tributos incidentes ou que venham a incidir sobre o produto, encargos trabalhistas e previdenciários, frete, carga e descarga, no local que a Prefeitura designar.</w:t>
      </w:r>
    </w:p>
    <w:p w14:paraId="789AD1C0">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5.6. Todos os produtos devem ser de ótima qualidade, cumprir com todas as especificações do edital e estar de acordo com a legislação específica vigente e pertinente.</w:t>
      </w:r>
    </w:p>
    <w:p w14:paraId="666DA65D">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5.7</w:t>
      </w:r>
      <w:r>
        <w:rPr>
          <w:rFonts w:eastAsia="Calibri"/>
          <w:color w:val="000000"/>
          <w:szCs w:val="24"/>
          <w:lang w:eastAsia="pt-BR"/>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1794221E">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Garantia, manutenção e assistência técnica</w:t>
      </w:r>
    </w:p>
    <w:p w14:paraId="28ED94B1">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5.8.</w:t>
      </w:r>
      <w:r>
        <w:rPr>
          <w:rFonts w:eastAsia="Calibri"/>
          <w:color w:val="000000"/>
          <w:szCs w:val="24"/>
          <w:lang w:eastAsia="pt-BR"/>
        </w:rPr>
        <w:t xml:space="preserve"> O prazo de garantia é aquele estabelecido na Lei nº 8.078, de 11 de setembro de 1990 (Código de Defesa do Consumidor).</w:t>
      </w:r>
    </w:p>
    <w:p w14:paraId="3D6E2231">
      <w:pPr>
        <w:suppressAutoHyphens w:val="0"/>
        <w:autoSpaceDE w:val="0"/>
        <w:autoSpaceDN w:val="0"/>
        <w:adjustRightInd w:val="0"/>
        <w:spacing w:line="360" w:lineRule="auto"/>
        <w:jc w:val="both"/>
        <w:rPr>
          <w:rFonts w:eastAsia="Calibri"/>
          <w:color w:val="000000"/>
          <w:szCs w:val="24"/>
          <w:lang w:eastAsia="pt-BR"/>
        </w:rPr>
      </w:pPr>
    </w:p>
    <w:p w14:paraId="45228E1D">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6. MODELO DE GESTÃO DO CONTRATO</w:t>
      </w:r>
    </w:p>
    <w:p w14:paraId="59B2BFFB">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6.1</w:t>
      </w:r>
      <w:r>
        <w:rPr>
          <w:rFonts w:eastAsia="Calibri"/>
          <w:color w:val="000000"/>
          <w:szCs w:val="24"/>
          <w:lang w:eastAsia="pt-BR"/>
        </w:rPr>
        <w:t>. O contrato deverá ser executado fielmente pelas partes, de acordo com as cláusulas avençadas e as normas da Lei nº 14.133, de 2021, e cada parte responderá pelas consequências de sua inexecução total ou parcial.</w:t>
      </w:r>
    </w:p>
    <w:p w14:paraId="397BEB08">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6.2.</w:t>
      </w:r>
      <w:r>
        <w:rPr>
          <w:rFonts w:eastAsia="Calibri"/>
          <w:color w:val="000000"/>
          <w:szCs w:val="24"/>
          <w:lang w:eastAsia="pt-BR"/>
        </w:rPr>
        <w:t xml:space="preserve"> As comunicações entre o órgão ou entidade e a contratada devem ser realizadas por escrito sempre que o ato exigir tal formalidade, admitindo-se o uso de mensagem eletrônica para esse fim.</w:t>
      </w:r>
    </w:p>
    <w:p w14:paraId="61F46C7E">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6.3.</w:t>
      </w:r>
      <w:r>
        <w:rPr>
          <w:rFonts w:eastAsia="Calibri"/>
          <w:color w:val="000000"/>
          <w:szCs w:val="24"/>
          <w:lang w:eastAsia="pt-BR"/>
        </w:rPr>
        <w:t xml:space="preserve"> O órgão ou entidade poderá convocar representante da empresa para adoção de providências que devam ser cumpridas de imediato.</w:t>
      </w:r>
    </w:p>
    <w:p w14:paraId="78F30EC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6.4</w:t>
      </w:r>
      <w:r>
        <w:rPr>
          <w:rFonts w:eastAsia="Calibri"/>
          <w:color w:val="000000"/>
          <w:szCs w:val="24"/>
          <w:lang w:eastAsia="pt-BR"/>
        </w:rPr>
        <w:t>. Após a assinatura do contrato ou instrumento equivalente</w:t>
      </w:r>
      <w:r>
        <w:rPr>
          <w:rFonts w:eastAsia="Calibri"/>
          <w:strike/>
          <w:color w:val="000000"/>
          <w:szCs w:val="24"/>
          <w:lang w:eastAsia="pt-BR"/>
        </w:rPr>
        <w:t>,</w:t>
      </w:r>
      <w:r>
        <w:rPr>
          <w:rFonts w:eastAsia="Calibri"/>
          <w:color w:val="000000"/>
          <w:szCs w:val="24"/>
          <w:lang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8A4BBF">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6.5</w:t>
      </w:r>
      <w:r>
        <w:rPr>
          <w:rFonts w:eastAsia="Calibri"/>
          <w:color w:val="000000"/>
          <w:szCs w:val="24"/>
          <w:lang w:eastAsia="pt-BR"/>
        </w:rPr>
        <w:t>. A execução do contrato deverá ser acompanhada e fiscalizada pelo(s) fiscal(is) do contrato, ou pelos respectivos substitutos (</w:t>
      </w:r>
      <w:r>
        <w:fldChar w:fldCharType="begin"/>
      </w:r>
      <w:r>
        <w:instrText xml:space="preserve"> HYPERLINK "http://www.planalto.gov.br/ccivil_03/_ato2019-2022/2021/lei/L14133.htm" \l "art117" </w:instrText>
      </w:r>
      <w:r>
        <w:fldChar w:fldCharType="separate"/>
      </w:r>
      <w:r>
        <w:rPr>
          <w:rFonts w:eastAsia="Calibri"/>
          <w:szCs w:val="24"/>
          <w:u w:val="single"/>
          <w:lang w:eastAsia="pt-BR"/>
        </w:rPr>
        <w:t>Lei nº 14.133, de 2021, art. 117, caput</w:t>
      </w:r>
      <w:r>
        <w:rPr>
          <w:rFonts w:eastAsia="Calibri"/>
          <w:szCs w:val="24"/>
          <w:u w:val="single"/>
          <w:lang w:eastAsia="pt-BR"/>
        </w:rPr>
        <w:fldChar w:fldCharType="end"/>
      </w:r>
      <w:r>
        <w:rPr>
          <w:rFonts w:eastAsia="Calibri"/>
          <w:color w:val="000000"/>
          <w:szCs w:val="24"/>
          <w:lang w:eastAsia="pt-BR"/>
        </w:rPr>
        <w:t>).</w:t>
      </w:r>
    </w:p>
    <w:p w14:paraId="1788B070">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6.6</w:t>
      </w:r>
      <w:r>
        <w:rPr>
          <w:rFonts w:eastAsia="Calibri"/>
          <w:color w:val="000000"/>
          <w:szCs w:val="24"/>
          <w:lang w:eastAsia="pt-BR"/>
        </w:rPr>
        <w:t xml:space="preserve">. O fiscal do contrato acompanhará a execução do contrato, para que sejam cumpridas todas as condições estabelecidas no contrato, de modo a assegurar os melhores resultados para a Administração. </w:t>
      </w:r>
    </w:p>
    <w:p w14:paraId="71E56830">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6.6.1.</w:t>
      </w:r>
      <w:r>
        <w:rPr>
          <w:rFonts w:eastAsia="Calibri"/>
          <w:color w:val="000000"/>
          <w:szCs w:val="24"/>
          <w:lang w:eastAsia="pt-BR"/>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8DAFFCA">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6.6.2</w:t>
      </w:r>
      <w:r>
        <w:rPr>
          <w:rFonts w:eastAsia="Calibri"/>
          <w:color w:val="000000"/>
          <w:szCs w:val="24"/>
          <w:lang w:eastAsia="pt-BR"/>
        </w:rPr>
        <w:t>. Identificada qualquer inexatidão ou irregularidade, o fiscal do contrato emitirá notificações para a correção da execução do contrato, determinando prazo para a correção.</w:t>
      </w:r>
    </w:p>
    <w:p w14:paraId="54938FB8">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6.6.3.</w:t>
      </w:r>
      <w:r>
        <w:rPr>
          <w:rFonts w:eastAsia="Calibri"/>
          <w:color w:val="000000"/>
          <w:szCs w:val="24"/>
          <w:lang w:eastAsia="pt-BR"/>
        </w:rPr>
        <w:t xml:space="preserve"> O fiscal do contrato informará ao gestor do contato, em tempo hábil, a situação que demandar decisão ou adoção de medidas que ultrapassem sua competência, para que adote as medidas necessárias e saneadoras, se for o caso.</w:t>
      </w:r>
    </w:p>
    <w:p w14:paraId="3BFD6D8C">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6.6.4.</w:t>
      </w:r>
      <w:r>
        <w:rPr>
          <w:rFonts w:eastAsia="Calibri"/>
          <w:color w:val="000000"/>
          <w:szCs w:val="24"/>
          <w:lang w:eastAsia="pt-BR"/>
        </w:rPr>
        <w:t xml:space="preserve"> No caso de ocorrências que possam inviabilizar a execução do contrato nas datas aprazadas, o fiscal do contrato comunicará o fato imediatamente ao gestor do contrato.</w:t>
      </w:r>
    </w:p>
    <w:p w14:paraId="0460565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6.6.5</w:t>
      </w:r>
      <w:r>
        <w:rPr>
          <w:rFonts w:eastAsia="Calibri"/>
          <w:color w:val="000000"/>
          <w:szCs w:val="24"/>
          <w:lang w:eastAsia="pt-BR"/>
        </w:rPr>
        <w:t>. O fiscal do contrato comunicará ao gestor do contrato, em tempo hábil, o término do contrato sob sua responsabilidade, com vistas à renovação tempestiva ou à prorrogação contratual.</w:t>
      </w:r>
    </w:p>
    <w:p w14:paraId="7EDC660C">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6.7</w:t>
      </w:r>
      <w:r>
        <w:rPr>
          <w:rFonts w:eastAsia="Calibri"/>
          <w:color w:val="000000"/>
          <w:szCs w:val="24"/>
          <w:lang w:eastAsia="pt-BR"/>
        </w:rPr>
        <w:t>.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3C787">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6.7.1</w:t>
      </w:r>
      <w:r>
        <w:rPr>
          <w:rFonts w:eastAsia="Calibri"/>
          <w:color w:val="000000"/>
          <w:szCs w:val="24"/>
          <w:lang w:eastAsia="pt-BR"/>
        </w:rPr>
        <w:t>. Caso ocorra descumprimento das obrigações contratuais, o gestor do contrato atuará tempestivamente na solução do problema, tomando as providências cabíveis, quando ultrapassar a sua competência.</w:t>
      </w:r>
    </w:p>
    <w:p w14:paraId="0B4A78E9">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6.8.</w:t>
      </w:r>
      <w:r>
        <w:rPr>
          <w:rFonts w:eastAsia="Calibri"/>
          <w:color w:val="000000"/>
          <w:szCs w:val="24"/>
          <w:lang w:eastAsia="pt-BR"/>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30D4794">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6.9.</w:t>
      </w:r>
      <w:r>
        <w:rPr>
          <w:rFonts w:eastAsia="Calibri"/>
          <w:color w:val="000000"/>
          <w:szCs w:val="24"/>
          <w:lang w:eastAsia="pt-BR"/>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F7FD6CC">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6.10</w:t>
      </w:r>
      <w:r>
        <w:rPr>
          <w:rFonts w:eastAsia="Calibri"/>
          <w:color w:val="000000"/>
          <w:szCs w:val="24"/>
          <w:lang w:eastAsia="pt-BR"/>
        </w:rPr>
        <w:t xml:space="preserve">.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6604EBE">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6.11.</w:t>
      </w:r>
      <w:r>
        <w:rPr>
          <w:rFonts w:eastAsia="Calibri"/>
          <w:color w:val="000000"/>
          <w:szCs w:val="24"/>
          <w:lang w:eastAsia="pt-BR"/>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7B9819B">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6.12.</w:t>
      </w:r>
      <w:r>
        <w:rPr>
          <w:rFonts w:eastAsia="Calibri"/>
          <w:color w:val="000000"/>
          <w:szCs w:val="24"/>
          <w:lang w:eastAsia="pt-BR"/>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72ADBBB9">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6.13</w:t>
      </w:r>
      <w:r>
        <w:rPr>
          <w:rFonts w:eastAsia="Calibri"/>
          <w:color w:val="000000"/>
          <w:szCs w:val="24"/>
          <w:lang w:eastAsia="pt-BR"/>
        </w:rPr>
        <w:t>. O gestor do contrato deverá enviar a documentação pertinente ao setor de contratos para a formalização dos procedimentos de liquidação e pagamento, no valor dimensionado pela fiscalização e gestão nos termos do contrato.</w:t>
      </w:r>
    </w:p>
    <w:p w14:paraId="0E078CB0">
      <w:pPr>
        <w:keepNext/>
        <w:keepLines/>
        <w:tabs>
          <w:tab w:val="left" w:pos="567"/>
        </w:tabs>
        <w:suppressAutoHyphens w:val="0"/>
        <w:autoSpaceDE w:val="0"/>
        <w:autoSpaceDN w:val="0"/>
        <w:adjustRightInd w:val="0"/>
        <w:spacing w:line="360" w:lineRule="auto"/>
        <w:ind w:left="390" w:hanging="390"/>
        <w:jc w:val="both"/>
        <w:rPr>
          <w:rFonts w:eastAsia="Calibri"/>
          <w:b/>
          <w:bCs/>
          <w:szCs w:val="24"/>
          <w:lang w:eastAsia="pt-BR"/>
        </w:rPr>
      </w:pPr>
      <w:r>
        <w:rPr>
          <w:rFonts w:eastAsia="Calibri"/>
          <w:b/>
          <w:bCs/>
          <w:szCs w:val="24"/>
          <w:lang w:eastAsia="pt-BR"/>
        </w:rPr>
        <w:t>5.</w:t>
      </w:r>
      <w:r>
        <w:rPr>
          <w:rFonts w:eastAsia="Calibri"/>
          <w:b/>
          <w:bCs/>
          <w:szCs w:val="24"/>
          <w:lang w:eastAsia="pt-BR"/>
        </w:rPr>
        <w:tab/>
      </w:r>
      <w:r>
        <w:rPr>
          <w:rFonts w:eastAsia="Calibri"/>
          <w:b/>
          <w:bCs/>
          <w:szCs w:val="24"/>
          <w:lang w:eastAsia="pt-BR"/>
        </w:rPr>
        <w:t>CRITÉRIOS DE MEDIÇÃO E DE PAGAMENTO</w:t>
      </w:r>
    </w:p>
    <w:p w14:paraId="52AD05BE">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Recebimento</w:t>
      </w:r>
    </w:p>
    <w:p w14:paraId="52C220A4">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w:t>
      </w:r>
      <w:r>
        <w:rPr>
          <w:rFonts w:eastAsia="Calibri"/>
          <w:color w:val="000000"/>
          <w:szCs w:val="24"/>
          <w:lang w:eastAsia="pt-BR"/>
        </w:rPr>
        <w:t>.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C6B0C84">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7.2.</w:t>
      </w:r>
      <w:r>
        <w:rPr>
          <w:rFonts w:eastAsia="Calibri"/>
          <w:color w:val="000000"/>
          <w:szCs w:val="24"/>
          <w:lang w:eastAsia="pt-BR"/>
        </w:rPr>
        <w:t xml:space="preserve"> Os bens poderão ser rejeitados, no todo ou em parte, inclusive antes do recebimento provisório, quando em desacordo com as especificações constantes no Termo de Referência e na proposta, devendo ser substituídos no prazo de 7(sete) dias, a contar da notificação da contratada, às suas custas, sem prejuízo da aplicação das penalidades.</w:t>
      </w:r>
    </w:p>
    <w:p w14:paraId="31CC1519">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7.3.</w:t>
      </w:r>
      <w:r>
        <w:rPr>
          <w:rFonts w:eastAsia="Calibri"/>
          <w:color w:val="000000"/>
          <w:szCs w:val="24"/>
          <w:lang w:eastAsia="pt-BR"/>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7D521E58">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7.4.</w:t>
      </w:r>
      <w:r>
        <w:rPr>
          <w:rFonts w:eastAsia="Calibri"/>
          <w:color w:val="000000"/>
          <w:szCs w:val="24"/>
          <w:lang w:eastAsia="pt-BR"/>
        </w:rPr>
        <w:t xml:space="preserve"> Para as contratações decorrentes de despesas cujos valores não ultrapassem o limite de que trata o </w:t>
      </w:r>
      <w:r>
        <w:fldChar w:fldCharType="begin"/>
      </w:r>
      <w:r>
        <w:instrText xml:space="preserve"> HYPERLINK "http://www.planalto.gov.br/ccivil_03/_ato2019-2022/2021/lei/L14133.htm" \l "art75" </w:instrText>
      </w:r>
      <w:r>
        <w:fldChar w:fldCharType="separate"/>
      </w:r>
      <w:r>
        <w:rPr>
          <w:rFonts w:eastAsia="Calibri"/>
          <w:color w:val="0000FF"/>
          <w:szCs w:val="24"/>
          <w:u w:val="single"/>
          <w:lang w:eastAsia="pt-BR"/>
        </w:rPr>
        <w:t>inciso II do art. 75 da Lei nº 14.133, de 2021</w:t>
      </w:r>
      <w:r>
        <w:rPr>
          <w:rFonts w:eastAsia="Calibri"/>
          <w:color w:val="0000FF"/>
          <w:szCs w:val="24"/>
          <w:u w:val="single"/>
          <w:lang w:eastAsia="pt-BR"/>
        </w:rPr>
        <w:fldChar w:fldCharType="end"/>
      </w:r>
      <w:r>
        <w:rPr>
          <w:rFonts w:eastAsia="Calibri"/>
          <w:color w:val="000000"/>
          <w:szCs w:val="24"/>
          <w:lang w:eastAsia="pt-BR"/>
        </w:rPr>
        <w:t>, o prazo máximo para o recebimento definitivo será de até 03 (três) dias úteis.</w:t>
      </w:r>
    </w:p>
    <w:p w14:paraId="526313FF">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7.5.</w:t>
      </w:r>
      <w:r>
        <w:rPr>
          <w:rFonts w:eastAsia="Calibri"/>
          <w:color w:val="000000"/>
          <w:szCs w:val="24"/>
          <w:lang w:eastAsia="pt-BR"/>
        </w:rPr>
        <w:t xml:space="preserve"> O prazo para recebimento definitivo poderá ser excepcionalmente prorrogado, de forma justificada, por igual período, quando houver necessidade de diligências para a aferição do atendimento das exigências contratuais.</w:t>
      </w:r>
    </w:p>
    <w:p w14:paraId="3E030B8F">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7.6</w:t>
      </w:r>
      <w:r>
        <w:rPr>
          <w:rFonts w:eastAsia="Calibri"/>
          <w:color w:val="000000"/>
          <w:szCs w:val="24"/>
          <w:lang w:eastAsia="pt-BR"/>
        </w:rPr>
        <w:t xml:space="preserve">. No caso de controvérsia sobre a execução do objeto, quanto à dimensão, qualidade e quantidade, deverá ser observado o teor do </w:t>
      </w:r>
      <w:r>
        <w:fldChar w:fldCharType="begin"/>
      </w:r>
      <w:r>
        <w:instrText xml:space="preserve"> HYPERLINK "http://www.planalto.gov.br/ccivil_03/_ato2019-2022/2021/lei/L14133.htm" \l "art143" </w:instrText>
      </w:r>
      <w:r>
        <w:fldChar w:fldCharType="separate"/>
      </w:r>
      <w:r>
        <w:rPr>
          <w:rFonts w:eastAsia="Calibri"/>
          <w:color w:val="0000FF"/>
          <w:szCs w:val="24"/>
          <w:u w:val="single"/>
          <w:lang w:eastAsia="pt-BR"/>
        </w:rPr>
        <w:t>art. 143 da Lei nº 14.133, de 2021</w:t>
      </w:r>
      <w:r>
        <w:rPr>
          <w:rFonts w:eastAsia="Calibri"/>
          <w:color w:val="0000FF"/>
          <w:szCs w:val="24"/>
          <w:u w:val="single"/>
          <w:lang w:eastAsia="pt-BR"/>
        </w:rPr>
        <w:fldChar w:fldCharType="end"/>
      </w:r>
      <w:r>
        <w:rPr>
          <w:rFonts w:eastAsia="Calibri"/>
          <w:color w:val="000000"/>
          <w:szCs w:val="24"/>
          <w:lang w:eastAsia="pt-BR"/>
        </w:rPr>
        <w:t>, comunicando-se à empresa para emissão de Nota Fiscal no que pertine à parcela incontroversa da execução do objeto, para efeito de liquidação e pagamento.</w:t>
      </w:r>
    </w:p>
    <w:p w14:paraId="15DF3256">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7.7</w:t>
      </w:r>
      <w:r>
        <w:rPr>
          <w:rFonts w:eastAsia="Calibri"/>
          <w:color w:val="000000"/>
          <w:szCs w:val="24"/>
          <w:lang w:eastAsia="pt-BR"/>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E9AC85D">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7.8</w:t>
      </w:r>
      <w:r>
        <w:rPr>
          <w:rFonts w:eastAsia="Calibri"/>
          <w:color w:val="000000"/>
          <w:szCs w:val="24"/>
          <w:lang w:eastAsia="pt-BR"/>
        </w:rPr>
        <w:t>. O recebimento provisório ou definitivo não excluirá a responsabilidade civil pela solidez e pela segurança dos bens nem a responsabilidade ético-profissional pela perfeita execução do contrato.</w:t>
      </w:r>
    </w:p>
    <w:p w14:paraId="03055754">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Liquidação</w:t>
      </w:r>
    </w:p>
    <w:p w14:paraId="7EF3E630">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7.9</w:t>
      </w:r>
      <w:r>
        <w:rPr>
          <w:rFonts w:eastAsia="Calibri"/>
          <w:color w:val="000000"/>
          <w:szCs w:val="24"/>
          <w:lang w:eastAsia="pt-BR"/>
        </w:rPr>
        <w:t>. Recebida a Nota Fiscal ou documento de cobrança equivalente, correrá o prazo de dez dias úteis para fins de liquidação, na forma desta seção, prorrogáveis por igual período.</w:t>
      </w:r>
    </w:p>
    <w:p w14:paraId="6DD2B3E0">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7.9.1</w:t>
      </w:r>
      <w:r>
        <w:rPr>
          <w:rFonts w:eastAsia="Calibri"/>
          <w:color w:val="000000"/>
          <w:szCs w:val="24"/>
          <w:lang w:eastAsia="pt-BR"/>
        </w:rPr>
        <w:t xml:space="preserve">. O prazo de que trata o item anterior será reduzido à metade, mantendo-se a possibilidade de prorrogação, no caso de contratações decorrentes de despesas cujos valores não ultrapassem o limite de que trata o </w:t>
      </w:r>
      <w:r>
        <w:fldChar w:fldCharType="begin"/>
      </w:r>
      <w:r>
        <w:instrText xml:space="preserve"> HYPERLINK "http://www.planalto.gov.br/ccivil_03/_ato2019-2022/2021/lei/L14133.htm" \l "art75" </w:instrText>
      </w:r>
      <w:r>
        <w:fldChar w:fldCharType="separate"/>
      </w:r>
      <w:r>
        <w:rPr>
          <w:rFonts w:eastAsia="Calibri"/>
          <w:color w:val="0000FF"/>
          <w:szCs w:val="24"/>
          <w:u w:val="single"/>
          <w:lang w:eastAsia="pt-BR"/>
        </w:rPr>
        <w:t>inciso II do art. 75 da Lei nº 14.133, de 2021</w:t>
      </w:r>
      <w:r>
        <w:rPr>
          <w:rFonts w:eastAsia="Calibri"/>
          <w:color w:val="0000FF"/>
          <w:szCs w:val="24"/>
          <w:u w:val="single"/>
          <w:lang w:eastAsia="pt-BR"/>
        </w:rPr>
        <w:fldChar w:fldCharType="end"/>
      </w:r>
      <w:r>
        <w:rPr>
          <w:rFonts w:eastAsia="Calibri"/>
          <w:color w:val="000000"/>
          <w:szCs w:val="24"/>
          <w:lang w:eastAsia="pt-BR"/>
        </w:rPr>
        <w:t>.</w:t>
      </w:r>
    </w:p>
    <w:p w14:paraId="474B93A2">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w:t>
      </w:r>
      <w:r>
        <w:rPr>
          <w:rFonts w:eastAsia="Calibri"/>
          <w:color w:val="000000"/>
          <w:szCs w:val="24"/>
          <w:lang w:eastAsia="pt-BR"/>
        </w:rPr>
        <w:t xml:space="preserve"> Para fins de liquidação, o setor competente deverá verificar se a nota fiscal ou instrumento de cobrança equivalente apresentado expressa os elementos necessários e essenciais do documento, tais como: </w:t>
      </w:r>
    </w:p>
    <w:p w14:paraId="396B800C">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7.10.1.</w:t>
      </w:r>
      <w:r>
        <w:rPr>
          <w:rFonts w:eastAsia="Calibri"/>
          <w:color w:val="000000"/>
          <w:szCs w:val="24"/>
          <w:lang w:eastAsia="pt-BR"/>
        </w:rPr>
        <w:t xml:space="preserve"> o prazo de validade;</w:t>
      </w:r>
    </w:p>
    <w:p w14:paraId="6C1C3029">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7.10.2</w:t>
      </w:r>
      <w:r>
        <w:rPr>
          <w:rFonts w:eastAsia="Calibri"/>
          <w:color w:val="000000"/>
          <w:szCs w:val="24"/>
          <w:lang w:eastAsia="pt-BR"/>
        </w:rPr>
        <w:t xml:space="preserve">. a data da emissão; </w:t>
      </w:r>
    </w:p>
    <w:p w14:paraId="10709301">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7.10.3</w:t>
      </w:r>
      <w:r>
        <w:rPr>
          <w:rFonts w:eastAsia="Calibri"/>
          <w:color w:val="000000"/>
          <w:szCs w:val="24"/>
          <w:lang w:eastAsia="pt-BR"/>
        </w:rPr>
        <w:t xml:space="preserve">. os dados do contrato e do órgão contratante; </w:t>
      </w:r>
    </w:p>
    <w:p w14:paraId="49C4357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7.10.4</w:t>
      </w:r>
      <w:r>
        <w:rPr>
          <w:rFonts w:eastAsia="Calibri"/>
          <w:color w:val="000000"/>
          <w:szCs w:val="24"/>
          <w:lang w:eastAsia="pt-BR"/>
        </w:rPr>
        <w:t xml:space="preserve">. o período respectivo de execução do contrato; </w:t>
      </w:r>
    </w:p>
    <w:p w14:paraId="07435D70">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7.10.5.</w:t>
      </w:r>
      <w:r>
        <w:rPr>
          <w:rFonts w:eastAsia="Calibri"/>
          <w:color w:val="000000"/>
          <w:szCs w:val="24"/>
          <w:lang w:eastAsia="pt-BR"/>
        </w:rPr>
        <w:t xml:space="preserve"> o valor a pagar; e </w:t>
      </w:r>
    </w:p>
    <w:p w14:paraId="3E64514D">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7.10.6</w:t>
      </w:r>
      <w:r>
        <w:rPr>
          <w:rFonts w:eastAsia="Calibri"/>
          <w:color w:val="000000"/>
          <w:szCs w:val="24"/>
          <w:lang w:eastAsia="pt-BR"/>
        </w:rPr>
        <w:t>. eventual destaque do valor de retenções tributárias cabíveis.</w:t>
      </w:r>
    </w:p>
    <w:p w14:paraId="298FD8FB">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7.11.</w:t>
      </w:r>
      <w:r>
        <w:rPr>
          <w:rFonts w:eastAsia="Calibri"/>
          <w:color w:val="000000"/>
          <w:szCs w:val="24"/>
          <w:lang w:eastAsia="pt-BR"/>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E83DF24">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7.12.</w:t>
      </w:r>
      <w:r>
        <w:rPr>
          <w:rFonts w:eastAsia="Calibri"/>
          <w:color w:val="000000"/>
          <w:szCs w:val="24"/>
          <w:lang w:eastAsia="pt-BR"/>
        </w:rPr>
        <w:t xml:space="preserve"> A nota fiscal ou instrumento de cobrança equivalente deverá ser obrigatoriamente acompanhado da comprovação da regularidade fiscal. </w:t>
      </w:r>
    </w:p>
    <w:p w14:paraId="74142644">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7.13</w:t>
      </w:r>
      <w:r>
        <w:rPr>
          <w:rFonts w:eastAsia="Calibri"/>
          <w:color w:val="000000"/>
          <w:szCs w:val="24"/>
          <w:lang w:eastAsia="pt-BR"/>
        </w:rPr>
        <w:t>.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40CF5C4">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7.14</w:t>
      </w:r>
      <w:r>
        <w:rPr>
          <w:rFonts w:eastAsia="Calibri"/>
          <w:color w:val="000000"/>
          <w:szCs w:val="24"/>
          <w:lang w:eastAsia="pt-BR"/>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03D2BCE">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7.15.</w:t>
      </w:r>
      <w:r>
        <w:rPr>
          <w:rFonts w:eastAsia="Calibri"/>
          <w:color w:val="000000"/>
          <w:szCs w:val="24"/>
          <w:lang w:eastAsia="pt-BR"/>
        </w:rPr>
        <w:t xml:space="preserve"> Persistindo a irregularidade, o contratante deverá adotar as medidas necessárias à rescisão contratual nos autos do processo administrativo correspondente, assegurada ao contratado a ampla defesa. </w:t>
      </w:r>
    </w:p>
    <w:p w14:paraId="05C6623E">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7.16.</w:t>
      </w:r>
      <w:r>
        <w:rPr>
          <w:rFonts w:eastAsia="Calibri"/>
          <w:color w:val="000000"/>
          <w:szCs w:val="24"/>
          <w:lang w:eastAsia="pt-BR"/>
        </w:rPr>
        <w:t xml:space="preserve"> Havendo a efetiva execução do objeto, os pagamentos serão realizados normalmente, até que se decida pela rescisão do contrato.  </w:t>
      </w:r>
    </w:p>
    <w:p w14:paraId="26B3A749">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Prazo de pagamento</w:t>
      </w:r>
    </w:p>
    <w:p w14:paraId="55256F4A">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7.17</w:t>
      </w:r>
      <w:r>
        <w:rPr>
          <w:rFonts w:eastAsia="Calibri"/>
          <w:color w:val="000000"/>
          <w:szCs w:val="24"/>
          <w:lang w:eastAsia="pt-BR"/>
        </w:rPr>
        <w:t>. O pagamento será efetuado no prazo de até 10 (dez) dias úteis contados da finalização da liquidação da despesa.</w:t>
      </w:r>
    </w:p>
    <w:p w14:paraId="182B4692">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7.18</w:t>
      </w:r>
      <w:r>
        <w:rPr>
          <w:rFonts w:eastAsia="Calibri"/>
          <w:color w:val="000000"/>
          <w:szCs w:val="24"/>
          <w:lang w:eastAsia="pt-BR"/>
        </w:rPr>
        <w:t>. No caso de atraso pelo Contratante, os valores devidos ao contratado serão atualizados monetariamente entre o termo final do prazo de pagamento até a data de sua efetiva realização, mediante aplicação do índice IPCA</w:t>
      </w:r>
      <w:r>
        <w:rPr>
          <w:rFonts w:eastAsia="Calibri"/>
          <w:i/>
          <w:iCs/>
          <w:color w:val="000000"/>
          <w:szCs w:val="24"/>
          <w:lang w:eastAsia="pt-BR"/>
        </w:rPr>
        <w:t xml:space="preserve"> </w:t>
      </w:r>
      <w:r>
        <w:rPr>
          <w:rFonts w:eastAsia="Calibri"/>
          <w:color w:val="000000"/>
          <w:szCs w:val="24"/>
          <w:lang w:eastAsia="pt-BR"/>
        </w:rPr>
        <w:t>de correção monetária.</w:t>
      </w:r>
    </w:p>
    <w:p w14:paraId="4F3F1CF7">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Forma de pagamento</w:t>
      </w:r>
    </w:p>
    <w:p w14:paraId="434705F9">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7.19.</w:t>
      </w:r>
      <w:r>
        <w:rPr>
          <w:rFonts w:eastAsia="Calibri"/>
          <w:color w:val="000000"/>
          <w:szCs w:val="24"/>
          <w:lang w:eastAsia="pt-BR"/>
        </w:rPr>
        <w:t xml:space="preserve"> O pagamento será realizado por meio de ordem bancária, para crédito em banco, agência e conta corrente indicados pelo contratado.</w:t>
      </w:r>
    </w:p>
    <w:p w14:paraId="16BCFDEC">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7.20</w:t>
      </w:r>
      <w:r>
        <w:rPr>
          <w:rFonts w:eastAsia="Calibri"/>
          <w:color w:val="000000"/>
          <w:szCs w:val="24"/>
          <w:lang w:eastAsia="pt-BR"/>
        </w:rPr>
        <w:t>. Será considerada data do pagamento o dia em que constar como emitida a ordem bancária para pagamento.</w:t>
      </w:r>
    </w:p>
    <w:p w14:paraId="6B65FFC1">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7.21.</w:t>
      </w:r>
      <w:r>
        <w:rPr>
          <w:rFonts w:eastAsia="Calibri"/>
          <w:color w:val="000000"/>
          <w:szCs w:val="24"/>
          <w:lang w:eastAsia="pt-BR"/>
        </w:rPr>
        <w:t xml:space="preserve"> Quando do pagamento, será efetuada a retenção tributária prevista na legislação aplicável.</w:t>
      </w:r>
    </w:p>
    <w:p w14:paraId="431171B8">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7.21.1</w:t>
      </w:r>
      <w:r>
        <w:rPr>
          <w:rFonts w:eastAsia="Calibri"/>
          <w:color w:val="000000"/>
          <w:szCs w:val="24"/>
          <w:lang w:eastAsia="pt-BR"/>
        </w:rPr>
        <w:t>. Independentemente do percentual de tributo inserido na planilha, quando houver, serão retidos na fonte, quando da realização do pagamento, os percentuais estabelecidos na legislação vigente.</w:t>
      </w:r>
    </w:p>
    <w:p w14:paraId="0F447B2F">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7.22.</w:t>
      </w:r>
      <w:r>
        <w:rPr>
          <w:rFonts w:eastAsia="Calibri"/>
          <w:color w:val="000000"/>
          <w:szCs w:val="24"/>
          <w:lang w:eastAsia="pt-BR"/>
        </w:rPr>
        <w:t xml:space="preserve"> O contratado regularmente optante pelo Simples Nacional, nos termos da </w:t>
      </w:r>
      <w:r>
        <w:fldChar w:fldCharType="begin"/>
      </w:r>
      <w:r>
        <w:instrText xml:space="preserve"> HYPERLINK "https://www.planalto.gov.br/ccivil_03/leis/lcp/lcp123.htm" </w:instrText>
      </w:r>
      <w:r>
        <w:fldChar w:fldCharType="separate"/>
      </w:r>
      <w:r>
        <w:rPr>
          <w:rFonts w:eastAsia="Calibri"/>
          <w:color w:val="0000FF"/>
          <w:szCs w:val="24"/>
          <w:u w:val="single"/>
          <w:lang w:eastAsia="pt-BR"/>
        </w:rPr>
        <w:t>Lei Complementar nº 123, de 2006</w:t>
      </w:r>
      <w:r>
        <w:rPr>
          <w:rFonts w:eastAsia="Calibri"/>
          <w:color w:val="0000FF"/>
          <w:szCs w:val="24"/>
          <w:u w:val="single"/>
          <w:lang w:eastAsia="pt-BR"/>
        </w:rPr>
        <w:fldChar w:fldCharType="end"/>
      </w:r>
      <w:r>
        <w:rPr>
          <w:rFonts w:eastAsia="Calibri"/>
          <w:color w:val="000000"/>
          <w:szCs w:val="24"/>
          <w:lang w:eastAsia="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367DA9">
      <w:pPr>
        <w:suppressAutoHyphens w:val="0"/>
        <w:autoSpaceDE w:val="0"/>
        <w:autoSpaceDN w:val="0"/>
        <w:adjustRightInd w:val="0"/>
        <w:spacing w:line="360" w:lineRule="auto"/>
        <w:jc w:val="both"/>
        <w:rPr>
          <w:rFonts w:eastAsia="Calibri"/>
          <w:color w:val="000000"/>
          <w:szCs w:val="24"/>
          <w:lang w:eastAsia="pt-BR"/>
        </w:rPr>
      </w:pPr>
    </w:p>
    <w:p w14:paraId="327F9017">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6.</w:t>
      </w:r>
      <w:r>
        <w:rPr>
          <w:rFonts w:eastAsia="Calibri"/>
          <w:b/>
          <w:bCs/>
          <w:szCs w:val="24"/>
          <w:lang w:eastAsia="pt-BR"/>
        </w:rPr>
        <w:tab/>
      </w:r>
      <w:r>
        <w:rPr>
          <w:rFonts w:eastAsia="Calibri"/>
          <w:b/>
          <w:bCs/>
          <w:szCs w:val="24"/>
          <w:lang w:eastAsia="pt-BR"/>
        </w:rPr>
        <w:t>FORMA E CRITÉRIOS DE SELEÇÃO DO FORNECEDOR E FORMA DE FORNECIMENTO</w:t>
      </w:r>
    </w:p>
    <w:p w14:paraId="62C79812">
      <w:pPr>
        <w:keepNext/>
        <w:keepLines/>
        <w:tabs>
          <w:tab w:val="left" w:pos="567"/>
        </w:tabs>
        <w:suppressAutoHyphens w:val="0"/>
        <w:autoSpaceDE w:val="0"/>
        <w:autoSpaceDN w:val="0"/>
        <w:adjustRightInd w:val="0"/>
        <w:spacing w:line="360" w:lineRule="auto"/>
        <w:jc w:val="both"/>
        <w:rPr>
          <w:rFonts w:eastAsia="Calibri"/>
          <w:b/>
          <w:bCs/>
          <w:szCs w:val="24"/>
          <w:highlight w:val="yellow"/>
          <w:lang w:eastAsia="pt-BR"/>
        </w:rPr>
      </w:pPr>
      <w:r>
        <w:rPr>
          <w:rFonts w:eastAsia="Calibri"/>
          <w:b/>
          <w:bCs/>
          <w:szCs w:val="24"/>
          <w:lang w:eastAsia="pt-BR"/>
        </w:rPr>
        <w:t>Forma de seleção e critério de julgamento da proposta</w:t>
      </w:r>
    </w:p>
    <w:p w14:paraId="1E21E2F4">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w:t>
      </w:r>
      <w:r>
        <w:rPr>
          <w:rFonts w:eastAsia="Calibri"/>
          <w:color w:val="000000"/>
          <w:szCs w:val="24"/>
          <w:lang w:eastAsia="pt-BR"/>
        </w:rPr>
        <w:t>. O fornecedor será selecionado por meio da realização de procedimento de LICITAÇÃO, na modalidade PREGÃO, sob a forma ELETRÔNICA, com adoção do critério de julgamento pelo MENOR PREÇO GLOBAL, através do procedimento auxiliar de SISTEMA DE REGISTRO DE PREÇOS.</w:t>
      </w:r>
    </w:p>
    <w:p w14:paraId="150C5A26">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Forma de fornecimento</w:t>
      </w:r>
    </w:p>
    <w:p w14:paraId="15EB1D6D">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highlight w:val="white"/>
          <w:lang w:eastAsia="pt-BR"/>
        </w:rPr>
        <w:t>8.2.</w:t>
      </w:r>
      <w:r>
        <w:rPr>
          <w:rFonts w:eastAsia="Calibri"/>
          <w:color w:val="000000"/>
          <w:szCs w:val="24"/>
          <w:highlight w:val="white"/>
          <w:lang w:eastAsia="pt-BR"/>
        </w:rPr>
        <w:t xml:space="preserve"> O fornecimento do objeto será </w:t>
      </w:r>
      <w:r>
        <w:rPr>
          <w:rFonts w:eastAsia="Calibri"/>
          <w:color w:val="000000"/>
          <w:szCs w:val="24"/>
          <w:lang w:eastAsia="pt-BR"/>
        </w:rPr>
        <w:t>parcelado</w:t>
      </w:r>
      <w:r>
        <w:rPr>
          <w:rFonts w:eastAsia="Calibri"/>
          <w:color w:val="000000"/>
          <w:szCs w:val="24"/>
          <w:highlight w:val="white"/>
          <w:lang w:eastAsia="pt-BR"/>
        </w:rPr>
        <w:t>.</w:t>
      </w:r>
    </w:p>
    <w:p w14:paraId="77D4AC38">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Exigências de habilitação</w:t>
      </w:r>
    </w:p>
    <w:p w14:paraId="34DFE771">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8.3</w:t>
      </w:r>
      <w:r>
        <w:rPr>
          <w:rFonts w:eastAsia="Calibri"/>
          <w:color w:val="000000"/>
          <w:szCs w:val="24"/>
          <w:lang w:eastAsia="pt-BR"/>
        </w:rPr>
        <w:t>. Para fins de habilitação, deverá o licitante comprovar os seguintes requisitos:</w:t>
      </w:r>
    </w:p>
    <w:p w14:paraId="0CBEA0B6">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Habilitação jurídica</w:t>
      </w:r>
    </w:p>
    <w:p w14:paraId="0828249C">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8.4</w:t>
      </w:r>
      <w:r>
        <w:rPr>
          <w:rFonts w:eastAsia="Calibri"/>
          <w:color w:val="000000"/>
          <w:szCs w:val="24"/>
          <w:lang w:eastAsia="pt-BR"/>
        </w:rPr>
        <w:t xml:space="preserve">. Empresário individual: inscrição no Registro Público de Empresas Mercantis, a cargo da Junta Comercial da respectiva sede; </w:t>
      </w:r>
    </w:p>
    <w:p w14:paraId="07113AE2">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8.5.</w:t>
      </w:r>
      <w:r>
        <w:rPr>
          <w:rFonts w:eastAsia="Calibri"/>
          <w:color w:val="000000"/>
          <w:szCs w:val="24"/>
          <w:lang w:eastAsia="pt-BR"/>
        </w:rPr>
        <w:t xml:space="preserve"> 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rPr>
          <w:rFonts w:eastAsia="Calibri"/>
          <w:szCs w:val="24"/>
          <w:lang w:eastAsia="pt-BR"/>
        </w:rPr>
        <w:t>https://www.gov.br/empresas-e-negocios/pt-br/empreendedor</w:t>
      </w:r>
      <w:r>
        <w:rPr>
          <w:rFonts w:eastAsia="Calibri"/>
          <w:szCs w:val="24"/>
          <w:lang w:eastAsia="pt-BR"/>
        </w:rPr>
        <w:fldChar w:fldCharType="end"/>
      </w:r>
      <w:r>
        <w:rPr>
          <w:rFonts w:eastAsia="Calibri"/>
          <w:color w:val="000000"/>
          <w:szCs w:val="24"/>
          <w:lang w:eastAsia="pt-BR"/>
        </w:rPr>
        <w:t xml:space="preserve">; </w:t>
      </w:r>
    </w:p>
    <w:p w14:paraId="3B0CAB25">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8.6.</w:t>
      </w:r>
      <w:r>
        <w:rPr>
          <w:rFonts w:eastAsia="Calibri"/>
          <w:color w:val="000000"/>
          <w:szCs w:val="24"/>
          <w:lang w:eastAsia="pt-BR"/>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00E895F">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 xml:space="preserve">8.7 </w:t>
      </w:r>
      <w:r>
        <w:rPr>
          <w:rFonts w:eastAsia="Calibri"/>
          <w:color w:val="000000"/>
          <w:szCs w:val="24"/>
          <w:lang w:eastAsia="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fldChar w:fldCharType="begin"/>
      </w:r>
      <w:r>
        <w:instrText xml:space="preserve"> HYPERLINK "https://www.gov.br/economia/pt-br/assuntos/drei/legislacao/arquivos/legislacoes-federais/indrei772020.pdf" </w:instrText>
      </w:r>
      <w:r>
        <w:fldChar w:fldCharType="separate"/>
      </w:r>
      <w:r>
        <w:rPr>
          <w:rFonts w:eastAsia="Calibri"/>
          <w:color w:val="0000FF"/>
          <w:szCs w:val="24"/>
          <w:u w:val="single"/>
          <w:lang w:eastAsia="pt-BR"/>
        </w:rPr>
        <w:t>Normativa DREI/ME n.º 77, de 18 de março de 2020</w:t>
      </w:r>
      <w:r>
        <w:rPr>
          <w:rFonts w:eastAsia="Calibri"/>
          <w:color w:val="0000FF"/>
          <w:szCs w:val="24"/>
          <w:u w:val="single"/>
          <w:lang w:eastAsia="pt-BR"/>
        </w:rPr>
        <w:fldChar w:fldCharType="end"/>
      </w:r>
      <w:r>
        <w:rPr>
          <w:rFonts w:eastAsia="Calibri"/>
          <w:color w:val="000000"/>
          <w:szCs w:val="24"/>
          <w:lang w:eastAsia="pt-BR"/>
        </w:rPr>
        <w:t>.</w:t>
      </w:r>
    </w:p>
    <w:p w14:paraId="78B90708">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8.8.</w:t>
      </w:r>
      <w:r>
        <w:rPr>
          <w:rFonts w:eastAsia="Calibri"/>
          <w:color w:val="000000"/>
          <w:szCs w:val="24"/>
          <w:lang w:eastAsia="pt-BR"/>
        </w:rPr>
        <w:t xml:space="preserve"> Sociedade simples: inscrição do ato constitutivo no Registro Civil de Pessoas Jurídicas do local de sua sede, acompanhada de documento comprobatório de seus administradores;</w:t>
      </w:r>
    </w:p>
    <w:p w14:paraId="6D4FB21E">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8.9</w:t>
      </w:r>
      <w:r>
        <w:rPr>
          <w:rFonts w:eastAsia="Calibri"/>
          <w:color w:val="000000"/>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5711E9D">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8.10</w:t>
      </w:r>
      <w:r>
        <w:rPr>
          <w:rFonts w:eastAsia="Calibri"/>
          <w:color w:val="000000"/>
          <w:szCs w:val="24"/>
          <w:lang w:eastAsia="pt-BR"/>
        </w:rPr>
        <w:t>. Os documentos apresentados deverão estar acompanhados de todas as alterações ou da consolidação respectiva.</w:t>
      </w:r>
    </w:p>
    <w:p w14:paraId="7FB02E4B">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Habilitação fiscal, social e trabalhista</w:t>
      </w:r>
    </w:p>
    <w:p w14:paraId="24ECFB78">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8.11</w:t>
      </w:r>
      <w:r>
        <w:rPr>
          <w:rFonts w:eastAsia="Calibri"/>
          <w:color w:val="000000"/>
          <w:szCs w:val="24"/>
          <w:lang w:eastAsia="pt-BR"/>
        </w:rPr>
        <w:t xml:space="preserve"> Prova de inscrição no Cadastro Nacional de Pessoas Jurídicas ou no Cadastro de Pessoas Físicas, conforme o caso;</w:t>
      </w:r>
    </w:p>
    <w:p w14:paraId="3277E6C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8.12.</w:t>
      </w:r>
      <w:r>
        <w:rPr>
          <w:rFonts w:eastAsia="Calibri"/>
          <w:color w:val="000000"/>
          <w:szCs w:val="24"/>
          <w:lang w:eastAsia="pt-BR"/>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DC9B36">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8.13</w:t>
      </w:r>
      <w:r>
        <w:rPr>
          <w:rFonts w:eastAsia="Calibri"/>
          <w:color w:val="000000"/>
          <w:szCs w:val="24"/>
          <w:lang w:eastAsia="pt-BR"/>
        </w:rPr>
        <w:t>. Prova de regularidade com o Fundo de Garantia do Tempo de Serviço (FGTS);</w:t>
      </w:r>
    </w:p>
    <w:p w14:paraId="763B2E52">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8.14.</w:t>
      </w:r>
      <w:r>
        <w:rPr>
          <w:rFonts w:eastAsia="Calibri"/>
          <w:color w:val="000000"/>
          <w:szCs w:val="24"/>
          <w:lang w:eastAsia="pt-BR"/>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76CF979">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8.15</w:t>
      </w:r>
      <w:r>
        <w:rPr>
          <w:rFonts w:eastAsia="Calibri"/>
          <w:color w:val="000000"/>
          <w:szCs w:val="24"/>
          <w:lang w:eastAsia="pt-BR"/>
        </w:rPr>
        <w:t>. Prova de regularidade com a Fazenda Estadual do domicílio ou sede do fornecedor, relativa à atividade em cujo exercício contrata ou concorre;</w:t>
      </w:r>
    </w:p>
    <w:p w14:paraId="0AAB703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8.16</w:t>
      </w:r>
      <w:r>
        <w:rPr>
          <w:rFonts w:eastAsia="Calibri"/>
          <w:color w:val="000000"/>
          <w:szCs w:val="24"/>
          <w:lang w:eastAsia="pt-BR"/>
        </w:rPr>
        <w:t>. Caso o fornecedor seja considerado isento dos tributos Estadual relacionados ao objeto contratual, deverá comprovar tal condição mediante a apresentação de declaração da Fazenda respectiva do seu domicílio ou sede, ou outra equivalente, na forma da lei.</w:t>
      </w:r>
    </w:p>
    <w:p w14:paraId="6DFC14D0">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9. ESTIMATIVAS DO VALOR DA CONTRATAÇÃO</w:t>
      </w:r>
    </w:p>
    <w:p w14:paraId="7AB769EB">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9.1</w:t>
      </w:r>
      <w:r>
        <w:rPr>
          <w:rFonts w:eastAsia="Calibri"/>
          <w:color w:val="000000"/>
          <w:szCs w:val="24"/>
          <w:lang w:eastAsia="pt-BR"/>
        </w:rPr>
        <w:t>. O custo estimado total da contratação é de R$ 124.162,24(cento e vinte e quatro mil, cento e sessenta e dois reais e vinte e quatro centavos) conforme custos unitários apostos na tabela do item 1.1. deste termo.</w:t>
      </w:r>
    </w:p>
    <w:p w14:paraId="69674E09">
      <w:pPr>
        <w:suppressAutoHyphens w:val="0"/>
        <w:autoSpaceDE w:val="0"/>
        <w:autoSpaceDN w:val="0"/>
        <w:adjustRightInd w:val="0"/>
        <w:spacing w:line="360" w:lineRule="auto"/>
        <w:jc w:val="both"/>
        <w:rPr>
          <w:rFonts w:eastAsia="Calibri"/>
          <w:color w:val="000000"/>
          <w:szCs w:val="24"/>
          <w:lang w:eastAsia="pt-BR"/>
        </w:rPr>
      </w:pPr>
    </w:p>
    <w:tbl>
      <w:tblPr>
        <w:tblStyle w:val="8"/>
        <w:tblW w:w="0" w:type="auto"/>
        <w:tblInd w:w="0" w:type="dxa"/>
        <w:tblLayout w:type="fixed"/>
        <w:tblCellMar>
          <w:top w:w="0" w:type="dxa"/>
          <w:left w:w="10" w:type="dxa"/>
          <w:bottom w:w="0" w:type="dxa"/>
          <w:right w:w="10" w:type="dxa"/>
        </w:tblCellMar>
      </w:tblPr>
      <w:tblGrid>
        <w:gridCol w:w="8931"/>
      </w:tblGrid>
      <w:tr w14:paraId="4DF6554E">
        <w:tblPrEx>
          <w:tblCellMar>
            <w:top w:w="0" w:type="dxa"/>
            <w:left w:w="10" w:type="dxa"/>
            <w:bottom w:w="0" w:type="dxa"/>
            <w:right w:w="10" w:type="dxa"/>
          </w:tblCellMar>
        </w:tblPrEx>
        <w:tc>
          <w:tcPr>
            <w:tcW w:w="8931" w:type="dxa"/>
            <w:tcBorders>
              <w:top w:val="nil"/>
              <w:left w:val="nil"/>
              <w:bottom w:val="nil"/>
              <w:right w:val="nil"/>
            </w:tcBorders>
          </w:tcPr>
          <w:p w14:paraId="3B299E3D">
            <w:pPr>
              <w:tabs>
                <w:tab w:val="left" w:pos="1050"/>
              </w:tabs>
              <w:suppressAutoHyphens w:val="0"/>
              <w:autoSpaceDE w:val="0"/>
              <w:autoSpaceDN w:val="0"/>
              <w:adjustRightInd w:val="0"/>
              <w:ind w:right="-35"/>
              <w:jc w:val="right"/>
              <w:rPr>
                <w:rFonts w:eastAsia="Calibri"/>
                <w:szCs w:val="24"/>
                <w:lang w:eastAsia="pt-BR"/>
              </w:rPr>
            </w:pPr>
            <w:r>
              <w:rPr>
                <w:rFonts w:eastAsia="Calibri"/>
                <w:szCs w:val="24"/>
                <w:lang w:eastAsia="pt-BR"/>
              </w:rPr>
              <w:t>Caracol, 14 de abril de 2025.</w:t>
            </w:r>
          </w:p>
          <w:p w14:paraId="46A86460">
            <w:pPr>
              <w:tabs>
                <w:tab w:val="left" w:pos="1050"/>
                <w:tab w:val="right" w:pos="9200"/>
              </w:tabs>
              <w:suppressAutoHyphens w:val="0"/>
              <w:autoSpaceDE w:val="0"/>
              <w:autoSpaceDN w:val="0"/>
              <w:adjustRightInd w:val="0"/>
              <w:rPr>
                <w:rFonts w:eastAsia="Calibri"/>
                <w:b/>
                <w:bCs/>
                <w:szCs w:val="24"/>
                <w:lang w:eastAsia="pt-BR"/>
              </w:rPr>
            </w:pPr>
            <w:r>
              <w:rPr>
                <w:rFonts w:eastAsia="Calibri"/>
                <w:b/>
                <w:bCs/>
                <w:szCs w:val="24"/>
                <w:lang w:eastAsia="pt-BR"/>
              </w:rPr>
              <w:t>Elaborado por:</w:t>
            </w:r>
          </w:p>
          <w:p w14:paraId="451F8506">
            <w:pPr>
              <w:tabs>
                <w:tab w:val="left" w:pos="1050"/>
                <w:tab w:val="right" w:pos="9200"/>
              </w:tabs>
              <w:suppressAutoHyphens w:val="0"/>
              <w:autoSpaceDE w:val="0"/>
              <w:autoSpaceDN w:val="0"/>
              <w:adjustRightInd w:val="0"/>
              <w:jc w:val="center"/>
              <w:rPr>
                <w:rFonts w:eastAsia="Calibri"/>
                <w:szCs w:val="24"/>
                <w:lang w:eastAsia="pt-BR"/>
              </w:rPr>
            </w:pPr>
          </w:p>
          <w:tbl>
            <w:tblPr>
              <w:tblStyle w:val="8"/>
              <w:tblW w:w="0" w:type="auto"/>
              <w:tblInd w:w="0" w:type="dxa"/>
              <w:tblLayout w:type="fixed"/>
              <w:tblCellMar>
                <w:top w:w="0" w:type="dxa"/>
                <w:left w:w="10" w:type="dxa"/>
                <w:bottom w:w="0" w:type="dxa"/>
                <w:right w:w="10" w:type="dxa"/>
              </w:tblCellMar>
            </w:tblPr>
            <w:tblGrid>
              <w:gridCol w:w="8823"/>
              <w:gridCol w:w="3883"/>
            </w:tblGrid>
            <w:tr w14:paraId="312E278B">
              <w:tblPrEx>
                <w:tblCellMar>
                  <w:top w:w="0" w:type="dxa"/>
                  <w:left w:w="10" w:type="dxa"/>
                  <w:bottom w:w="0" w:type="dxa"/>
                  <w:right w:w="10" w:type="dxa"/>
                </w:tblCellMar>
              </w:tblPrEx>
              <w:tc>
                <w:tcPr>
                  <w:tcW w:w="8823" w:type="dxa"/>
                </w:tcPr>
                <w:p w14:paraId="653F2253">
                  <w:pPr>
                    <w:suppressAutoHyphens w:val="0"/>
                    <w:autoSpaceDE w:val="0"/>
                    <w:autoSpaceDN w:val="0"/>
                    <w:adjustRightInd w:val="0"/>
                    <w:jc w:val="center"/>
                    <w:rPr>
                      <w:rFonts w:eastAsia="Calibri"/>
                      <w:color w:val="000000"/>
                      <w:szCs w:val="24"/>
                      <w:lang w:eastAsia="pt-BR"/>
                    </w:rPr>
                  </w:pPr>
                </w:p>
              </w:tc>
              <w:tc>
                <w:tcPr>
                  <w:tcW w:w="3883" w:type="dxa"/>
                </w:tcPr>
                <w:p w14:paraId="4214C09D">
                  <w:pPr>
                    <w:suppressAutoHyphens w:val="0"/>
                    <w:autoSpaceDE w:val="0"/>
                    <w:autoSpaceDN w:val="0"/>
                    <w:adjustRightInd w:val="0"/>
                    <w:ind w:left="-177"/>
                    <w:jc w:val="center"/>
                    <w:rPr>
                      <w:rFonts w:eastAsia="Calibri"/>
                      <w:color w:val="000000"/>
                      <w:szCs w:val="24"/>
                      <w:lang w:eastAsia="pt-BR"/>
                    </w:rPr>
                  </w:pPr>
                </w:p>
              </w:tc>
            </w:tr>
            <w:tr w14:paraId="52A10BDE">
              <w:tblPrEx>
                <w:tblCellMar>
                  <w:top w:w="0" w:type="dxa"/>
                  <w:left w:w="10" w:type="dxa"/>
                  <w:bottom w:w="0" w:type="dxa"/>
                  <w:right w:w="10" w:type="dxa"/>
                </w:tblCellMar>
              </w:tblPrEx>
              <w:tc>
                <w:tcPr>
                  <w:tcW w:w="8823" w:type="dxa"/>
                </w:tcPr>
                <w:p w14:paraId="52AFD789">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Mariane Benites Godoy</w:t>
                  </w:r>
                </w:p>
                <w:p w14:paraId="3EEC8D05">
                  <w:pPr>
                    <w:tabs>
                      <w:tab w:val="left" w:pos="176"/>
                    </w:tabs>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Assessora adjunta da</w:t>
                  </w:r>
                </w:p>
                <w:p w14:paraId="3022256A">
                  <w:pPr>
                    <w:tabs>
                      <w:tab w:val="left" w:pos="176"/>
                    </w:tabs>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Procuradoria Jurídica</w:t>
                  </w:r>
                </w:p>
              </w:tc>
              <w:tc>
                <w:tcPr>
                  <w:tcW w:w="3883" w:type="dxa"/>
                </w:tcPr>
                <w:p w14:paraId="2902270E">
                  <w:pPr>
                    <w:suppressAutoHyphens w:val="0"/>
                    <w:autoSpaceDE w:val="0"/>
                    <w:autoSpaceDN w:val="0"/>
                    <w:adjustRightInd w:val="0"/>
                    <w:ind w:left="-319"/>
                    <w:jc w:val="center"/>
                    <w:rPr>
                      <w:rFonts w:eastAsia="Calibri"/>
                      <w:color w:val="000000"/>
                      <w:szCs w:val="24"/>
                      <w:lang w:eastAsia="pt-BR"/>
                    </w:rPr>
                  </w:pPr>
                </w:p>
              </w:tc>
            </w:tr>
          </w:tbl>
          <w:p w14:paraId="07511DF1">
            <w:pPr>
              <w:suppressAutoHyphens w:val="0"/>
              <w:autoSpaceDE w:val="0"/>
              <w:autoSpaceDN w:val="0"/>
              <w:adjustRightInd w:val="0"/>
              <w:jc w:val="center"/>
              <w:rPr>
                <w:rFonts w:eastAsia="Calibri"/>
                <w:color w:val="000000"/>
                <w:szCs w:val="24"/>
                <w:lang w:eastAsia="pt-BR"/>
              </w:rPr>
            </w:pPr>
          </w:p>
        </w:tc>
      </w:tr>
      <w:tr w14:paraId="1A7BA09B">
        <w:tblPrEx>
          <w:tblCellMar>
            <w:top w:w="0" w:type="dxa"/>
            <w:left w:w="10" w:type="dxa"/>
            <w:bottom w:w="0" w:type="dxa"/>
            <w:right w:w="10" w:type="dxa"/>
          </w:tblCellMar>
        </w:tblPrEx>
        <w:tc>
          <w:tcPr>
            <w:tcW w:w="8931" w:type="dxa"/>
            <w:tcBorders>
              <w:top w:val="nil"/>
              <w:left w:val="nil"/>
              <w:bottom w:val="nil"/>
              <w:right w:val="nil"/>
            </w:tcBorders>
          </w:tcPr>
          <w:p w14:paraId="7E33785C">
            <w:pPr>
              <w:suppressAutoHyphens w:val="0"/>
              <w:autoSpaceDE w:val="0"/>
              <w:autoSpaceDN w:val="0"/>
              <w:adjustRightInd w:val="0"/>
              <w:ind w:right="-567"/>
              <w:jc w:val="center"/>
              <w:rPr>
                <w:rFonts w:eastAsia="Calibri"/>
                <w:color w:val="000000"/>
                <w:szCs w:val="24"/>
                <w:lang w:eastAsia="pt-BR"/>
              </w:rPr>
            </w:pPr>
          </w:p>
          <w:p w14:paraId="179D5843">
            <w:pPr>
              <w:suppressAutoHyphens w:val="0"/>
              <w:autoSpaceDE w:val="0"/>
              <w:autoSpaceDN w:val="0"/>
              <w:adjustRightInd w:val="0"/>
              <w:ind w:right="-567"/>
              <w:jc w:val="center"/>
              <w:rPr>
                <w:rFonts w:eastAsia="Calibri"/>
                <w:b/>
                <w:bCs/>
                <w:color w:val="000000"/>
                <w:szCs w:val="24"/>
                <w:lang w:eastAsia="pt-BR"/>
              </w:rPr>
            </w:pPr>
            <w:r>
              <w:rPr>
                <w:rFonts w:eastAsia="Calibri"/>
                <w:b/>
                <w:bCs/>
                <w:color w:val="000000"/>
                <w:szCs w:val="24"/>
                <w:lang w:eastAsia="pt-BR"/>
              </w:rPr>
              <w:t>Carlos Godoy Junior</w:t>
            </w:r>
          </w:p>
          <w:p w14:paraId="0A4FB91E">
            <w:pPr>
              <w:suppressAutoHyphens w:val="0"/>
              <w:autoSpaceDE w:val="0"/>
              <w:autoSpaceDN w:val="0"/>
              <w:adjustRightInd w:val="0"/>
              <w:ind w:right="-567"/>
              <w:jc w:val="center"/>
              <w:rPr>
                <w:rFonts w:eastAsia="Calibri"/>
                <w:color w:val="000000"/>
                <w:szCs w:val="24"/>
                <w:lang w:eastAsia="pt-BR"/>
              </w:rPr>
            </w:pPr>
            <w:r>
              <w:rPr>
                <w:rFonts w:eastAsia="Calibri"/>
                <w:color w:val="000000"/>
                <w:szCs w:val="24"/>
                <w:lang w:eastAsia="pt-BR"/>
              </w:rPr>
              <w:t>Agente Técnico de ADM/Finanças</w:t>
            </w:r>
          </w:p>
          <w:p w14:paraId="2F7D5EE9">
            <w:pPr>
              <w:suppressAutoHyphens w:val="0"/>
              <w:autoSpaceDE w:val="0"/>
              <w:autoSpaceDN w:val="0"/>
              <w:adjustRightInd w:val="0"/>
              <w:ind w:right="-567"/>
              <w:jc w:val="center"/>
              <w:rPr>
                <w:rFonts w:eastAsia="Calibri"/>
                <w:color w:val="000000"/>
                <w:szCs w:val="24"/>
                <w:lang w:eastAsia="pt-BR"/>
              </w:rPr>
            </w:pPr>
          </w:p>
          <w:p w14:paraId="77AECE28">
            <w:pPr>
              <w:suppressAutoHyphens w:val="0"/>
              <w:autoSpaceDE w:val="0"/>
              <w:autoSpaceDN w:val="0"/>
              <w:adjustRightInd w:val="0"/>
              <w:ind w:right="-567"/>
              <w:jc w:val="center"/>
              <w:rPr>
                <w:rFonts w:eastAsia="Calibri"/>
                <w:color w:val="000000"/>
                <w:szCs w:val="24"/>
                <w:lang w:eastAsia="pt-BR"/>
              </w:rPr>
            </w:pPr>
          </w:p>
          <w:p w14:paraId="0827D99C">
            <w:pPr>
              <w:suppressAutoHyphens w:val="0"/>
              <w:autoSpaceDE w:val="0"/>
              <w:autoSpaceDN w:val="0"/>
              <w:adjustRightInd w:val="0"/>
              <w:ind w:left="34" w:right="-567"/>
              <w:jc w:val="center"/>
              <w:rPr>
                <w:rFonts w:eastAsia="Calibri"/>
                <w:b/>
                <w:bCs/>
                <w:color w:val="000000"/>
                <w:szCs w:val="24"/>
                <w:lang w:eastAsia="pt-BR"/>
              </w:rPr>
            </w:pPr>
            <w:r>
              <w:rPr>
                <w:rFonts w:eastAsia="Calibri"/>
                <w:b/>
                <w:bCs/>
                <w:color w:val="000000"/>
                <w:szCs w:val="24"/>
                <w:lang w:eastAsia="pt-BR"/>
              </w:rPr>
              <w:t>Aliny Leite Serena</w:t>
            </w:r>
          </w:p>
          <w:p w14:paraId="7BD3D98F">
            <w:pPr>
              <w:suppressAutoHyphens w:val="0"/>
              <w:autoSpaceDE w:val="0"/>
              <w:autoSpaceDN w:val="0"/>
              <w:adjustRightInd w:val="0"/>
              <w:ind w:left="-210" w:right="-567"/>
              <w:jc w:val="center"/>
              <w:rPr>
                <w:rFonts w:eastAsia="Calibri"/>
                <w:color w:val="000000"/>
                <w:szCs w:val="24"/>
                <w:lang w:eastAsia="pt-BR"/>
              </w:rPr>
            </w:pPr>
            <w:r>
              <w:rPr>
                <w:rFonts w:eastAsia="Calibri"/>
                <w:color w:val="000000"/>
                <w:szCs w:val="24"/>
                <w:lang w:eastAsia="pt-BR"/>
              </w:rPr>
              <w:t>Agente Administrativo</w:t>
            </w:r>
          </w:p>
          <w:p w14:paraId="094E4361">
            <w:pPr>
              <w:suppressAutoHyphens w:val="0"/>
              <w:autoSpaceDE w:val="0"/>
              <w:autoSpaceDN w:val="0"/>
              <w:adjustRightInd w:val="0"/>
              <w:ind w:right="-567"/>
              <w:jc w:val="center"/>
              <w:rPr>
                <w:rFonts w:eastAsia="Calibri"/>
                <w:color w:val="000000"/>
                <w:szCs w:val="24"/>
                <w:lang w:eastAsia="pt-BR"/>
              </w:rPr>
            </w:pPr>
          </w:p>
        </w:tc>
      </w:tr>
    </w:tbl>
    <w:p w14:paraId="13CD0EE9">
      <w:pPr>
        <w:suppressAutoHyphens w:val="0"/>
        <w:autoSpaceDE w:val="0"/>
        <w:autoSpaceDN w:val="0"/>
        <w:adjustRightInd w:val="0"/>
        <w:rPr>
          <w:rFonts w:eastAsia="Calibri"/>
          <w:b/>
          <w:bCs/>
          <w:szCs w:val="24"/>
          <w:lang w:eastAsia="pt-BR"/>
        </w:rPr>
      </w:pPr>
      <w:r>
        <w:rPr>
          <w:rFonts w:eastAsia="Calibri"/>
          <w:b/>
          <w:bCs/>
          <w:szCs w:val="24"/>
          <w:lang w:eastAsia="pt-BR"/>
        </w:rPr>
        <w:t>Aprovado por:</w:t>
      </w:r>
    </w:p>
    <w:p w14:paraId="3CC1C7C1">
      <w:pPr>
        <w:suppressAutoHyphens w:val="0"/>
        <w:autoSpaceDE w:val="0"/>
        <w:autoSpaceDN w:val="0"/>
        <w:adjustRightInd w:val="0"/>
        <w:rPr>
          <w:rFonts w:eastAsia="Calibri"/>
          <w:b/>
          <w:bCs/>
          <w:szCs w:val="24"/>
          <w:lang w:eastAsia="pt-BR"/>
        </w:rPr>
      </w:pPr>
    </w:p>
    <w:p w14:paraId="7118F90C">
      <w:pPr>
        <w:suppressAutoHyphens w:val="0"/>
        <w:autoSpaceDE w:val="0"/>
        <w:autoSpaceDN w:val="0"/>
        <w:adjustRightInd w:val="0"/>
        <w:rPr>
          <w:rFonts w:eastAsia="Calibri"/>
          <w:b/>
          <w:bCs/>
          <w:szCs w:val="24"/>
          <w:lang w:eastAsia="pt-BR"/>
        </w:rPr>
      </w:pPr>
    </w:p>
    <w:p w14:paraId="66173B91">
      <w:pPr>
        <w:suppressAutoHyphens w:val="0"/>
        <w:autoSpaceDE w:val="0"/>
        <w:autoSpaceDN w:val="0"/>
        <w:adjustRightInd w:val="0"/>
        <w:ind w:left="-426" w:right="-568"/>
        <w:jc w:val="center"/>
        <w:rPr>
          <w:rFonts w:eastAsia="Calibri"/>
          <w:b/>
          <w:bCs/>
          <w:szCs w:val="24"/>
          <w:lang w:eastAsia="pt-BR"/>
        </w:rPr>
      </w:pPr>
      <w:r>
        <w:rPr>
          <w:rFonts w:eastAsia="Calibri"/>
          <w:b/>
          <w:bCs/>
          <w:szCs w:val="24"/>
          <w:lang w:eastAsia="pt-BR"/>
        </w:rPr>
        <w:t>Sueli Haut de Oliveira</w:t>
      </w:r>
    </w:p>
    <w:p w14:paraId="24550D68">
      <w:pPr>
        <w:suppressAutoHyphens w:val="0"/>
        <w:autoSpaceDE w:val="0"/>
        <w:autoSpaceDN w:val="0"/>
        <w:adjustRightInd w:val="0"/>
        <w:ind w:left="-426" w:right="-568"/>
        <w:jc w:val="center"/>
        <w:rPr>
          <w:rFonts w:eastAsia="Calibri"/>
          <w:szCs w:val="24"/>
          <w:lang w:eastAsia="pt-BR"/>
        </w:rPr>
      </w:pPr>
      <w:r>
        <w:rPr>
          <w:rFonts w:eastAsia="Calibri"/>
          <w:szCs w:val="24"/>
          <w:lang w:eastAsia="pt-BR"/>
        </w:rPr>
        <w:t>Secretária Municipal de Administração,</w:t>
      </w:r>
    </w:p>
    <w:p w14:paraId="6DF01F8D">
      <w:pPr>
        <w:suppressAutoHyphens w:val="0"/>
        <w:autoSpaceDE w:val="0"/>
        <w:autoSpaceDN w:val="0"/>
        <w:adjustRightInd w:val="0"/>
        <w:ind w:left="-426" w:right="-568"/>
        <w:jc w:val="center"/>
        <w:rPr>
          <w:rFonts w:eastAsia="Calibri"/>
          <w:szCs w:val="24"/>
          <w:lang w:eastAsia="pt-BR"/>
        </w:rPr>
      </w:pPr>
      <w:r>
        <w:rPr>
          <w:rFonts w:eastAsia="Calibri"/>
          <w:szCs w:val="24"/>
          <w:lang w:eastAsia="pt-BR"/>
        </w:rPr>
        <w:t>Planejamento e Finanças</w:t>
      </w:r>
    </w:p>
    <w:p w14:paraId="2FF75D15">
      <w:pPr>
        <w:suppressAutoHyphens w:val="0"/>
        <w:autoSpaceDE w:val="0"/>
        <w:autoSpaceDN w:val="0"/>
        <w:adjustRightInd w:val="0"/>
        <w:jc w:val="center"/>
        <w:rPr>
          <w:rFonts w:eastAsia="Calibri"/>
          <w:b/>
          <w:bCs/>
          <w:szCs w:val="24"/>
          <w:lang w:eastAsia="pt-BR"/>
        </w:rPr>
      </w:pPr>
    </w:p>
    <w:p w14:paraId="3FBAC805">
      <w:pPr>
        <w:suppressAutoHyphens w:val="0"/>
        <w:autoSpaceDE w:val="0"/>
        <w:autoSpaceDN w:val="0"/>
        <w:adjustRightInd w:val="0"/>
        <w:jc w:val="center"/>
        <w:rPr>
          <w:rFonts w:eastAsia="Calibri"/>
          <w:b/>
          <w:bCs/>
          <w:szCs w:val="24"/>
          <w:lang w:eastAsia="pt-BR"/>
        </w:rPr>
      </w:pPr>
    </w:p>
    <w:p w14:paraId="7B98360A">
      <w:pPr>
        <w:suppressAutoHyphens w:val="0"/>
        <w:autoSpaceDE w:val="0"/>
        <w:autoSpaceDN w:val="0"/>
        <w:adjustRightInd w:val="0"/>
        <w:jc w:val="center"/>
        <w:rPr>
          <w:rFonts w:eastAsia="Calibri"/>
          <w:b/>
          <w:bCs/>
          <w:szCs w:val="24"/>
          <w:lang w:eastAsia="pt-BR"/>
        </w:rPr>
      </w:pPr>
    </w:p>
    <w:p w14:paraId="195E0FC0">
      <w:pPr>
        <w:suppressAutoHyphens w:val="0"/>
        <w:autoSpaceDE w:val="0"/>
        <w:autoSpaceDN w:val="0"/>
        <w:adjustRightInd w:val="0"/>
        <w:ind w:left="-426" w:right="-568"/>
        <w:jc w:val="center"/>
        <w:rPr>
          <w:rFonts w:eastAsia="Calibri"/>
          <w:b/>
          <w:bCs/>
          <w:szCs w:val="24"/>
          <w:lang w:eastAsia="pt-BR"/>
        </w:rPr>
      </w:pPr>
      <w:r>
        <w:rPr>
          <w:rFonts w:eastAsia="Calibri"/>
          <w:b/>
          <w:bCs/>
          <w:szCs w:val="24"/>
          <w:lang w:eastAsia="pt-BR"/>
        </w:rPr>
        <w:t>Ogair Garcia Leite</w:t>
      </w:r>
    </w:p>
    <w:p w14:paraId="488F04CD">
      <w:pPr>
        <w:suppressAutoHyphens w:val="0"/>
        <w:autoSpaceDE w:val="0"/>
        <w:autoSpaceDN w:val="0"/>
        <w:adjustRightInd w:val="0"/>
        <w:ind w:left="-426" w:right="-568"/>
        <w:jc w:val="center"/>
        <w:rPr>
          <w:rFonts w:eastAsia="Calibri"/>
          <w:szCs w:val="24"/>
          <w:lang w:eastAsia="pt-BR"/>
        </w:rPr>
      </w:pPr>
      <w:r>
        <w:rPr>
          <w:rFonts w:eastAsia="Calibri"/>
          <w:szCs w:val="24"/>
          <w:lang w:eastAsia="pt-BR"/>
        </w:rPr>
        <w:t>Secretária Municipal de Direitos Humanos, Assistência Social,</w:t>
      </w:r>
    </w:p>
    <w:p w14:paraId="31B81453">
      <w:pPr>
        <w:suppressAutoHyphens w:val="0"/>
        <w:autoSpaceDE w:val="0"/>
        <w:autoSpaceDN w:val="0"/>
        <w:adjustRightInd w:val="0"/>
        <w:ind w:left="-426" w:right="-568"/>
        <w:jc w:val="center"/>
        <w:rPr>
          <w:rFonts w:eastAsia="Calibri"/>
          <w:szCs w:val="24"/>
          <w:lang w:eastAsia="pt-BR"/>
        </w:rPr>
      </w:pPr>
      <w:r>
        <w:rPr>
          <w:rFonts w:eastAsia="Calibri"/>
          <w:szCs w:val="24"/>
          <w:lang w:eastAsia="pt-BR"/>
        </w:rPr>
        <w:t>Trabalho e Habitação</w:t>
      </w:r>
    </w:p>
    <w:p w14:paraId="7DF0848C">
      <w:pPr>
        <w:suppressAutoHyphens w:val="0"/>
        <w:autoSpaceDE w:val="0"/>
        <w:autoSpaceDN w:val="0"/>
        <w:adjustRightInd w:val="0"/>
        <w:ind w:right="142"/>
        <w:jc w:val="center"/>
        <w:rPr>
          <w:rFonts w:eastAsia="Calibri"/>
          <w:b/>
          <w:bCs/>
          <w:szCs w:val="24"/>
          <w:lang w:eastAsia="pt-BR"/>
        </w:rPr>
      </w:pPr>
    </w:p>
    <w:p w14:paraId="0F19EB3E">
      <w:pPr>
        <w:suppressAutoHyphens w:val="0"/>
        <w:autoSpaceDE w:val="0"/>
        <w:autoSpaceDN w:val="0"/>
        <w:adjustRightInd w:val="0"/>
        <w:ind w:right="142"/>
        <w:jc w:val="center"/>
        <w:rPr>
          <w:rFonts w:eastAsia="Calibri"/>
          <w:b/>
          <w:bCs/>
          <w:szCs w:val="24"/>
          <w:lang w:eastAsia="pt-BR"/>
        </w:rPr>
      </w:pPr>
    </w:p>
    <w:p w14:paraId="70627114">
      <w:pPr>
        <w:suppressAutoHyphens w:val="0"/>
        <w:autoSpaceDE w:val="0"/>
        <w:autoSpaceDN w:val="0"/>
        <w:adjustRightInd w:val="0"/>
        <w:ind w:right="142"/>
        <w:jc w:val="center"/>
        <w:rPr>
          <w:rFonts w:eastAsia="Calibri"/>
          <w:b/>
          <w:bCs/>
          <w:szCs w:val="24"/>
          <w:lang w:eastAsia="pt-BR"/>
        </w:rPr>
      </w:pPr>
    </w:p>
    <w:p w14:paraId="0B98F804">
      <w:pPr>
        <w:suppressAutoHyphens w:val="0"/>
        <w:autoSpaceDE w:val="0"/>
        <w:autoSpaceDN w:val="0"/>
        <w:adjustRightInd w:val="0"/>
        <w:ind w:left="-426" w:right="-568"/>
        <w:jc w:val="center"/>
        <w:rPr>
          <w:rFonts w:eastAsia="Calibri"/>
          <w:b/>
          <w:bCs/>
          <w:szCs w:val="24"/>
          <w:lang w:eastAsia="pt-BR"/>
        </w:rPr>
      </w:pPr>
      <w:r>
        <w:rPr>
          <w:rFonts w:eastAsia="Calibri"/>
          <w:b/>
          <w:bCs/>
          <w:szCs w:val="24"/>
          <w:lang w:eastAsia="pt-BR"/>
        </w:rPr>
        <w:t>Cristina Araújo Pezzini</w:t>
      </w:r>
    </w:p>
    <w:p w14:paraId="066F6CBA">
      <w:pPr>
        <w:suppressAutoHyphens w:val="0"/>
        <w:autoSpaceDE w:val="0"/>
        <w:autoSpaceDN w:val="0"/>
        <w:adjustRightInd w:val="0"/>
        <w:ind w:left="-426" w:right="-568"/>
        <w:jc w:val="center"/>
        <w:rPr>
          <w:rFonts w:eastAsia="Calibri"/>
          <w:b/>
          <w:bCs/>
          <w:szCs w:val="24"/>
          <w:lang w:eastAsia="pt-BR"/>
        </w:rPr>
      </w:pPr>
      <w:r>
        <w:rPr>
          <w:rFonts w:eastAsia="Calibri"/>
          <w:szCs w:val="24"/>
          <w:lang w:eastAsia="pt-BR"/>
        </w:rPr>
        <w:t>Secretaria Municipal de Saúde</w:t>
      </w:r>
    </w:p>
    <w:p w14:paraId="7BAAC2AE">
      <w:pPr>
        <w:suppressAutoHyphens w:val="0"/>
        <w:autoSpaceDE w:val="0"/>
        <w:autoSpaceDN w:val="0"/>
        <w:adjustRightInd w:val="0"/>
        <w:jc w:val="center"/>
        <w:rPr>
          <w:rFonts w:eastAsia="Calibri"/>
          <w:b/>
          <w:bCs/>
          <w:szCs w:val="24"/>
          <w:lang w:eastAsia="pt-BR"/>
        </w:rPr>
      </w:pPr>
    </w:p>
    <w:p w14:paraId="60FB865E">
      <w:pPr>
        <w:suppressAutoHyphens w:val="0"/>
        <w:autoSpaceDE w:val="0"/>
        <w:autoSpaceDN w:val="0"/>
        <w:adjustRightInd w:val="0"/>
        <w:jc w:val="center"/>
        <w:rPr>
          <w:rFonts w:eastAsia="Calibri"/>
          <w:b/>
          <w:bCs/>
          <w:szCs w:val="24"/>
          <w:lang w:eastAsia="pt-BR"/>
        </w:rPr>
      </w:pPr>
    </w:p>
    <w:p w14:paraId="2C5EB96A">
      <w:pPr>
        <w:suppressAutoHyphens w:val="0"/>
        <w:autoSpaceDE w:val="0"/>
        <w:autoSpaceDN w:val="0"/>
        <w:adjustRightInd w:val="0"/>
        <w:jc w:val="center"/>
        <w:rPr>
          <w:rFonts w:eastAsia="Calibri"/>
          <w:b/>
          <w:bCs/>
          <w:szCs w:val="24"/>
          <w:lang w:eastAsia="pt-BR"/>
        </w:rPr>
      </w:pPr>
    </w:p>
    <w:p w14:paraId="48FBD540">
      <w:pPr>
        <w:suppressAutoHyphens w:val="0"/>
        <w:autoSpaceDE w:val="0"/>
        <w:autoSpaceDN w:val="0"/>
        <w:adjustRightInd w:val="0"/>
        <w:ind w:left="-426" w:right="-568"/>
        <w:jc w:val="center"/>
        <w:rPr>
          <w:rFonts w:eastAsia="Calibri"/>
          <w:b/>
          <w:bCs/>
          <w:szCs w:val="24"/>
          <w:lang w:eastAsia="pt-BR"/>
        </w:rPr>
      </w:pPr>
      <w:r>
        <w:rPr>
          <w:rFonts w:eastAsia="Calibri"/>
          <w:b/>
          <w:bCs/>
          <w:szCs w:val="24"/>
          <w:lang w:eastAsia="pt-BR"/>
        </w:rPr>
        <w:t>Thaiz Leite de Andrade</w:t>
      </w:r>
    </w:p>
    <w:p w14:paraId="0030C581">
      <w:pPr>
        <w:suppressAutoHyphens w:val="0"/>
        <w:autoSpaceDE w:val="0"/>
        <w:autoSpaceDN w:val="0"/>
        <w:adjustRightInd w:val="0"/>
        <w:ind w:left="-426" w:right="-568"/>
        <w:jc w:val="center"/>
        <w:rPr>
          <w:rFonts w:eastAsia="Calibri"/>
          <w:szCs w:val="24"/>
          <w:lang w:eastAsia="pt-BR"/>
        </w:rPr>
      </w:pPr>
      <w:r>
        <w:rPr>
          <w:rFonts w:eastAsia="Calibri"/>
          <w:szCs w:val="24"/>
          <w:lang w:eastAsia="pt-BR"/>
        </w:rPr>
        <w:t>Secretária Municipal de Educação</w:t>
      </w:r>
    </w:p>
    <w:p w14:paraId="6A15A3C0">
      <w:pPr>
        <w:suppressAutoHyphens w:val="0"/>
        <w:autoSpaceDE w:val="0"/>
        <w:autoSpaceDN w:val="0"/>
        <w:adjustRightInd w:val="0"/>
        <w:ind w:left="-426" w:right="-568"/>
        <w:jc w:val="center"/>
        <w:rPr>
          <w:rFonts w:eastAsia="Calibri"/>
          <w:b/>
          <w:bCs/>
          <w:szCs w:val="24"/>
          <w:lang w:eastAsia="pt-BR"/>
        </w:rPr>
      </w:pPr>
    </w:p>
    <w:p w14:paraId="5B37FE4D">
      <w:pPr>
        <w:suppressAutoHyphens w:val="0"/>
        <w:autoSpaceDE w:val="0"/>
        <w:autoSpaceDN w:val="0"/>
        <w:adjustRightInd w:val="0"/>
        <w:jc w:val="center"/>
        <w:rPr>
          <w:rFonts w:eastAsia="Calibri"/>
          <w:b/>
          <w:bCs/>
          <w:szCs w:val="24"/>
          <w:lang w:eastAsia="pt-BR"/>
        </w:rPr>
      </w:pPr>
    </w:p>
    <w:p w14:paraId="0E23BA60">
      <w:pPr>
        <w:suppressAutoHyphens w:val="0"/>
        <w:autoSpaceDE w:val="0"/>
        <w:autoSpaceDN w:val="0"/>
        <w:adjustRightInd w:val="0"/>
        <w:ind w:left="-426" w:right="-568"/>
        <w:jc w:val="center"/>
        <w:rPr>
          <w:rFonts w:eastAsia="Calibri"/>
          <w:b/>
          <w:bCs/>
          <w:szCs w:val="24"/>
          <w:lang w:eastAsia="pt-BR"/>
        </w:rPr>
      </w:pPr>
      <w:r>
        <w:rPr>
          <w:rFonts w:eastAsia="Calibri"/>
          <w:b/>
          <w:bCs/>
          <w:szCs w:val="24"/>
          <w:lang w:eastAsia="pt-BR"/>
        </w:rPr>
        <w:t>Carlos Roberto Hespporte</w:t>
      </w:r>
    </w:p>
    <w:p w14:paraId="0BB1A5A8">
      <w:pPr>
        <w:suppressAutoHyphens w:val="0"/>
        <w:autoSpaceDE w:val="0"/>
        <w:autoSpaceDN w:val="0"/>
        <w:adjustRightInd w:val="0"/>
        <w:jc w:val="center"/>
        <w:rPr>
          <w:rFonts w:eastAsia="Calibri"/>
          <w:szCs w:val="24"/>
          <w:lang w:eastAsia="pt-BR"/>
        </w:rPr>
      </w:pPr>
      <w:r>
        <w:rPr>
          <w:rFonts w:eastAsia="Calibri"/>
          <w:szCs w:val="24"/>
          <w:lang w:eastAsia="pt-BR"/>
        </w:rPr>
        <w:t xml:space="preserve">Secretário Municipal de Agricultura, </w:t>
      </w:r>
    </w:p>
    <w:p w14:paraId="392CDB06">
      <w:pPr>
        <w:suppressAutoHyphens w:val="0"/>
        <w:autoSpaceDE w:val="0"/>
        <w:autoSpaceDN w:val="0"/>
        <w:adjustRightInd w:val="0"/>
        <w:jc w:val="center"/>
        <w:rPr>
          <w:rFonts w:eastAsia="Calibri"/>
          <w:b/>
          <w:bCs/>
          <w:szCs w:val="24"/>
          <w:lang w:eastAsia="pt-BR"/>
        </w:rPr>
      </w:pPr>
      <w:r>
        <w:rPr>
          <w:rFonts w:eastAsia="Calibri"/>
          <w:szCs w:val="24"/>
          <w:lang w:eastAsia="pt-BR"/>
        </w:rPr>
        <w:t>Pecuária e Meio Ambiente</w:t>
      </w:r>
    </w:p>
    <w:p w14:paraId="08DB497A">
      <w:pPr>
        <w:suppressAutoHyphens w:val="0"/>
        <w:autoSpaceDE w:val="0"/>
        <w:autoSpaceDN w:val="0"/>
        <w:adjustRightInd w:val="0"/>
        <w:jc w:val="center"/>
        <w:rPr>
          <w:rFonts w:eastAsia="Calibri"/>
          <w:b/>
          <w:bCs/>
          <w:szCs w:val="24"/>
          <w:lang w:eastAsia="pt-BR"/>
        </w:rPr>
      </w:pPr>
    </w:p>
    <w:p w14:paraId="5F9E8E0F">
      <w:pPr>
        <w:suppressAutoHyphens w:val="0"/>
        <w:autoSpaceDE w:val="0"/>
        <w:autoSpaceDN w:val="0"/>
        <w:adjustRightInd w:val="0"/>
        <w:jc w:val="center"/>
        <w:rPr>
          <w:rFonts w:eastAsia="Calibri"/>
          <w:b/>
          <w:bCs/>
          <w:szCs w:val="24"/>
          <w:lang w:eastAsia="pt-BR"/>
        </w:rPr>
      </w:pPr>
    </w:p>
    <w:p w14:paraId="0F87A132">
      <w:pPr>
        <w:suppressAutoHyphens w:val="0"/>
        <w:rPr>
          <w:rFonts w:eastAsia="Calibri"/>
          <w:b/>
          <w:bCs/>
          <w:i/>
          <w:iCs/>
          <w:color w:val="000000"/>
          <w:szCs w:val="24"/>
          <w:u w:val="single"/>
          <w:lang w:eastAsia="pt-BR"/>
        </w:rPr>
      </w:pPr>
    </w:p>
    <w:p w14:paraId="55676CE2">
      <w:pPr>
        <w:suppressAutoHyphens w:val="0"/>
        <w:rPr>
          <w:rFonts w:eastAsia="Calibri"/>
          <w:b/>
          <w:bCs/>
          <w:i/>
          <w:iCs/>
          <w:color w:val="000000"/>
          <w:szCs w:val="24"/>
          <w:u w:val="single"/>
          <w:lang w:eastAsia="pt-BR"/>
        </w:rPr>
      </w:pPr>
      <w:r>
        <w:rPr>
          <w:rFonts w:eastAsia="Calibri"/>
          <w:b/>
          <w:bCs/>
          <w:i/>
          <w:iCs/>
          <w:color w:val="000000"/>
          <w:szCs w:val="24"/>
          <w:u w:val="single"/>
          <w:lang w:eastAsia="pt-BR"/>
        </w:rPr>
        <w:br w:type="page"/>
      </w:r>
    </w:p>
    <w:p w14:paraId="17B75066">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t>Apêndice do Anexo I – ESTUDO TÉCNICO PRELIMINAR</w:t>
      </w:r>
    </w:p>
    <w:p w14:paraId="6E941718">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t>e</w:t>
      </w:r>
    </w:p>
    <w:p w14:paraId="4246DCD8">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t>GERENCIAMENTO DE RISCO</w:t>
      </w:r>
    </w:p>
    <w:p w14:paraId="30E76A8A">
      <w:pPr>
        <w:suppressAutoHyphens w:val="0"/>
        <w:autoSpaceDE w:val="0"/>
        <w:autoSpaceDN w:val="0"/>
        <w:adjustRightInd w:val="0"/>
        <w:spacing w:line="360" w:lineRule="auto"/>
        <w:ind w:right="-568"/>
        <w:jc w:val="both"/>
        <w:rPr>
          <w:rFonts w:eastAsia="Calibri"/>
          <w:b/>
          <w:bCs/>
          <w:color w:val="000000"/>
          <w:szCs w:val="24"/>
          <w:lang w:eastAsia="pt-BR"/>
        </w:rPr>
      </w:pPr>
    </w:p>
    <w:p w14:paraId="38EF0E18">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OBJETO</w:t>
      </w:r>
    </w:p>
    <w:p w14:paraId="45FC8004">
      <w:pPr>
        <w:suppressAutoHyphens w:val="0"/>
        <w:autoSpaceDE w:val="0"/>
        <w:autoSpaceDN w:val="0"/>
        <w:adjustRightInd w:val="0"/>
        <w:spacing w:line="360" w:lineRule="auto"/>
        <w:rPr>
          <w:rFonts w:eastAsia="Calibri"/>
          <w:szCs w:val="24"/>
          <w:lang w:eastAsia="pt-BR"/>
        </w:rPr>
      </w:pPr>
      <w:r>
        <w:rPr>
          <w:rFonts w:eastAsia="Calibri"/>
          <w:color w:val="000000"/>
          <w:szCs w:val="24"/>
          <w:lang w:eastAsia="pt-BR"/>
        </w:rPr>
        <w:t xml:space="preserve">Análise da viabilidade técnica e econômica </w:t>
      </w:r>
      <w:r>
        <w:rPr>
          <w:rFonts w:eastAsia="Calibri"/>
          <w:szCs w:val="24"/>
          <w:lang w:eastAsia="pt-BR"/>
        </w:rPr>
        <w:t>para melhorar as condições de</w:t>
      </w:r>
    </w:p>
    <w:p w14:paraId="02C7F65E">
      <w:pPr>
        <w:suppressAutoHyphens w:val="0"/>
        <w:autoSpaceDE w:val="0"/>
        <w:autoSpaceDN w:val="0"/>
        <w:adjustRightInd w:val="0"/>
        <w:spacing w:line="360" w:lineRule="auto"/>
        <w:rPr>
          <w:rFonts w:eastAsia="Calibri"/>
          <w:color w:val="000000"/>
          <w:szCs w:val="24"/>
          <w:lang w:eastAsia="pt-BR"/>
        </w:rPr>
      </w:pPr>
      <w:r>
        <w:rPr>
          <w:rFonts w:eastAsia="Calibri"/>
          <w:szCs w:val="24"/>
          <w:lang w:eastAsia="pt-BR"/>
        </w:rPr>
        <w:t xml:space="preserve">habitabilidade da edificação, no que se refere à redução do desconforto térmico e ofuscação dos servidores pela incidência solar (fadiga visual) pelas janelas envidraçadas, bem como proteger o patrimônio público (mobiliário, equipamentos de informática e demais bens) dessa interferência, </w:t>
      </w:r>
      <w:r>
        <w:rPr>
          <w:rFonts w:eastAsia="Calibri"/>
          <w:color w:val="000000"/>
          <w:szCs w:val="24"/>
          <w:lang w:eastAsia="pt-BR"/>
        </w:rPr>
        <w:t>para atender as demandas das secretarias e gabinete da Prefeitura Municipal de Caracol/MS.</w:t>
      </w:r>
    </w:p>
    <w:p w14:paraId="4C43309D">
      <w:pPr>
        <w:suppressAutoHyphens w:val="0"/>
        <w:autoSpaceDE w:val="0"/>
        <w:autoSpaceDN w:val="0"/>
        <w:adjustRightInd w:val="0"/>
        <w:spacing w:line="360" w:lineRule="auto"/>
        <w:ind w:right="-1"/>
        <w:jc w:val="both"/>
        <w:rPr>
          <w:rFonts w:eastAsia="Calibri"/>
          <w:color w:val="000000"/>
          <w:szCs w:val="24"/>
          <w:lang w:eastAsia="pt-BR"/>
        </w:rPr>
      </w:pPr>
    </w:p>
    <w:p w14:paraId="48ACE748">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 xml:space="preserve">LEGISLAÇÃO </w:t>
      </w:r>
    </w:p>
    <w:p w14:paraId="2C318362">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Lei nº 14.133/2021;</w:t>
      </w:r>
    </w:p>
    <w:p w14:paraId="028A125C">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Lei Complementar nº 123/2006;</w:t>
      </w:r>
    </w:p>
    <w:p w14:paraId="05EEF90A">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Resolução TCE/MS nº 88/2018</w:t>
      </w:r>
      <w:r>
        <w:rPr>
          <w:rFonts w:eastAsia="Calibri"/>
          <w:color w:val="000000"/>
          <w:szCs w:val="24"/>
          <w:lang w:eastAsia="pt-BR"/>
        </w:rPr>
        <w:t xml:space="preserve"> e alterações posteriores. </w:t>
      </w:r>
    </w:p>
    <w:p w14:paraId="3BD4AF28">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Decreto Municipal nº 109</w:t>
      </w:r>
      <w:r>
        <w:rPr>
          <w:rFonts w:eastAsia="Calibri"/>
          <w:szCs w:val="24"/>
          <w:lang w:eastAsia="pt-BR"/>
        </w:rPr>
        <w:t xml:space="preserve"> de 19 de setembro de 2022;</w:t>
      </w:r>
      <w:r>
        <w:rPr>
          <w:rFonts w:eastAsia="Calibri"/>
          <w:color w:val="000000"/>
          <w:szCs w:val="24"/>
          <w:lang w:eastAsia="pt-BR"/>
        </w:rPr>
        <w:t xml:space="preserve"> que regulamenta as categorias de qualidade comum e de luxo.</w:t>
      </w:r>
    </w:p>
    <w:p w14:paraId="695056AE">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Decreto Municipal nº 161</w:t>
      </w:r>
      <w:r>
        <w:rPr>
          <w:rFonts w:eastAsia="Calibri"/>
          <w:szCs w:val="24"/>
          <w:lang w:eastAsia="pt-BR"/>
        </w:rPr>
        <w:t xml:space="preserve"> de 13 de dezembro de 2022;</w:t>
      </w:r>
      <w:r>
        <w:rPr>
          <w:rFonts w:eastAsia="Calibri"/>
          <w:color w:val="000000"/>
          <w:szCs w:val="24"/>
          <w:lang w:eastAsia="pt-BR"/>
        </w:rPr>
        <w:t xml:space="preserve"> que regulamenta os Estudos Técnicos Preliminares- ETP. </w:t>
      </w:r>
    </w:p>
    <w:p w14:paraId="4A1A34DE">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Decreto n° 036</w:t>
      </w:r>
      <w:r>
        <w:rPr>
          <w:rFonts w:eastAsia="Calibri"/>
          <w:color w:val="000000"/>
          <w:szCs w:val="24"/>
          <w:lang w:eastAsia="pt-BR"/>
        </w:rPr>
        <w:t xml:space="preserve">, de 20 de março de 2013: que regulamenta o Termo de Referência- TR. </w:t>
      </w:r>
    </w:p>
    <w:p w14:paraId="6A6AF273">
      <w:pPr>
        <w:suppressAutoHyphens w:val="0"/>
        <w:autoSpaceDE w:val="0"/>
        <w:autoSpaceDN w:val="0"/>
        <w:adjustRightInd w:val="0"/>
        <w:spacing w:line="360" w:lineRule="auto"/>
        <w:jc w:val="both"/>
        <w:rPr>
          <w:rFonts w:eastAsia="Calibri"/>
          <w:szCs w:val="24"/>
          <w:lang w:eastAsia="pt-BR"/>
        </w:rPr>
      </w:pPr>
      <w:r>
        <w:rPr>
          <w:rFonts w:eastAsia="Calibri"/>
          <w:b/>
          <w:bCs/>
          <w:szCs w:val="24"/>
          <w:lang w:eastAsia="pt-BR"/>
        </w:rPr>
        <w:t>Decreto Municipal nº 039</w:t>
      </w:r>
      <w:r>
        <w:rPr>
          <w:rFonts w:eastAsia="Calibri"/>
          <w:szCs w:val="24"/>
          <w:lang w:eastAsia="pt-BR"/>
        </w:rPr>
        <w:t xml:space="preserve"> de 22 de março de 2024;</w:t>
      </w:r>
      <w:r>
        <w:rPr>
          <w:rFonts w:eastAsia="Calibri"/>
          <w:color w:val="000000"/>
          <w:szCs w:val="24"/>
          <w:lang w:eastAsia="pt-BR"/>
        </w:rPr>
        <w:t xml:space="preserve"> que regulamenta as práticas de gestão de risco e controle preventivo nas contratações de obras, serviços e compras.</w:t>
      </w:r>
    </w:p>
    <w:p w14:paraId="23E422C3">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Decreto Municipal nº 133</w:t>
      </w:r>
      <w:r>
        <w:rPr>
          <w:rFonts w:eastAsia="Calibri"/>
          <w:szCs w:val="24"/>
          <w:lang w:eastAsia="pt-BR"/>
        </w:rPr>
        <w:t xml:space="preserve"> de 18 de setembro de 2024;</w:t>
      </w:r>
      <w:r>
        <w:rPr>
          <w:rFonts w:eastAsia="Calibri"/>
          <w:color w:val="000000"/>
          <w:szCs w:val="24"/>
          <w:lang w:eastAsia="pt-BR"/>
        </w:rPr>
        <w:t xml:space="preserve"> que regulamentou os procedimentos administrativos para apuração de infrações e para aplicação de sanções administrativas. </w:t>
      </w:r>
    </w:p>
    <w:p w14:paraId="0216456C">
      <w:pPr>
        <w:suppressAutoHyphens w:val="0"/>
        <w:autoSpaceDE w:val="0"/>
        <w:autoSpaceDN w:val="0"/>
        <w:adjustRightInd w:val="0"/>
        <w:spacing w:line="360" w:lineRule="auto"/>
        <w:jc w:val="both"/>
        <w:rPr>
          <w:rFonts w:eastAsia="Calibri"/>
          <w:szCs w:val="24"/>
          <w:lang w:eastAsia="pt-BR"/>
        </w:rPr>
      </w:pPr>
      <w:r>
        <w:rPr>
          <w:rFonts w:eastAsia="Calibri"/>
          <w:b/>
          <w:bCs/>
          <w:szCs w:val="24"/>
          <w:lang w:eastAsia="pt-BR"/>
        </w:rPr>
        <w:t>Decreto Municipal n° 063</w:t>
      </w:r>
      <w:r>
        <w:rPr>
          <w:rFonts w:eastAsia="Calibri"/>
          <w:szCs w:val="24"/>
          <w:lang w:eastAsia="pt-BR"/>
        </w:rPr>
        <w:t xml:space="preserve"> de 31 de março de 2025; que regulamentou o Sistema de Registro de Preços.</w:t>
      </w:r>
    </w:p>
    <w:p w14:paraId="2B71E4A7">
      <w:pPr>
        <w:suppressAutoHyphens w:val="0"/>
        <w:autoSpaceDE w:val="0"/>
        <w:autoSpaceDN w:val="0"/>
        <w:adjustRightInd w:val="0"/>
        <w:spacing w:line="360" w:lineRule="auto"/>
        <w:ind w:right="-1"/>
        <w:jc w:val="both"/>
        <w:rPr>
          <w:rFonts w:eastAsia="Calibri"/>
          <w:b/>
          <w:bCs/>
          <w:color w:val="000000"/>
          <w:szCs w:val="24"/>
          <w:lang w:eastAsia="pt-BR"/>
        </w:rPr>
      </w:pPr>
    </w:p>
    <w:p w14:paraId="4B5D98C9">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I – D</w:t>
      </w:r>
      <w:r>
        <w:rPr>
          <w:rFonts w:eastAsia="Calibri"/>
          <w:b/>
          <w:bCs/>
          <w:szCs w:val="24"/>
          <w:lang w:eastAsia="pt-BR"/>
        </w:rPr>
        <w:t>escrição da necessidade da contratação, considerado o problema a ser resolvido sob a perspectiva do interesse público</w:t>
      </w:r>
    </w:p>
    <w:p w14:paraId="60BB37C0">
      <w:pPr>
        <w:suppressAutoHyphens w:val="0"/>
        <w:autoSpaceDE w:val="0"/>
        <w:autoSpaceDN w:val="0"/>
        <w:adjustRightInd w:val="0"/>
        <w:spacing w:line="360" w:lineRule="auto"/>
        <w:ind w:right="-568"/>
        <w:jc w:val="both"/>
        <w:rPr>
          <w:rFonts w:eastAsia="Calibri"/>
          <w:color w:val="000000"/>
          <w:szCs w:val="24"/>
          <w:lang w:eastAsia="pt-BR"/>
        </w:rPr>
      </w:pPr>
      <w:r>
        <w:rPr>
          <w:rFonts w:eastAsia="Calibri"/>
          <w:color w:val="000000"/>
          <w:szCs w:val="24"/>
          <w:lang w:eastAsia="pt-BR"/>
        </w:rPr>
        <w:t xml:space="preserve">        A aquisição pretendida tem por finalidade equipar as salas no decorrer do ano. Ao mesmo tempo, visa-se a substituição de materiais desgastados pelo tempo de uso, prevendo ainda ampliação de salas; O presente estudo se refere a persianas com instalação inclusa para controle da luminosidade solar e da sensação térmica das salas das dependências envidraçadas das unidades pertencentes à Prefeitura Municipal; Visa-se proporcionar ambientes adequados e agradáveis, e, também evitar que os equipamentos e mobiliários venham sofrer danos com as altas temperaturas, principalmente, no verão.</w:t>
      </w:r>
    </w:p>
    <w:p w14:paraId="0956ADB3">
      <w:pPr>
        <w:suppressAutoHyphens w:val="0"/>
        <w:autoSpaceDE w:val="0"/>
        <w:autoSpaceDN w:val="0"/>
        <w:adjustRightInd w:val="0"/>
        <w:spacing w:line="360" w:lineRule="auto"/>
        <w:ind w:right="-568"/>
        <w:jc w:val="both"/>
        <w:rPr>
          <w:rFonts w:eastAsia="Calibri"/>
          <w:color w:val="000000"/>
          <w:szCs w:val="24"/>
          <w:lang w:eastAsia="pt-BR"/>
        </w:rPr>
      </w:pPr>
      <w:r>
        <w:rPr>
          <w:rFonts w:eastAsia="Calibri"/>
          <w:color w:val="000000"/>
          <w:szCs w:val="24"/>
          <w:lang w:eastAsia="pt-BR"/>
        </w:rPr>
        <w:t xml:space="preserve">        A incidência de raios solares intensos provoca excesso de calor nas dependências das unidades, consequentemente, isso traz perturbação do público usuário, além de danos nos materiais, de forma que se faz fundamental o controle da luminosidade e da sensação térmica; Assim, as persianas serão utilizadas para proporcionar melhores condições físicas aos ambientes, minimizando o desconforto óptico e térmico provocados pela incidência dos raios e protegendo os usuários e servidores; A aquisição das persianas com seus acessórios visa produzir um ambiente adequado, menos insalubre, mais produtivo e confortável tanto para os servidores públicos, bem como, para os contribuintes que acessam os serviços nos diversos prédios pertencentes a municipalidade.</w:t>
      </w:r>
    </w:p>
    <w:p w14:paraId="5D52638C">
      <w:pPr>
        <w:suppressAutoHyphens w:val="0"/>
        <w:autoSpaceDE w:val="0"/>
        <w:autoSpaceDN w:val="0"/>
        <w:adjustRightInd w:val="0"/>
        <w:spacing w:line="360" w:lineRule="auto"/>
        <w:ind w:right="-568"/>
        <w:jc w:val="both"/>
        <w:rPr>
          <w:rFonts w:eastAsia="Calibri"/>
          <w:color w:val="000000"/>
          <w:szCs w:val="24"/>
          <w:lang w:eastAsia="pt-BR"/>
        </w:rPr>
      </w:pPr>
    </w:p>
    <w:p w14:paraId="3CC1E28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II - Demonstração da previsão da contratação </w:t>
      </w:r>
      <w:r>
        <w:rPr>
          <w:rFonts w:eastAsia="Calibri"/>
          <w:b/>
          <w:bCs/>
          <w:color w:val="000000"/>
          <w:szCs w:val="24"/>
          <w:lang w:eastAsia="pt-BR"/>
        </w:rPr>
        <w:t>no plano de contratações anual, sempre que elaborado, de modo a indicar o seu alinhamento com o planejamento da Administração.</w:t>
      </w:r>
    </w:p>
    <w:p w14:paraId="751D1C40">
      <w:pPr>
        <w:suppressAutoHyphens w:val="0"/>
        <w:autoSpaceDE w:val="0"/>
        <w:autoSpaceDN w:val="0"/>
        <w:adjustRightInd w:val="0"/>
        <w:spacing w:line="360" w:lineRule="auto"/>
        <w:ind w:right="-1"/>
        <w:jc w:val="both"/>
        <w:rPr>
          <w:rFonts w:eastAsia="Calibri"/>
          <w:color w:val="000000"/>
          <w:szCs w:val="24"/>
          <w:lang w:eastAsia="pt-BR"/>
        </w:rPr>
      </w:pPr>
      <w:r>
        <w:rPr>
          <w:rFonts w:eastAsia="Calibri"/>
          <w:szCs w:val="24"/>
          <w:lang w:eastAsia="pt-BR"/>
        </w:rPr>
        <w:t xml:space="preserve">        A futura contratação está devidamente alinhada ao Plano de Contratações Anual publicado no dia Portal nacional das contratações no dia 19/12/2024, disponível no link </w:t>
      </w:r>
      <w:r>
        <w:fldChar w:fldCharType="begin"/>
      </w:r>
      <w:r>
        <w:instrText xml:space="preserve"> HYPERLINK "https://pncp.gov.br/app/pca/03217924000132/2025" </w:instrText>
      </w:r>
      <w:r>
        <w:fldChar w:fldCharType="separate"/>
      </w:r>
      <w:r>
        <w:rPr>
          <w:rFonts w:eastAsia="Calibri"/>
          <w:szCs w:val="24"/>
          <w:lang w:eastAsia="pt-BR"/>
        </w:rPr>
        <w:t>https://pncp.gov.br/app/pca/03217924000132/2025</w:t>
      </w:r>
      <w:r>
        <w:rPr>
          <w:rFonts w:eastAsia="Calibri"/>
          <w:szCs w:val="24"/>
          <w:lang w:eastAsia="pt-BR"/>
        </w:rPr>
        <w:fldChar w:fldCharType="end"/>
      </w:r>
      <w:r>
        <w:rPr>
          <w:rFonts w:eastAsia="Calibri"/>
          <w:szCs w:val="24"/>
          <w:lang w:eastAsia="pt-BR"/>
        </w:rPr>
        <w:t>.</w:t>
      </w:r>
    </w:p>
    <w:p w14:paraId="78D1CC11">
      <w:pPr>
        <w:suppressAutoHyphens w:val="0"/>
        <w:autoSpaceDE w:val="0"/>
        <w:autoSpaceDN w:val="0"/>
        <w:adjustRightInd w:val="0"/>
        <w:spacing w:line="360" w:lineRule="auto"/>
        <w:ind w:right="-1"/>
        <w:jc w:val="both"/>
        <w:rPr>
          <w:rFonts w:eastAsia="Calibri"/>
          <w:color w:val="000000"/>
          <w:szCs w:val="24"/>
          <w:lang w:eastAsia="pt-BR"/>
        </w:rPr>
      </w:pPr>
    </w:p>
    <w:p w14:paraId="238E9C1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III - Requisitos da contratação </w:t>
      </w:r>
    </w:p>
    <w:p w14:paraId="3106F832">
      <w:pPr>
        <w:widowControl w:val="0"/>
        <w:suppressAutoHyphens w:val="0"/>
        <w:autoSpaceDE w:val="0"/>
        <w:autoSpaceDN w:val="0"/>
        <w:adjustRightInd w:val="0"/>
        <w:spacing w:after="120" w:line="360" w:lineRule="auto"/>
        <w:jc w:val="both"/>
        <w:rPr>
          <w:rFonts w:eastAsia="Calibri"/>
          <w:b/>
          <w:bCs/>
          <w:color w:val="000000"/>
          <w:szCs w:val="24"/>
          <w:lang w:eastAsia="pt-BR"/>
        </w:rPr>
      </w:pPr>
      <w:r>
        <w:rPr>
          <w:rFonts w:eastAsia="Calibri"/>
          <w:b/>
          <w:bCs/>
          <w:color w:val="000000"/>
          <w:szCs w:val="24"/>
          <w:lang w:eastAsia="pt-BR"/>
        </w:rPr>
        <w:t xml:space="preserve">3.1. Especificação (detalhamento) </w:t>
      </w:r>
    </w:p>
    <w:tbl>
      <w:tblPr>
        <w:tblStyle w:val="8"/>
        <w:tblW w:w="9351" w:type="dxa"/>
        <w:tblInd w:w="0" w:type="dxa"/>
        <w:tblLayout w:type="fixed"/>
        <w:tblCellMar>
          <w:top w:w="0" w:type="dxa"/>
          <w:left w:w="70" w:type="dxa"/>
          <w:bottom w:w="0" w:type="dxa"/>
          <w:right w:w="70" w:type="dxa"/>
        </w:tblCellMar>
      </w:tblPr>
      <w:tblGrid>
        <w:gridCol w:w="779"/>
        <w:gridCol w:w="879"/>
        <w:gridCol w:w="4858"/>
        <w:gridCol w:w="1276"/>
        <w:gridCol w:w="1559"/>
      </w:tblGrid>
      <w:tr w14:paraId="6C703554">
        <w:tblPrEx>
          <w:tblCellMar>
            <w:top w:w="0" w:type="dxa"/>
            <w:left w:w="70" w:type="dxa"/>
            <w:bottom w:w="0" w:type="dxa"/>
            <w:right w:w="70" w:type="dxa"/>
          </w:tblCellMar>
        </w:tblPrEx>
        <w:trPr>
          <w:trHeight w:val="315" w:hRule="atLeast"/>
        </w:trPr>
        <w:tc>
          <w:tcPr>
            <w:tcW w:w="779" w:type="dxa"/>
            <w:tcBorders>
              <w:top w:val="single" w:color="auto" w:sz="4" w:space="0"/>
              <w:left w:val="single" w:color="auto" w:sz="4" w:space="0"/>
              <w:bottom w:val="single" w:color="auto" w:sz="4" w:space="0"/>
              <w:right w:val="single" w:color="auto" w:sz="4" w:space="0"/>
            </w:tcBorders>
            <w:vAlign w:val="center"/>
          </w:tcPr>
          <w:p w14:paraId="736C67D5">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Item</w:t>
            </w:r>
          </w:p>
        </w:tc>
        <w:tc>
          <w:tcPr>
            <w:tcW w:w="879" w:type="dxa"/>
            <w:tcBorders>
              <w:top w:val="single" w:color="auto" w:sz="4" w:space="0"/>
              <w:left w:val="nil"/>
              <w:bottom w:val="single" w:color="auto" w:sz="4" w:space="0"/>
              <w:right w:val="single" w:color="auto" w:sz="4" w:space="0"/>
            </w:tcBorders>
            <w:vAlign w:val="center"/>
          </w:tcPr>
          <w:p w14:paraId="20D85622">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Código</w:t>
            </w:r>
          </w:p>
        </w:tc>
        <w:tc>
          <w:tcPr>
            <w:tcW w:w="4858" w:type="dxa"/>
            <w:tcBorders>
              <w:top w:val="single" w:color="auto" w:sz="4" w:space="0"/>
              <w:left w:val="nil"/>
              <w:bottom w:val="single" w:color="auto" w:sz="4" w:space="0"/>
              <w:right w:val="single" w:color="auto" w:sz="4" w:space="0"/>
            </w:tcBorders>
            <w:vAlign w:val="center"/>
          </w:tcPr>
          <w:p w14:paraId="266D24A7">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Descrição</w:t>
            </w:r>
          </w:p>
        </w:tc>
        <w:tc>
          <w:tcPr>
            <w:tcW w:w="1276" w:type="dxa"/>
            <w:tcBorders>
              <w:top w:val="single" w:color="auto" w:sz="4" w:space="0"/>
              <w:left w:val="nil"/>
              <w:bottom w:val="single" w:color="auto" w:sz="4" w:space="0"/>
              <w:right w:val="single" w:color="auto" w:sz="4" w:space="0"/>
            </w:tcBorders>
            <w:vAlign w:val="center"/>
          </w:tcPr>
          <w:p w14:paraId="4423ED64">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Quant.</w:t>
            </w:r>
          </w:p>
        </w:tc>
        <w:tc>
          <w:tcPr>
            <w:tcW w:w="1559" w:type="dxa"/>
            <w:tcBorders>
              <w:top w:val="single" w:color="auto" w:sz="4" w:space="0"/>
              <w:left w:val="nil"/>
              <w:bottom w:val="single" w:color="auto" w:sz="4" w:space="0"/>
              <w:right w:val="single" w:color="auto" w:sz="4" w:space="0"/>
            </w:tcBorders>
            <w:vAlign w:val="center"/>
          </w:tcPr>
          <w:p w14:paraId="3156DD30">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Unidade</w:t>
            </w:r>
          </w:p>
        </w:tc>
      </w:tr>
      <w:tr w14:paraId="5A4ECAE8">
        <w:tblPrEx>
          <w:tblCellMar>
            <w:top w:w="0" w:type="dxa"/>
            <w:left w:w="70" w:type="dxa"/>
            <w:bottom w:w="0" w:type="dxa"/>
            <w:right w:w="70" w:type="dxa"/>
          </w:tblCellMar>
        </w:tblPrEx>
        <w:trPr>
          <w:trHeight w:val="1091" w:hRule="atLeast"/>
        </w:trPr>
        <w:tc>
          <w:tcPr>
            <w:tcW w:w="779" w:type="dxa"/>
            <w:tcBorders>
              <w:top w:val="single" w:color="auto" w:sz="4" w:space="0"/>
              <w:left w:val="single" w:color="auto" w:sz="8" w:space="0"/>
              <w:bottom w:val="single" w:color="auto" w:sz="4" w:space="0"/>
              <w:right w:val="single" w:color="auto" w:sz="4" w:space="0"/>
            </w:tcBorders>
            <w:vAlign w:val="center"/>
          </w:tcPr>
          <w:p w14:paraId="27BACEE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879" w:type="dxa"/>
            <w:tcBorders>
              <w:top w:val="single" w:color="auto" w:sz="4" w:space="0"/>
              <w:left w:val="nil"/>
              <w:bottom w:val="single" w:color="auto" w:sz="4" w:space="0"/>
              <w:right w:val="single" w:color="auto" w:sz="4" w:space="0"/>
            </w:tcBorders>
            <w:vAlign w:val="center"/>
          </w:tcPr>
          <w:p w14:paraId="449F4ED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34156</w:t>
            </w:r>
          </w:p>
        </w:tc>
        <w:tc>
          <w:tcPr>
            <w:tcW w:w="4858" w:type="dxa"/>
            <w:tcBorders>
              <w:top w:val="single" w:color="auto" w:sz="4" w:space="0"/>
              <w:left w:val="nil"/>
              <w:bottom w:val="single" w:color="auto" w:sz="4" w:space="0"/>
              <w:right w:val="single" w:color="auto" w:sz="4" w:space="0"/>
            </w:tcBorders>
            <w:vAlign w:val="bottom"/>
          </w:tcPr>
          <w:p w14:paraId="2EA0D51E">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M x 2,40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single" w:color="auto" w:sz="4" w:space="0"/>
              <w:left w:val="nil"/>
              <w:bottom w:val="single" w:color="auto" w:sz="4" w:space="0"/>
              <w:right w:val="single" w:color="auto" w:sz="4" w:space="0"/>
            </w:tcBorders>
            <w:vAlign w:val="center"/>
          </w:tcPr>
          <w:p w14:paraId="6B1CA42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559" w:type="dxa"/>
            <w:tcBorders>
              <w:top w:val="single" w:color="auto" w:sz="4" w:space="0"/>
              <w:left w:val="nil"/>
              <w:bottom w:val="single" w:color="auto" w:sz="4" w:space="0"/>
              <w:right w:val="single" w:color="auto" w:sz="4" w:space="0"/>
            </w:tcBorders>
            <w:vAlign w:val="center"/>
          </w:tcPr>
          <w:p w14:paraId="44D27E9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0B31E6B2">
        <w:tblPrEx>
          <w:tblCellMar>
            <w:top w:w="0" w:type="dxa"/>
            <w:left w:w="70" w:type="dxa"/>
            <w:bottom w:w="0" w:type="dxa"/>
            <w:right w:w="70" w:type="dxa"/>
          </w:tblCellMar>
        </w:tblPrEx>
        <w:trPr>
          <w:trHeight w:val="4102" w:hRule="atLeast"/>
        </w:trPr>
        <w:tc>
          <w:tcPr>
            <w:tcW w:w="779" w:type="dxa"/>
            <w:tcBorders>
              <w:top w:val="nil"/>
              <w:left w:val="single" w:color="auto" w:sz="8" w:space="0"/>
              <w:bottom w:val="single" w:color="auto" w:sz="4" w:space="0"/>
              <w:right w:val="single" w:color="auto" w:sz="4" w:space="0"/>
            </w:tcBorders>
            <w:vAlign w:val="center"/>
          </w:tcPr>
          <w:p w14:paraId="1BCB09A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879" w:type="dxa"/>
            <w:tcBorders>
              <w:top w:val="nil"/>
              <w:left w:val="nil"/>
              <w:bottom w:val="single" w:color="auto" w:sz="4" w:space="0"/>
              <w:right w:val="single" w:color="auto" w:sz="4" w:space="0"/>
            </w:tcBorders>
            <w:vAlign w:val="center"/>
          </w:tcPr>
          <w:p w14:paraId="573D868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34157</w:t>
            </w:r>
          </w:p>
        </w:tc>
        <w:tc>
          <w:tcPr>
            <w:tcW w:w="4858" w:type="dxa"/>
            <w:tcBorders>
              <w:top w:val="nil"/>
              <w:left w:val="nil"/>
              <w:bottom w:val="single" w:color="auto" w:sz="4" w:space="0"/>
              <w:right w:val="single" w:color="auto" w:sz="4" w:space="0"/>
            </w:tcBorders>
            <w:vAlign w:val="bottom"/>
          </w:tcPr>
          <w:p w14:paraId="6E5E105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29A53DF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559" w:type="dxa"/>
            <w:tcBorders>
              <w:top w:val="nil"/>
              <w:left w:val="nil"/>
              <w:bottom w:val="single" w:color="auto" w:sz="4" w:space="0"/>
              <w:right w:val="single" w:color="auto" w:sz="4" w:space="0"/>
            </w:tcBorders>
            <w:vAlign w:val="center"/>
          </w:tcPr>
          <w:p w14:paraId="4346B8F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315AF90C">
        <w:tblPrEx>
          <w:tblCellMar>
            <w:top w:w="0" w:type="dxa"/>
            <w:left w:w="70" w:type="dxa"/>
            <w:bottom w:w="0" w:type="dxa"/>
            <w:right w:w="70" w:type="dxa"/>
          </w:tblCellMar>
        </w:tblPrEx>
        <w:trPr>
          <w:trHeight w:val="2394" w:hRule="atLeast"/>
        </w:trPr>
        <w:tc>
          <w:tcPr>
            <w:tcW w:w="779" w:type="dxa"/>
            <w:tcBorders>
              <w:top w:val="nil"/>
              <w:left w:val="single" w:color="auto" w:sz="8" w:space="0"/>
              <w:bottom w:val="single" w:color="auto" w:sz="4" w:space="0"/>
              <w:right w:val="single" w:color="auto" w:sz="4" w:space="0"/>
            </w:tcBorders>
            <w:vAlign w:val="center"/>
          </w:tcPr>
          <w:p w14:paraId="146BF8C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879" w:type="dxa"/>
            <w:tcBorders>
              <w:top w:val="nil"/>
              <w:left w:val="nil"/>
              <w:bottom w:val="single" w:color="auto" w:sz="4" w:space="0"/>
              <w:right w:val="single" w:color="auto" w:sz="4" w:space="0"/>
            </w:tcBorders>
            <w:vAlign w:val="center"/>
          </w:tcPr>
          <w:p w14:paraId="0D33DA6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34158</w:t>
            </w:r>
          </w:p>
        </w:tc>
        <w:tc>
          <w:tcPr>
            <w:tcW w:w="4858" w:type="dxa"/>
            <w:tcBorders>
              <w:top w:val="nil"/>
              <w:left w:val="nil"/>
              <w:bottom w:val="single" w:color="auto" w:sz="4" w:space="0"/>
              <w:right w:val="single" w:color="auto" w:sz="4" w:space="0"/>
            </w:tcBorders>
            <w:vAlign w:val="bottom"/>
          </w:tcPr>
          <w:p w14:paraId="194DD79E">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5A557F1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7</w:t>
            </w:r>
          </w:p>
        </w:tc>
        <w:tc>
          <w:tcPr>
            <w:tcW w:w="1559" w:type="dxa"/>
            <w:tcBorders>
              <w:top w:val="nil"/>
              <w:left w:val="nil"/>
              <w:bottom w:val="single" w:color="auto" w:sz="4" w:space="0"/>
              <w:right w:val="single" w:color="auto" w:sz="4" w:space="0"/>
            </w:tcBorders>
            <w:vAlign w:val="center"/>
          </w:tcPr>
          <w:p w14:paraId="1CF9AC7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26CD5139">
        <w:tblPrEx>
          <w:tblCellMar>
            <w:top w:w="0" w:type="dxa"/>
            <w:left w:w="70" w:type="dxa"/>
            <w:bottom w:w="0" w:type="dxa"/>
            <w:right w:w="70" w:type="dxa"/>
          </w:tblCellMar>
        </w:tblPrEx>
        <w:trPr>
          <w:trHeight w:val="2394" w:hRule="atLeast"/>
        </w:trPr>
        <w:tc>
          <w:tcPr>
            <w:tcW w:w="779" w:type="dxa"/>
            <w:tcBorders>
              <w:top w:val="nil"/>
              <w:left w:val="single" w:color="auto" w:sz="8" w:space="0"/>
              <w:bottom w:val="single" w:color="auto" w:sz="4" w:space="0"/>
              <w:right w:val="single" w:color="auto" w:sz="4" w:space="0"/>
            </w:tcBorders>
            <w:vAlign w:val="center"/>
          </w:tcPr>
          <w:p w14:paraId="0A111FB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879" w:type="dxa"/>
            <w:tcBorders>
              <w:top w:val="nil"/>
              <w:left w:val="nil"/>
              <w:bottom w:val="single" w:color="auto" w:sz="4" w:space="0"/>
              <w:right w:val="single" w:color="auto" w:sz="4" w:space="0"/>
            </w:tcBorders>
            <w:vAlign w:val="center"/>
          </w:tcPr>
          <w:p w14:paraId="4DF9BD7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34159</w:t>
            </w:r>
          </w:p>
        </w:tc>
        <w:tc>
          <w:tcPr>
            <w:tcW w:w="4858" w:type="dxa"/>
            <w:tcBorders>
              <w:top w:val="nil"/>
              <w:left w:val="nil"/>
              <w:bottom w:val="single" w:color="auto" w:sz="4" w:space="0"/>
              <w:right w:val="single" w:color="auto" w:sz="4" w:space="0"/>
            </w:tcBorders>
            <w:vAlign w:val="bottom"/>
          </w:tcPr>
          <w:p w14:paraId="00E5605C">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7AAE67C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559" w:type="dxa"/>
            <w:tcBorders>
              <w:top w:val="nil"/>
              <w:left w:val="nil"/>
              <w:bottom w:val="single" w:color="auto" w:sz="4" w:space="0"/>
              <w:right w:val="single" w:color="auto" w:sz="4" w:space="0"/>
            </w:tcBorders>
            <w:vAlign w:val="center"/>
          </w:tcPr>
          <w:p w14:paraId="0FCF827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2C39C1B3">
        <w:tblPrEx>
          <w:tblCellMar>
            <w:top w:w="0" w:type="dxa"/>
            <w:left w:w="70" w:type="dxa"/>
            <w:bottom w:w="0" w:type="dxa"/>
            <w:right w:w="70" w:type="dxa"/>
          </w:tblCellMar>
        </w:tblPrEx>
        <w:trPr>
          <w:trHeight w:val="2792" w:hRule="atLeast"/>
        </w:trPr>
        <w:tc>
          <w:tcPr>
            <w:tcW w:w="779" w:type="dxa"/>
            <w:tcBorders>
              <w:top w:val="nil"/>
              <w:left w:val="single" w:color="auto" w:sz="8" w:space="0"/>
              <w:bottom w:val="single" w:color="auto" w:sz="4" w:space="0"/>
              <w:right w:val="single" w:color="auto" w:sz="4" w:space="0"/>
            </w:tcBorders>
            <w:vAlign w:val="center"/>
          </w:tcPr>
          <w:p w14:paraId="2DB1B57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879" w:type="dxa"/>
            <w:tcBorders>
              <w:top w:val="nil"/>
              <w:left w:val="nil"/>
              <w:bottom w:val="single" w:color="auto" w:sz="4" w:space="0"/>
              <w:right w:val="single" w:color="auto" w:sz="4" w:space="0"/>
            </w:tcBorders>
            <w:vAlign w:val="center"/>
          </w:tcPr>
          <w:p w14:paraId="158ACA0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34160</w:t>
            </w:r>
          </w:p>
        </w:tc>
        <w:tc>
          <w:tcPr>
            <w:tcW w:w="4858" w:type="dxa"/>
            <w:tcBorders>
              <w:top w:val="nil"/>
              <w:left w:val="nil"/>
              <w:bottom w:val="single" w:color="auto" w:sz="4" w:space="0"/>
              <w:right w:val="single" w:color="auto" w:sz="4" w:space="0"/>
            </w:tcBorders>
            <w:vAlign w:val="bottom"/>
          </w:tcPr>
          <w:p w14:paraId="087552CD">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2,20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17F6374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559" w:type="dxa"/>
            <w:tcBorders>
              <w:top w:val="nil"/>
              <w:left w:val="nil"/>
              <w:bottom w:val="single" w:color="auto" w:sz="4" w:space="0"/>
              <w:right w:val="single" w:color="auto" w:sz="4" w:space="0"/>
            </w:tcBorders>
            <w:vAlign w:val="center"/>
          </w:tcPr>
          <w:p w14:paraId="5BB43A9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226AE29D">
        <w:tblPrEx>
          <w:tblCellMar>
            <w:top w:w="0" w:type="dxa"/>
            <w:left w:w="70" w:type="dxa"/>
            <w:bottom w:w="0" w:type="dxa"/>
            <w:right w:w="70" w:type="dxa"/>
          </w:tblCellMar>
        </w:tblPrEx>
        <w:trPr>
          <w:trHeight w:val="1827" w:hRule="atLeast"/>
        </w:trPr>
        <w:tc>
          <w:tcPr>
            <w:tcW w:w="779" w:type="dxa"/>
            <w:tcBorders>
              <w:top w:val="nil"/>
              <w:left w:val="single" w:color="auto" w:sz="8" w:space="0"/>
              <w:bottom w:val="single" w:color="auto" w:sz="4" w:space="0"/>
              <w:right w:val="single" w:color="auto" w:sz="4" w:space="0"/>
            </w:tcBorders>
            <w:vAlign w:val="center"/>
          </w:tcPr>
          <w:p w14:paraId="3EC8C4F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6</w:t>
            </w:r>
          </w:p>
        </w:tc>
        <w:tc>
          <w:tcPr>
            <w:tcW w:w="879" w:type="dxa"/>
            <w:tcBorders>
              <w:top w:val="nil"/>
              <w:left w:val="nil"/>
              <w:bottom w:val="single" w:color="auto" w:sz="4" w:space="0"/>
              <w:right w:val="single" w:color="auto" w:sz="4" w:space="0"/>
            </w:tcBorders>
            <w:vAlign w:val="center"/>
          </w:tcPr>
          <w:p w14:paraId="373A43B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34161</w:t>
            </w:r>
          </w:p>
        </w:tc>
        <w:tc>
          <w:tcPr>
            <w:tcW w:w="4858" w:type="dxa"/>
            <w:tcBorders>
              <w:top w:val="nil"/>
              <w:left w:val="nil"/>
              <w:bottom w:val="single" w:color="auto" w:sz="4" w:space="0"/>
              <w:right w:val="single" w:color="auto" w:sz="4" w:space="0"/>
            </w:tcBorders>
            <w:vAlign w:val="bottom"/>
          </w:tcPr>
          <w:p w14:paraId="51450F49">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1,10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61683FC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559" w:type="dxa"/>
            <w:tcBorders>
              <w:top w:val="nil"/>
              <w:left w:val="nil"/>
              <w:bottom w:val="single" w:color="auto" w:sz="4" w:space="0"/>
              <w:right w:val="single" w:color="auto" w:sz="4" w:space="0"/>
            </w:tcBorders>
            <w:vAlign w:val="center"/>
          </w:tcPr>
          <w:p w14:paraId="7762BFF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715DF7CB">
        <w:tblPrEx>
          <w:tblCellMar>
            <w:top w:w="0" w:type="dxa"/>
            <w:left w:w="70" w:type="dxa"/>
            <w:bottom w:w="0" w:type="dxa"/>
            <w:right w:w="70" w:type="dxa"/>
          </w:tblCellMar>
        </w:tblPrEx>
        <w:trPr>
          <w:trHeight w:val="977" w:hRule="atLeast"/>
        </w:trPr>
        <w:tc>
          <w:tcPr>
            <w:tcW w:w="779" w:type="dxa"/>
            <w:tcBorders>
              <w:top w:val="nil"/>
              <w:left w:val="single" w:color="auto" w:sz="8" w:space="0"/>
              <w:bottom w:val="single" w:color="auto" w:sz="4" w:space="0"/>
              <w:right w:val="single" w:color="auto" w:sz="4" w:space="0"/>
            </w:tcBorders>
            <w:vAlign w:val="center"/>
          </w:tcPr>
          <w:p w14:paraId="798454F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7</w:t>
            </w:r>
          </w:p>
        </w:tc>
        <w:tc>
          <w:tcPr>
            <w:tcW w:w="879" w:type="dxa"/>
            <w:tcBorders>
              <w:top w:val="nil"/>
              <w:left w:val="nil"/>
              <w:bottom w:val="single" w:color="auto" w:sz="4" w:space="0"/>
              <w:right w:val="single" w:color="auto" w:sz="4" w:space="0"/>
            </w:tcBorders>
            <w:vAlign w:val="center"/>
          </w:tcPr>
          <w:p w14:paraId="64BC367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34162</w:t>
            </w:r>
          </w:p>
        </w:tc>
        <w:tc>
          <w:tcPr>
            <w:tcW w:w="4858" w:type="dxa"/>
            <w:tcBorders>
              <w:top w:val="nil"/>
              <w:left w:val="nil"/>
              <w:bottom w:val="single" w:color="auto" w:sz="4" w:space="0"/>
              <w:right w:val="single" w:color="auto" w:sz="4" w:space="0"/>
            </w:tcBorders>
            <w:vAlign w:val="bottom"/>
          </w:tcPr>
          <w:p w14:paraId="23831A1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2,20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778C1B5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color="auto" w:sz="4" w:space="0"/>
              <w:right w:val="single" w:color="auto" w:sz="4" w:space="0"/>
            </w:tcBorders>
            <w:vAlign w:val="center"/>
          </w:tcPr>
          <w:p w14:paraId="55030ED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39F4BB58">
        <w:tblPrEx>
          <w:tblCellMar>
            <w:top w:w="0" w:type="dxa"/>
            <w:left w:w="70" w:type="dxa"/>
            <w:bottom w:w="0" w:type="dxa"/>
            <w:right w:w="70" w:type="dxa"/>
          </w:tblCellMar>
        </w:tblPrEx>
        <w:trPr>
          <w:trHeight w:val="2571" w:hRule="atLeast"/>
        </w:trPr>
        <w:tc>
          <w:tcPr>
            <w:tcW w:w="779" w:type="dxa"/>
            <w:tcBorders>
              <w:top w:val="nil"/>
              <w:left w:val="single" w:color="auto" w:sz="8" w:space="0"/>
              <w:bottom w:val="single" w:color="auto" w:sz="4" w:space="0"/>
              <w:right w:val="single" w:color="auto" w:sz="4" w:space="0"/>
            </w:tcBorders>
            <w:vAlign w:val="center"/>
          </w:tcPr>
          <w:p w14:paraId="3CF819D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879" w:type="dxa"/>
            <w:tcBorders>
              <w:top w:val="nil"/>
              <w:left w:val="nil"/>
              <w:bottom w:val="single" w:color="auto" w:sz="4" w:space="0"/>
              <w:right w:val="single" w:color="auto" w:sz="4" w:space="0"/>
            </w:tcBorders>
            <w:vAlign w:val="center"/>
          </w:tcPr>
          <w:p w14:paraId="1504009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34163</w:t>
            </w:r>
          </w:p>
        </w:tc>
        <w:tc>
          <w:tcPr>
            <w:tcW w:w="4858" w:type="dxa"/>
            <w:tcBorders>
              <w:top w:val="nil"/>
              <w:left w:val="nil"/>
              <w:bottom w:val="single" w:color="auto" w:sz="4" w:space="0"/>
              <w:right w:val="single" w:color="auto" w:sz="4" w:space="0"/>
            </w:tcBorders>
            <w:vAlign w:val="bottom"/>
          </w:tcPr>
          <w:p w14:paraId="559725CD">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0,70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229202D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color="auto" w:sz="4" w:space="0"/>
              <w:right w:val="single" w:color="auto" w:sz="4" w:space="0"/>
            </w:tcBorders>
            <w:vAlign w:val="center"/>
          </w:tcPr>
          <w:p w14:paraId="5684A68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2A0E9F52">
        <w:tblPrEx>
          <w:tblCellMar>
            <w:top w:w="0" w:type="dxa"/>
            <w:left w:w="70" w:type="dxa"/>
            <w:bottom w:w="0" w:type="dxa"/>
            <w:right w:w="70" w:type="dxa"/>
          </w:tblCellMar>
        </w:tblPrEx>
        <w:trPr>
          <w:trHeight w:val="410" w:hRule="atLeast"/>
        </w:trPr>
        <w:tc>
          <w:tcPr>
            <w:tcW w:w="779" w:type="dxa"/>
            <w:tcBorders>
              <w:top w:val="nil"/>
              <w:left w:val="single" w:color="auto" w:sz="8" w:space="0"/>
              <w:bottom w:val="single" w:color="auto" w:sz="4" w:space="0"/>
              <w:right w:val="single" w:color="auto" w:sz="4" w:space="0"/>
            </w:tcBorders>
            <w:vAlign w:val="center"/>
          </w:tcPr>
          <w:p w14:paraId="7CC3EAF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9</w:t>
            </w:r>
          </w:p>
        </w:tc>
        <w:tc>
          <w:tcPr>
            <w:tcW w:w="879" w:type="dxa"/>
            <w:tcBorders>
              <w:top w:val="nil"/>
              <w:left w:val="nil"/>
              <w:bottom w:val="single" w:color="auto" w:sz="4" w:space="0"/>
              <w:right w:val="single" w:color="auto" w:sz="4" w:space="0"/>
            </w:tcBorders>
            <w:vAlign w:val="center"/>
          </w:tcPr>
          <w:p w14:paraId="031926C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34164</w:t>
            </w:r>
          </w:p>
        </w:tc>
        <w:tc>
          <w:tcPr>
            <w:tcW w:w="4858" w:type="dxa"/>
            <w:tcBorders>
              <w:top w:val="nil"/>
              <w:left w:val="nil"/>
              <w:bottom w:val="single" w:color="auto" w:sz="4" w:space="0"/>
              <w:right w:val="single" w:color="auto" w:sz="4" w:space="0"/>
            </w:tcBorders>
            <w:vAlign w:val="bottom"/>
          </w:tcPr>
          <w:p w14:paraId="76F234B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0,70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44DCBA0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559" w:type="dxa"/>
            <w:tcBorders>
              <w:top w:val="nil"/>
              <w:left w:val="nil"/>
              <w:bottom w:val="single" w:color="auto" w:sz="4" w:space="0"/>
              <w:right w:val="single" w:color="auto" w:sz="4" w:space="0"/>
            </w:tcBorders>
            <w:vAlign w:val="center"/>
          </w:tcPr>
          <w:p w14:paraId="62D8966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24400B5E">
        <w:tblPrEx>
          <w:tblCellMar>
            <w:top w:w="0" w:type="dxa"/>
            <w:left w:w="70" w:type="dxa"/>
            <w:bottom w:w="0" w:type="dxa"/>
            <w:right w:w="70" w:type="dxa"/>
          </w:tblCellMar>
        </w:tblPrEx>
        <w:trPr>
          <w:trHeight w:val="1119" w:hRule="atLeast"/>
        </w:trPr>
        <w:tc>
          <w:tcPr>
            <w:tcW w:w="779" w:type="dxa"/>
            <w:tcBorders>
              <w:top w:val="nil"/>
              <w:left w:val="single" w:color="auto" w:sz="8" w:space="0"/>
              <w:bottom w:val="single" w:color="auto" w:sz="4" w:space="0"/>
              <w:right w:val="single" w:color="auto" w:sz="4" w:space="0"/>
            </w:tcBorders>
            <w:vAlign w:val="center"/>
          </w:tcPr>
          <w:p w14:paraId="0E02E59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879" w:type="dxa"/>
            <w:tcBorders>
              <w:top w:val="nil"/>
              <w:left w:val="nil"/>
              <w:bottom w:val="single" w:color="auto" w:sz="4" w:space="0"/>
              <w:right w:val="single" w:color="auto" w:sz="4" w:space="0"/>
            </w:tcBorders>
            <w:vAlign w:val="center"/>
          </w:tcPr>
          <w:p w14:paraId="202E41F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34165</w:t>
            </w:r>
          </w:p>
        </w:tc>
        <w:tc>
          <w:tcPr>
            <w:tcW w:w="4858" w:type="dxa"/>
            <w:tcBorders>
              <w:top w:val="nil"/>
              <w:left w:val="nil"/>
              <w:bottom w:val="single" w:color="auto" w:sz="4" w:space="0"/>
              <w:right w:val="single" w:color="auto" w:sz="4" w:space="0"/>
            </w:tcBorders>
            <w:vAlign w:val="bottom"/>
          </w:tcPr>
          <w:p w14:paraId="29A5B3D1">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54F021E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color="auto" w:sz="4" w:space="0"/>
              <w:right w:val="single" w:color="auto" w:sz="4" w:space="0"/>
            </w:tcBorders>
            <w:vAlign w:val="center"/>
          </w:tcPr>
          <w:p w14:paraId="1B5197F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7C6E192D">
        <w:tblPrEx>
          <w:tblCellMar>
            <w:top w:w="0" w:type="dxa"/>
            <w:left w:w="70" w:type="dxa"/>
            <w:bottom w:w="0" w:type="dxa"/>
            <w:right w:w="70" w:type="dxa"/>
          </w:tblCellMar>
        </w:tblPrEx>
        <w:trPr>
          <w:trHeight w:val="4040" w:hRule="atLeast"/>
        </w:trPr>
        <w:tc>
          <w:tcPr>
            <w:tcW w:w="779" w:type="dxa"/>
            <w:tcBorders>
              <w:top w:val="nil"/>
              <w:left w:val="single" w:color="auto" w:sz="8" w:space="0"/>
              <w:bottom w:val="single" w:color="auto" w:sz="4" w:space="0"/>
              <w:right w:val="single" w:color="auto" w:sz="4" w:space="0"/>
            </w:tcBorders>
            <w:vAlign w:val="center"/>
          </w:tcPr>
          <w:p w14:paraId="4800DBC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11</w:t>
            </w:r>
          </w:p>
        </w:tc>
        <w:tc>
          <w:tcPr>
            <w:tcW w:w="879" w:type="dxa"/>
            <w:tcBorders>
              <w:top w:val="nil"/>
              <w:left w:val="nil"/>
              <w:bottom w:val="single" w:color="auto" w:sz="4" w:space="0"/>
              <w:right w:val="single" w:color="auto" w:sz="4" w:space="0"/>
            </w:tcBorders>
            <w:vAlign w:val="center"/>
          </w:tcPr>
          <w:p w14:paraId="63FD52B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34166</w:t>
            </w:r>
          </w:p>
        </w:tc>
        <w:tc>
          <w:tcPr>
            <w:tcW w:w="4858" w:type="dxa"/>
            <w:tcBorders>
              <w:top w:val="nil"/>
              <w:left w:val="nil"/>
              <w:bottom w:val="single" w:color="auto" w:sz="4" w:space="0"/>
              <w:right w:val="single" w:color="auto" w:sz="4" w:space="0"/>
            </w:tcBorders>
            <w:vAlign w:val="bottom"/>
          </w:tcPr>
          <w:p w14:paraId="085A168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031E5AA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color="auto" w:sz="4" w:space="0"/>
              <w:right w:val="single" w:color="auto" w:sz="4" w:space="0"/>
            </w:tcBorders>
            <w:vAlign w:val="center"/>
          </w:tcPr>
          <w:p w14:paraId="3E87D7C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5CD7B845">
        <w:tblPrEx>
          <w:tblCellMar>
            <w:top w:w="0" w:type="dxa"/>
            <w:left w:w="70" w:type="dxa"/>
            <w:bottom w:w="0" w:type="dxa"/>
            <w:right w:w="70" w:type="dxa"/>
          </w:tblCellMar>
        </w:tblPrEx>
        <w:trPr>
          <w:trHeight w:val="559" w:hRule="atLeast"/>
        </w:trPr>
        <w:tc>
          <w:tcPr>
            <w:tcW w:w="779" w:type="dxa"/>
            <w:tcBorders>
              <w:top w:val="nil"/>
              <w:left w:val="single" w:color="auto" w:sz="8" w:space="0"/>
              <w:bottom w:val="single" w:color="auto" w:sz="4" w:space="0"/>
              <w:right w:val="single" w:color="auto" w:sz="4" w:space="0"/>
            </w:tcBorders>
            <w:vAlign w:val="center"/>
          </w:tcPr>
          <w:p w14:paraId="26C8DE6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12</w:t>
            </w:r>
          </w:p>
        </w:tc>
        <w:tc>
          <w:tcPr>
            <w:tcW w:w="879" w:type="dxa"/>
            <w:tcBorders>
              <w:top w:val="nil"/>
              <w:left w:val="nil"/>
              <w:bottom w:val="single" w:color="auto" w:sz="4" w:space="0"/>
              <w:right w:val="single" w:color="auto" w:sz="4" w:space="0"/>
            </w:tcBorders>
            <w:vAlign w:val="center"/>
          </w:tcPr>
          <w:p w14:paraId="0309672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34167</w:t>
            </w:r>
          </w:p>
        </w:tc>
        <w:tc>
          <w:tcPr>
            <w:tcW w:w="4858" w:type="dxa"/>
            <w:tcBorders>
              <w:top w:val="nil"/>
              <w:left w:val="nil"/>
              <w:bottom w:val="single" w:color="auto" w:sz="4" w:space="0"/>
              <w:right w:val="single" w:color="auto" w:sz="4" w:space="0"/>
            </w:tcBorders>
            <w:vAlign w:val="bottom"/>
          </w:tcPr>
          <w:p w14:paraId="1AC6B9BB">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1,00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54CFF2C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color="auto" w:sz="4" w:space="0"/>
              <w:right w:val="single" w:color="auto" w:sz="4" w:space="0"/>
            </w:tcBorders>
            <w:vAlign w:val="center"/>
          </w:tcPr>
          <w:p w14:paraId="48A0D35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5851BC20">
        <w:tblPrEx>
          <w:tblCellMar>
            <w:top w:w="0" w:type="dxa"/>
            <w:left w:w="70" w:type="dxa"/>
            <w:bottom w:w="0" w:type="dxa"/>
            <w:right w:w="70" w:type="dxa"/>
          </w:tblCellMar>
        </w:tblPrEx>
        <w:trPr>
          <w:trHeight w:val="410" w:hRule="atLeast"/>
        </w:trPr>
        <w:tc>
          <w:tcPr>
            <w:tcW w:w="779" w:type="dxa"/>
            <w:tcBorders>
              <w:top w:val="nil"/>
              <w:left w:val="single" w:color="auto" w:sz="8" w:space="0"/>
              <w:bottom w:val="single" w:color="auto" w:sz="4" w:space="0"/>
              <w:right w:val="single" w:color="auto" w:sz="4" w:space="0"/>
            </w:tcBorders>
            <w:vAlign w:val="center"/>
          </w:tcPr>
          <w:p w14:paraId="5AC513D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13</w:t>
            </w:r>
          </w:p>
        </w:tc>
        <w:tc>
          <w:tcPr>
            <w:tcW w:w="879" w:type="dxa"/>
            <w:tcBorders>
              <w:top w:val="nil"/>
              <w:left w:val="nil"/>
              <w:bottom w:val="single" w:color="auto" w:sz="4" w:space="0"/>
              <w:right w:val="single" w:color="auto" w:sz="4" w:space="0"/>
            </w:tcBorders>
            <w:vAlign w:val="center"/>
          </w:tcPr>
          <w:p w14:paraId="55972B1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34169</w:t>
            </w:r>
          </w:p>
        </w:tc>
        <w:tc>
          <w:tcPr>
            <w:tcW w:w="4858" w:type="dxa"/>
            <w:tcBorders>
              <w:top w:val="nil"/>
              <w:left w:val="nil"/>
              <w:bottom w:val="single" w:color="auto" w:sz="4" w:space="0"/>
              <w:right w:val="single" w:color="auto" w:sz="4" w:space="0"/>
            </w:tcBorders>
            <w:vAlign w:val="bottom"/>
          </w:tcPr>
          <w:p w14:paraId="235C3712">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2,25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23B965B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559" w:type="dxa"/>
            <w:tcBorders>
              <w:top w:val="nil"/>
              <w:left w:val="nil"/>
              <w:bottom w:val="single" w:color="auto" w:sz="4" w:space="0"/>
              <w:right w:val="single" w:color="auto" w:sz="4" w:space="0"/>
            </w:tcBorders>
            <w:vAlign w:val="center"/>
          </w:tcPr>
          <w:p w14:paraId="1A80BFF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04BCB535">
        <w:tblPrEx>
          <w:tblCellMar>
            <w:top w:w="0" w:type="dxa"/>
            <w:left w:w="70" w:type="dxa"/>
            <w:bottom w:w="0" w:type="dxa"/>
            <w:right w:w="70" w:type="dxa"/>
          </w:tblCellMar>
        </w:tblPrEx>
        <w:trPr>
          <w:trHeight w:val="2587" w:hRule="atLeast"/>
        </w:trPr>
        <w:tc>
          <w:tcPr>
            <w:tcW w:w="779" w:type="dxa"/>
            <w:tcBorders>
              <w:top w:val="nil"/>
              <w:left w:val="single" w:color="auto" w:sz="8" w:space="0"/>
              <w:bottom w:val="single" w:color="auto" w:sz="4" w:space="0"/>
              <w:right w:val="single" w:color="auto" w:sz="4" w:space="0"/>
            </w:tcBorders>
            <w:vAlign w:val="center"/>
          </w:tcPr>
          <w:p w14:paraId="52AAFD7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14</w:t>
            </w:r>
          </w:p>
        </w:tc>
        <w:tc>
          <w:tcPr>
            <w:tcW w:w="879" w:type="dxa"/>
            <w:tcBorders>
              <w:top w:val="nil"/>
              <w:left w:val="nil"/>
              <w:bottom w:val="single" w:color="auto" w:sz="4" w:space="0"/>
              <w:right w:val="single" w:color="auto" w:sz="4" w:space="0"/>
            </w:tcBorders>
            <w:vAlign w:val="center"/>
          </w:tcPr>
          <w:p w14:paraId="04CA1F3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34170</w:t>
            </w:r>
          </w:p>
        </w:tc>
        <w:tc>
          <w:tcPr>
            <w:tcW w:w="4858" w:type="dxa"/>
            <w:tcBorders>
              <w:top w:val="nil"/>
              <w:left w:val="nil"/>
              <w:bottom w:val="single" w:color="auto" w:sz="4" w:space="0"/>
              <w:right w:val="single" w:color="auto" w:sz="4" w:space="0"/>
            </w:tcBorders>
            <w:vAlign w:val="bottom"/>
          </w:tcPr>
          <w:p w14:paraId="591C2CD0">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0,80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28F00B5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color="auto" w:sz="4" w:space="0"/>
              <w:right w:val="single" w:color="auto" w:sz="4" w:space="0"/>
            </w:tcBorders>
            <w:vAlign w:val="center"/>
          </w:tcPr>
          <w:p w14:paraId="1BF0ECE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4C3CF163">
        <w:tblPrEx>
          <w:tblCellMar>
            <w:top w:w="0" w:type="dxa"/>
            <w:left w:w="70" w:type="dxa"/>
            <w:bottom w:w="0" w:type="dxa"/>
            <w:right w:w="70" w:type="dxa"/>
          </w:tblCellMar>
        </w:tblPrEx>
        <w:trPr>
          <w:trHeight w:val="2922" w:hRule="atLeast"/>
        </w:trPr>
        <w:tc>
          <w:tcPr>
            <w:tcW w:w="779" w:type="dxa"/>
            <w:tcBorders>
              <w:top w:val="nil"/>
              <w:left w:val="single" w:color="auto" w:sz="8" w:space="0"/>
              <w:bottom w:val="single" w:color="auto" w:sz="4" w:space="0"/>
              <w:right w:val="single" w:color="auto" w:sz="4" w:space="0"/>
            </w:tcBorders>
            <w:vAlign w:val="center"/>
          </w:tcPr>
          <w:p w14:paraId="5680659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15</w:t>
            </w:r>
          </w:p>
        </w:tc>
        <w:tc>
          <w:tcPr>
            <w:tcW w:w="879" w:type="dxa"/>
            <w:tcBorders>
              <w:top w:val="nil"/>
              <w:left w:val="nil"/>
              <w:bottom w:val="single" w:color="auto" w:sz="4" w:space="0"/>
              <w:right w:val="single" w:color="auto" w:sz="4" w:space="0"/>
            </w:tcBorders>
            <w:vAlign w:val="center"/>
          </w:tcPr>
          <w:p w14:paraId="16C5C8D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34171</w:t>
            </w:r>
          </w:p>
        </w:tc>
        <w:tc>
          <w:tcPr>
            <w:tcW w:w="4858" w:type="dxa"/>
            <w:tcBorders>
              <w:top w:val="nil"/>
              <w:left w:val="nil"/>
              <w:bottom w:val="single" w:color="auto" w:sz="4" w:space="0"/>
              <w:right w:val="single" w:color="auto" w:sz="4" w:space="0"/>
            </w:tcBorders>
            <w:vAlign w:val="bottom"/>
          </w:tcPr>
          <w:p w14:paraId="3CB7A7EB">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6CB1AFD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559" w:type="dxa"/>
            <w:tcBorders>
              <w:top w:val="nil"/>
              <w:left w:val="nil"/>
              <w:bottom w:val="single" w:color="auto" w:sz="4" w:space="0"/>
              <w:right w:val="single" w:color="auto" w:sz="4" w:space="0"/>
            </w:tcBorders>
            <w:vAlign w:val="center"/>
          </w:tcPr>
          <w:p w14:paraId="77B3EAA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4906588C">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5905472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16</w:t>
            </w:r>
          </w:p>
        </w:tc>
        <w:tc>
          <w:tcPr>
            <w:tcW w:w="879" w:type="dxa"/>
            <w:tcBorders>
              <w:top w:val="nil"/>
              <w:left w:val="nil"/>
              <w:bottom w:val="single" w:color="auto" w:sz="4" w:space="0"/>
              <w:right w:val="single" w:color="auto" w:sz="4" w:space="0"/>
            </w:tcBorders>
            <w:vAlign w:val="center"/>
          </w:tcPr>
          <w:p w14:paraId="3A872AA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34172</w:t>
            </w:r>
          </w:p>
        </w:tc>
        <w:tc>
          <w:tcPr>
            <w:tcW w:w="4858" w:type="dxa"/>
            <w:tcBorders>
              <w:top w:val="nil"/>
              <w:left w:val="nil"/>
              <w:bottom w:val="single" w:color="auto" w:sz="4" w:space="0"/>
              <w:right w:val="single" w:color="auto" w:sz="4" w:space="0"/>
            </w:tcBorders>
            <w:vAlign w:val="bottom"/>
          </w:tcPr>
          <w:p w14:paraId="6E7C7586">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1,60 x 2,30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37B5979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559" w:type="dxa"/>
            <w:tcBorders>
              <w:top w:val="nil"/>
              <w:left w:val="nil"/>
              <w:bottom w:val="single" w:color="auto" w:sz="4" w:space="0"/>
              <w:right w:val="single" w:color="auto" w:sz="4" w:space="0"/>
            </w:tcBorders>
            <w:vAlign w:val="center"/>
          </w:tcPr>
          <w:p w14:paraId="4C85EDF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6DBEB6C0">
        <w:tblPrEx>
          <w:tblCellMar>
            <w:top w:w="0" w:type="dxa"/>
            <w:left w:w="70" w:type="dxa"/>
            <w:bottom w:w="0" w:type="dxa"/>
            <w:right w:w="70" w:type="dxa"/>
          </w:tblCellMar>
        </w:tblPrEx>
        <w:trPr>
          <w:trHeight w:val="1544" w:hRule="atLeast"/>
        </w:trPr>
        <w:tc>
          <w:tcPr>
            <w:tcW w:w="779" w:type="dxa"/>
            <w:tcBorders>
              <w:top w:val="nil"/>
              <w:left w:val="single" w:color="auto" w:sz="8" w:space="0"/>
              <w:bottom w:val="single" w:color="auto" w:sz="4" w:space="0"/>
              <w:right w:val="single" w:color="auto" w:sz="4" w:space="0"/>
            </w:tcBorders>
            <w:vAlign w:val="center"/>
          </w:tcPr>
          <w:p w14:paraId="137FC17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17</w:t>
            </w:r>
          </w:p>
        </w:tc>
        <w:tc>
          <w:tcPr>
            <w:tcW w:w="879" w:type="dxa"/>
            <w:tcBorders>
              <w:top w:val="nil"/>
              <w:left w:val="nil"/>
              <w:bottom w:val="single" w:color="auto" w:sz="4" w:space="0"/>
              <w:right w:val="single" w:color="auto" w:sz="4" w:space="0"/>
            </w:tcBorders>
            <w:vAlign w:val="center"/>
          </w:tcPr>
          <w:p w14:paraId="272D941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34173</w:t>
            </w:r>
          </w:p>
        </w:tc>
        <w:tc>
          <w:tcPr>
            <w:tcW w:w="4858" w:type="dxa"/>
            <w:tcBorders>
              <w:top w:val="nil"/>
              <w:left w:val="nil"/>
              <w:bottom w:val="single" w:color="auto" w:sz="4" w:space="0"/>
              <w:right w:val="single" w:color="auto" w:sz="4" w:space="0"/>
            </w:tcBorders>
            <w:vAlign w:val="bottom"/>
          </w:tcPr>
          <w:p w14:paraId="1A9760D2">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1,90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w:t>
            </w:r>
          </w:p>
        </w:tc>
        <w:tc>
          <w:tcPr>
            <w:tcW w:w="1276" w:type="dxa"/>
            <w:tcBorders>
              <w:top w:val="nil"/>
              <w:left w:val="nil"/>
              <w:bottom w:val="single" w:color="auto" w:sz="4" w:space="0"/>
              <w:right w:val="single" w:color="auto" w:sz="4" w:space="0"/>
            </w:tcBorders>
            <w:vAlign w:val="center"/>
          </w:tcPr>
          <w:p w14:paraId="3C6A14A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color="auto" w:sz="4" w:space="0"/>
              <w:right w:val="single" w:color="auto" w:sz="4" w:space="0"/>
            </w:tcBorders>
            <w:vAlign w:val="center"/>
          </w:tcPr>
          <w:p w14:paraId="4CA8407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702A07C7">
        <w:tblPrEx>
          <w:tblCellMar>
            <w:top w:w="0" w:type="dxa"/>
            <w:left w:w="70" w:type="dxa"/>
            <w:bottom w:w="0" w:type="dxa"/>
            <w:right w:w="70" w:type="dxa"/>
          </w:tblCellMar>
        </w:tblPrEx>
        <w:trPr>
          <w:trHeight w:val="1764" w:hRule="atLeast"/>
        </w:trPr>
        <w:tc>
          <w:tcPr>
            <w:tcW w:w="779" w:type="dxa"/>
            <w:tcBorders>
              <w:top w:val="nil"/>
              <w:left w:val="single" w:color="auto" w:sz="8" w:space="0"/>
              <w:bottom w:val="single" w:color="auto" w:sz="4" w:space="0"/>
              <w:right w:val="single" w:color="auto" w:sz="4" w:space="0"/>
            </w:tcBorders>
            <w:vAlign w:val="center"/>
          </w:tcPr>
          <w:p w14:paraId="4875DE8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18</w:t>
            </w:r>
          </w:p>
        </w:tc>
        <w:tc>
          <w:tcPr>
            <w:tcW w:w="879" w:type="dxa"/>
            <w:tcBorders>
              <w:top w:val="nil"/>
              <w:left w:val="nil"/>
              <w:bottom w:val="single" w:color="auto" w:sz="4" w:space="0"/>
              <w:right w:val="single" w:color="auto" w:sz="4" w:space="0"/>
            </w:tcBorders>
            <w:vAlign w:val="center"/>
          </w:tcPr>
          <w:p w14:paraId="6CE7E2B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34174</w:t>
            </w:r>
          </w:p>
        </w:tc>
        <w:tc>
          <w:tcPr>
            <w:tcW w:w="4858" w:type="dxa"/>
            <w:tcBorders>
              <w:top w:val="nil"/>
              <w:left w:val="nil"/>
              <w:bottom w:val="single" w:color="auto" w:sz="4" w:space="0"/>
              <w:right w:val="single" w:color="auto" w:sz="4" w:space="0"/>
            </w:tcBorders>
            <w:vAlign w:val="bottom"/>
          </w:tcPr>
          <w:p w14:paraId="16F0C33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2D7D2AC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559" w:type="dxa"/>
            <w:tcBorders>
              <w:top w:val="nil"/>
              <w:left w:val="nil"/>
              <w:bottom w:val="single" w:color="auto" w:sz="4" w:space="0"/>
              <w:right w:val="single" w:color="auto" w:sz="4" w:space="0"/>
            </w:tcBorders>
            <w:vAlign w:val="center"/>
          </w:tcPr>
          <w:p w14:paraId="35E0124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4B74E760">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1779634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19</w:t>
            </w:r>
          </w:p>
        </w:tc>
        <w:tc>
          <w:tcPr>
            <w:tcW w:w="879" w:type="dxa"/>
            <w:tcBorders>
              <w:top w:val="nil"/>
              <w:left w:val="nil"/>
              <w:bottom w:val="single" w:color="auto" w:sz="4" w:space="0"/>
              <w:right w:val="single" w:color="auto" w:sz="4" w:space="0"/>
            </w:tcBorders>
            <w:vAlign w:val="center"/>
          </w:tcPr>
          <w:p w14:paraId="26E1F8D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34175</w:t>
            </w:r>
          </w:p>
        </w:tc>
        <w:tc>
          <w:tcPr>
            <w:tcW w:w="4858" w:type="dxa"/>
            <w:tcBorders>
              <w:top w:val="nil"/>
              <w:left w:val="nil"/>
              <w:bottom w:val="single" w:color="auto" w:sz="4" w:space="0"/>
              <w:right w:val="single" w:color="auto" w:sz="4" w:space="0"/>
            </w:tcBorders>
            <w:vAlign w:val="bottom"/>
          </w:tcPr>
          <w:p w14:paraId="4614922B">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1E3866B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559" w:type="dxa"/>
            <w:tcBorders>
              <w:top w:val="nil"/>
              <w:left w:val="nil"/>
              <w:bottom w:val="single" w:color="auto" w:sz="4" w:space="0"/>
              <w:right w:val="single" w:color="auto" w:sz="4" w:space="0"/>
            </w:tcBorders>
            <w:vAlign w:val="center"/>
          </w:tcPr>
          <w:p w14:paraId="74C883C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2376CC1F">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5EDD259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20</w:t>
            </w:r>
          </w:p>
        </w:tc>
        <w:tc>
          <w:tcPr>
            <w:tcW w:w="879" w:type="dxa"/>
            <w:tcBorders>
              <w:top w:val="nil"/>
              <w:left w:val="nil"/>
              <w:bottom w:val="single" w:color="auto" w:sz="4" w:space="0"/>
              <w:right w:val="single" w:color="auto" w:sz="4" w:space="0"/>
            </w:tcBorders>
            <w:vAlign w:val="center"/>
          </w:tcPr>
          <w:p w14:paraId="64F8ECC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34176</w:t>
            </w:r>
          </w:p>
        </w:tc>
        <w:tc>
          <w:tcPr>
            <w:tcW w:w="4858" w:type="dxa"/>
            <w:tcBorders>
              <w:top w:val="nil"/>
              <w:left w:val="nil"/>
              <w:bottom w:val="single" w:color="auto" w:sz="4" w:space="0"/>
              <w:right w:val="single" w:color="auto" w:sz="4" w:space="0"/>
            </w:tcBorders>
            <w:vAlign w:val="bottom"/>
          </w:tcPr>
          <w:p w14:paraId="3CA0419F">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6B02347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559" w:type="dxa"/>
            <w:tcBorders>
              <w:top w:val="nil"/>
              <w:left w:val="nil"/>
              <w:bottom w:val="single" w:color="auto" w:sz="4" w:space="0"/>
              <w:right w:val="single" w:color="auto" w:sz="4" w:space="0"/>
            </w:tcBorders>
            <w:vAlign w:val="center"/>
          </w:tcPr>
          <w:p w14:paraId="4EA4CDC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26FF9C93">
        <w:tblPrEx>
          <w:tblCellMar>
            <w:top w:w="0" w:type="dxa"/>
            <w:left w:w="70" w:type="dxa"/>
            <w:bottom w:w="0" w:type="dxa"/>
            <w:right w:w="70" w:type="dxa"/>
          </w:tblCellMar>
        </w:tblPrEx>
        <w:trPr>
          <w:trHeight w:val="1118" w:hRule="atLeast"/>
        </w:trPr>
        <w:tc>
          <w:tcPr>
            <w:tcW w:w="779" w:type="dxa"/>
            <w:tcBorders>
              <w:top w:val="nil"/>
              <w:left w:val="single" w:color="auto" w:sz="8" w:space="0"/>
              <w:bottom w:val="single" w:color="auto" w:sz="4" w:space="0"/>
              <w:right w:val="single" w:color="auto" w:sz="4" w:space="0"/>
            </w:tcBorders>
            <w:vAlign w:val="center"/>
          </w:tcPr>
          <w:p w14:paraId="1F8174A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21</w:t>
            </w:r>
          </w:p>
        </w:tc>
        <w:tc>
          <w:tcPr>
            <w:tcW w:w="879" w:type="dxa"/>
            <w:tcBorders>
              <w:top w:val="nil"/>
              <w:left w:val="nil"/>
              <w:bottom w:val="single" w:color="auto" w:sz="4" w:space="0"/>
              <w:right w:val="single" w:color="auto" w:sz="4" w:space="0"/>
            </w:tcBorders>
            <w:vAlign w:val="center"/>
          </w:tcPr>
          <w:p w14:paraId="4465687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34177</w:t>
            </w:r>
          </w:p>
        </w:tc>
        <w:tc>
          <w:tcPr>
            <w:tcW w:w="4858" w:type="dxa"/>
            <w:tcBorders>
              <w:top w:val="nil"/>
              <w:left w:val="nil"/>
              <w:bottom w:val="single" w:color="auto" w:sz="4" w:space="0"/>
              <w:right w:val="single" w:color="auto" w:sz="4" w:space="0"/>
            </w:tcBorders>
            <w:vAlign w:val="bottom"/>
          </w:tcPr>
          <w:p w14:paraId="01655462">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2762DB1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559" w:type="dxa"/>
            <w:tcBorders>
              <w:top w:val="nil"/>
              <w:left w:val="nil"/>
              <w:bottom w:val="single" w:color="auto" w:sz="4" w:space="0"/>
              <w:right w:val="single" w:color="auto" w:sz="4" w:space="0"/>
            </w:tcBorders>
            <w:vAlign w:val="center"/>
          </w:tcPr>
          <w:p w14:paraId="167BD0A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3CB2B829">
        <w:tblPrEx>
          <w:tblCellMar>
            <w:top w:w="0" w:type="dxa"/>
            <w:left w:w="70" w:type="dxa"/>
            <w:bottom w:w="0" w:type="dxa"/>
            <w:right w:w="70" w:type="dxa"/>
          </w:tblCellMar>
        </w:tblPrEx>
        <w:trPr>
          <w:trHeight w:val="1410" w:hRule="atLeast"/>
        </w:trPr>
        <w:tc>
          <w:tcPr>
            <w:tcW w:w="779" w:type="dxa"/>
            <w:tcBorders>
              <w:top w:val="nil"/>
              <w:left w:val="single" w:color="auto" w:sz="8" w:space="0"/>
              <w:bottom w:val="single" w:color="auto" w:sz="4" w:space="0"/>
              <w:right w:val="single" w:color="auto" w:sz="4" w:space="0"/>
            </w:tcBorders>
            <w:vAlign w:val="center"/>
          </w:tcPr>
          <w:p w14:paraId="37267AB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22</w:t>
            </w:r>
          </w:p>
        </w:tc>
        <w:tc>
          <w:tcPr>
            <w:tcW w:w="879" w:type="dxa"/>
            <w:tcBorders>
              <w:top w:val="nil"/>
              <w:left w:val="nil"/>
              <w:bottom w:val="single" w:color="auto" w:sz="4" w:space="0"/>
              <w:right w:val="single" w:color="auto" w:sz="4" w:space="0"/>
            </w:tcBorders>
            <w:vAlign w:val="center"/>
          </w:tcPr>
          <w:p w14:paraId="5A3DE53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34178</w:t>
            </w:r>
          </w:p>
        </w:tc>
        <w:tc>
          <w:tcPr>
            <w:tcW w:w="4858" w:type="dxa"/>
            <w:tcBorders>
              <w:top w:val="nil"/>
              <w:left w:val="nil"/>
              <w:bottom w:val="single" w:color="auto" w:sz="4" w:space="0"/>
              <w:right w:val="single" w:color="auto" w:sz="4" w:space="0"/>
            </w:tcBorders>
            <w:vAlign w:val="bottom"/>
          </w:tcPr>
          <w:p w14:paraId="138ED8A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2,20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6A1A538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color="auto" w:sz="4" w:space="0"/>
              <w:right w:val="single" w:color="auto" w:sz="4" w:space="0"/>
            </w:tcBorders>
            <w:vAlign w:val="center"/>
          </w:tcPr>
          <w:p w14:paraId="0F048D7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1E8BBF66">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2F4FD8C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23</w:t>
            </w:r>
          </w:p>
        </w:tc>
        <w:tc>
          <w:tcPr>
            <w:tcW w:w="879" w:type="dxa"/>
            <w:tcBorders>
              <w:top w:val="nil"/>
              <w:left w:val="nil"/>
              <w:bottom w:val="single" w:color="auto" w:sz="4" w:space="0"/>
              <w:right w:val="single" w:color="auto" w:sz="4" w:space="0"/>
            </w:tcBorders>
            <w:vAlign w:val="center"/>
          </w:tcPr>
          <w:p w14:paraId="253B587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34179</w:t>
            </w:r>
          </w:p>
        </w:tc>
        <w:tc>
          <w:tcPr>
            <w:tcW w:w="4858" w:type="dxa"/>
            <w:tcBorders>
              <w:top w:val="nil"/>
              <w:left w:val="nil"/>
              <w:bottom w:val="single" w:color="auto" w:sz="4" w:space="0"/>
              <w:right w:val="single" w:color="auto" w:sz="4" w:space="0"/>
            </w:tcBorders>
            <w:vAlign w:val="bottom"/>
          </w:tcPr>
          <w:p w14:paraId="70BE1D87">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487FC2B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1559" w:type="dxa"/>
            <w:tcBorders>
              <w:top w:val="nil"/>
              <w:left w:val="nil"/>
              <w:bottom w:val="single" w:color="auto" w:sz="4" w:space="0"/>
              <w:right w:val="single" w:color="auto" w:sz="4" w:space="0"/>
            </w:tcBorders>
            <w:vAlign w:val="center"/>
          </w:tcPr>
          <w:p w14:paraId="685EF93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12AF1104">
        <w:tblPrEx>
          <w:tblCellMar>
            <w:top w:w="0" w:type="dxa"/>
            <w:left w:w="70" w:type="dxa"/>
            <w:bottom w:w="0" w:type="dxa"/>
            <w:right w:w="70" w:type="dxa"/>
          </w:tblCellMar>
        </w:tblPrEx>
        <w:trPr>
          <w:trHeight w:val="2445" w:hRule="atLeast"/>
        </w:trPr>
        <w:tc>
          <w:tcPr>
            <w:tcW w:w="779" w:type="dxa"/>
            <w:tcBorders>
              <w:top w:val="nil"/>
              <w:left w:val="single" w:color="auto" w:sz="8" w:space="0"/>
              <w:bottom w:val="single" w:color="auto" w:sz="4" w:space="0"/>
              <w:right w:val="single" w:color="auto" w:sz="4" w:space="0"/>
            </w:tcBorders>
            <w:vAlign w:val="center"/>
          </w:tcPr>
          <w:p w14:paraId="723A6EA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24</w:t>
            </w:r>
          </w:p>
        </w:tc>
        <w:tc>
          <w:tcPr>
            <w:tcW w:w="879" w:type="dxa"/>
            <w:tcBorders>
              <w:top w:val="nil"/>
              <w:left w:val="nil"/>
              <w:bottom w:val="single" w:color="auto" w:sz="4" w:space="0"/>
              <w:right w:val="single" w:color="auto" w:sz="4" w:space="0"/>
            </w:tcBorders>
            <w:vAlign w:val="center"/>
          </w:tcPr>
          <w:p w14:paraId="46B45BF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34180</w:t>
            </w:r>
          </w:p>
        </w:tc>
        <w:tc>
          <w:tcPr>
            <w:tcW w:w="4858" w:type="dxa"/>
            <w:tcBorders>
              <w:top w:val="nil"/>
              <w:left w:val="nil"/>
              <w:bottom w:val="single" w:color="auto" w:sz="4" w:space="0"/>
              <w:right w:val="single" w:color="auto" w:sz="4" w:space="0"/>
            </w:tcBorders>
            <w:vAlign w:val="bottom"/>
          </w:tcPr>
          <w:p w14:paraId="1038849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6342A23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559" w:type="dxa"/>
            <w:tcBorders>
              <w:top w:val="nil"/>
              <w:left w:val="nil"/>
              <w:bottom w:val="single" w:color="auto" w:sz="4" w:space="0"/>
              <w:right w:val="single" w:color="auto" w:sz="4" w:space="0"/>
            </w:tcBorders>
            <w:vAlign w:val="center"/>
          </w:tcPr>
          <w:p w14:paraId="0E55F54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17E33C57">
        <w:tblPrEx>
          <w:tblCellMar>
            <w:top w:w="0" w:type="dxa"/>
            <w:left w:w="70" w:type="dxa"/>
            <w:bottom w:w="0" w:type="dxa"/>
            <w:right w:w="70" w:type="dxa"/>
          </w:tblCellMar>
        </w:tblPrEx>
        <w:trPr>
          <w:trHeight w:val="3347" w:hRule="atLeast"/>
        </w:trPr>
        <w:tc>
          <w:tcPr>
            <w:tcW w:w="779" w:type="dxa"/>
            <w:tcBorders>
              <w:top w:val="nil"/>
              <w:left w:val="single" w:color="auto" w:sz="8" w:space="0"/>
              <w:bottom w:val="single" w:color="auto" w:sz="4" w:space="0"/>
              <w:right w:val="single" w:color="auto" w:sz="4" w:space="0"/>
            </w:tcBorders>
            <w:vAlign w:val="center"/>
          </w:tcPr>
          <w:p w14:paraId="612C7BB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25</w:t>
            </w:r>
          </w:p>
        </w:tc>
        <w:tc>
          <w:tcPr>
            <w:tcW w:w="879" w:type="dxa"/>
            <w:tcBorders>
              <w:top w:val="nil"/>
              <w:left w:val="nil"/>
              <w:bottom w:val="single" w:color="auto" w:sz="4" w:space="0"/>
              <w:right w:val="single" w:color="auto" w:sz="4" w:space="0"/>
            </w:tcBorders>
            <w:vAlign w:val="center"/>
          </w:tcPr>
          <w:p w14:paraId="02936E0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34181</w:t>
            </w:r>
          </w:p>
        </w:tc>
        <w:tc>
          <w:tcPr>
            <w:tcW w:w="4858" w:type="dxa"/>
            <w:tcBorders>
              <w:top w:val="nil"/>
              <w:left w:val="nil"/>
              <w:bottom w:val="single" w:color="auto" w:sz="4" w:space="0"/>
              <w:right w:val="single" w:color="auto" w:sz="4" w:space="0"/>
            </w:tcBorders>
            <w:vAlign w:val="bottom"/>
          </w:tcPr>
          <w:p w14:paraId="6CF0EC1D">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719F121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color="auto" w:sz="4" w:space="0"/>
              <w:right w:val="single" w:color="auto" w:sz="4" w:space="0"/>
            </w:tcBorders>
            <w:vAlign w:val="center"/>
          </w:tcPr>
          <w:p w14:paraId="7E86E3E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72EEEBBD">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038E9A7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26</w:t>
            </w:r>
          </w:p>
        </w:tc>
        <w:tc>
          <w:tcPr>
            <w:tcW w:w="879" w:type="dxa"/>
            <w:tcBorders>
              <w:top w:val="nil"/>
              <w:left w:val="nil"/>
              <w:bottom w:val="single" w:color="auto" w:sz="4" w:space="0"/>
              <w:right w:val="single" w:color="auto" w:sz="4" w:space="0"/>
            </w:tcBorders>
            <w:vAlign w:val="center"/>
          </w:tcPr>
          <w:p w14:paraId="10C89E4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34182</w:t>
            </w:r>
          </w:p>
        </w:tc>
        <w:tc>
          <w:tcPr>
            <w:tcW w:w="4858" w:type="dxa"/>
            <w:tcBorders>
              <w:top w:val="nil"/>
              <w:left w:val="nil"/>
              <w:bottom w:val="single" w:color="auto" w:sz="4" w:space="0"/>
              <w:right w:val="single" w:color="auto" w:sz="4" w:space="0"/>
            </w:tcBorders>
            <w:vAlign w:val="bottom"/>
          </w:tcPr>
          <w:p w14:paraId="7B6DA5FE">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2.50 x 1.50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3886000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1559" w:type="dxa"/>
            <w:tcBorders>
              <w:top w:val="nil"/>
              <w:left w:val="nil"/>
              <w:bottom w:val="single" w:color="auto" w:sz="4" w:space="0"/>
              <w:right w:val="single" w:color="auto" w:sz="4" w:space="0"/>
            </w:tcBorders>
            <w:vAlign w:val="center"/>
          </w:tcPr>
          <w:p w14:paraId="07BCD97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0CB66B5D">
        <w:tblPrEx>
          <w:tblCellMar>
            <w:top w:w="0" w:type="dxa"/>
            <w:left w:w="70" w:type="dxa"/>
            <w:bottom w:w="0" w:type="dxa"/>
            <w:right w:w="70" w:type="dxa"/>
          </w:tblCellMar>
        </w:tblPrEx>
        <w:trPr>
          <w:trHeight w:val="3528" w:hRule="atLeast"/>
        </w:trPr>
        <w:tc>
          <w:tcPr>
            <w:tcW w:w="779" w:type="dxa"/>
            <w:tcBorders>
              <w:top w:val="nil"/>
              <w:left w:val="single" w:color="auto" w:sz="8" w:space="0"/>
              <w:bottom w:val="single" w:color="auto" w:sz="4" w:space="0"/>
              <w:right w:val="single" w:color="auto" w:sz="4" w:space="0"/>
            </w:tcBorders>
            <w:vAlign w:val="center"/>
          </w:tcPr>
          <w:p w14:paraId="52D69F2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27</w:t>
            </w:r>
          </w:p>
        </w:tc>
        <w:tc>
          <w:tcPr>
            <w:tcW w:w="879" w:type="dxa"/>
            <w:tcBorders>
              <w:top w:val="nil"/>
              <w:left w:val="nil"/>
              <w:bottom w:val="single" w:color="auto" w:sz="4" w:space="0"/>
              <w:right w:val="single" w:color="auto" w:sz="4" w:space="0"/>
            </w:tcBorders>
            <w:vAlign w:val="center"/>
          </w:tcPr>
          <w:p w14:paraId="0EA39D5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34266</w:t>
            </w:r>
          </w:p>
        </w:tc>
        <w:tc>
          <w:tcPr>
            <w:tcW w:w="4858" w:type="dxa"/>
            <w:tcBorders>
              <w:top w:val="nil"/>
              <w:left w:val="nil"/>
              <w:bottom w:val="single" w:color="auto" w:sz="4" w:space="0"/>
              <w:right w:val="single" w:color="auto" w:sz="4" w:space="0"/>
            </w:tcBorders>
            <w:vAlign w:val="bottom"/>
          </w:tcPr>
          <w:p w14:paraId="35D8D399">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2,20 M x 2,20 M(ALTURA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5A3A741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1559" w:type="dxa"/>
            <w:tcBorders>
              <w:top w:val="nil"/>
              <w:left w:val="nil"/>
              <w:bottom w:val="single" w:color="auto" w:sz="4" w:space="0"/>
              <w:right w:val="single" w:color="auto" w:sz="4" w:space="0"/>
            </w:tcBorders>
            <w:vAlign w:val="center"/>
          </w:tcPr>
          <w:p w14:paraId="0F856D1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2D158EFC">
        <w:tblPrEx>
          <w:tblCellMar>
            <w:top w:w="0" w:type="dxa"/>
            <w:left w:w="70" w:type="dxa"/>
            <w:bottom w:w="0" w:type="dxa"/>
            <w:right w:w="70" w:type="dxa"/>
          </w:tblCellMar>
        </w:tblPrEx>
        <w:trPr>
          <w:trHeight w:val="977" w:hRule="atLeast"/>
        </w:trPr>
        <w:tc>
          <w:tcPr>
            <w:tcW w:w="779" w:type="dxa"/>
            <w:tcBorders>
              <w:top w:val="nil"/>
              <w:left w:val="single" w:color="auto" w:sz="8" w:space="0"/>
              <w:bottom w:val="single" w:color="auto" w:sz="4" w:space="0"/>
              <w:right w:val="single" w:color="auto" w:sz="4" w:space="0"/>
            </w:tcBorders>
            <w:vAlign w:val="center"/>
          </w:tcPr>
          <w:p w14:paraId="4D41931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28</w:t>
            </w:r>
          </w:p>
        </w:tc>
        <w:tc>
          <w:tcPr>
            <w:tcW w:w="879" w:type="dxa"/>
            <w:tcBorders>
              <w:top w:val="nil"/>
              <w:left w:val="nil"/>
              <w:bottom w:val="single" w:color="auto" w:sz="4" w:space="0"/>
              <w:right w:val="single" w:color="auto" w:sz="4" w:space="0"/>
            </w:tcBorders>
            <w:vAlign w:val="center"/>
          </w:tcPr>
          <w:p w14:paraId="67B5D8E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34267</w:t>
            </w:r>
          </w:p>
        </w:tc>
        <w:tc>
          <w:tcPr>
            <w:tcW w:w="4858" w:type="dxa"/>
            <w:tcBorders>
              <w:top w:val="nil"/>
              <w:left w:val="nil"/>
              <w:bottom w:val="single" w:color="auto" w:sz="4" w:space="0"/>
              <w:right w:val="single" w:color="auto" w:sz="4" w:space="0"/>
            </w:tcBorders>
            <w:vAlign w:val="bottom"/>
          </w:tcPr>
          <w:p w14:paraId="464F5BE1">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2.00 x 3.00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6D849C8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559" w:type="dxa"/>
            <w:tcBorders>
              <w:top w:val="nil"/>
              <w:left w:val="nil"/>
              <w:bottom w:val="single" w:color="auto" w:sz="4" w:space="0"/>
              <w:right w:val="single" w:color="auto" w:sz="4" w:space="0"/>
            </w:tcBorders>
            <w:vAlign w:val="center"/>
          </w:tcPr>
          <w:p w14:paraId="1375E66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51CC286B">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2F1B138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29</w:t>
            </w:r>
          </w:p>
        </w:tc>
        <w:tc>
          <w:tcPr>
            <w:tcW w:w="879" w:type="dxa"/>
            <w:tcBorders>
              <w:top w:val="nil"/>
              <w:left w:val="nil"/>
              <w:bottom w:val="single" w:color="auto" w:sz="4" w:space="0"/>
              <w:right w:val="single" w:color="auto" w:sz="4" w:space="0"/>
            </w:tcBorders>
            <w:vAlign w:val="center"/>
          </w:tcPr>
          <w:p w14:paraId="3CC9859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34268</w:t>
            </w:r>
          </w:p>
        </w:tc>
        <w:tc>
          <w:tcPr>
            <w:tcW w:w="4858" w:type="dxa"/>
            <w:tcBorders>
              <w:top w:val="nil"/>
              <w:left w:val="nil"/>
              <w:bottom w:val="single" w:color="auto" w:sz="4" w:space="0"/>
              <w:right w:val="single" w:color="auto" w:sz="4" w:space="0"/>
            </w:tcBorders>
            <w:vAlign w:val="bottom"/>
          </w:tcPr>
          <w:p w14:paraId="1A17311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1.00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06C26E5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1559" w:type="dxa"/>
            <w:tcBorders>
              <w:top w:val="nil"/>
              <w:left w:val="nil"/>
              <w:bottom w:val="single" w:color="auto" w:sz="4" w:space="0"/>
              <w:right w:val="single" w:color="auto" w:sz="4" w:space="0"/>
            </w:tcBorders>
            <w:vAlign w:val="center"/>
          </w:tcPr>
          <w:p w14:paraId="6C108BB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69696CB9">
        <w:tblPrEx>
          <w:tblCellMar>
            <w:top w:w="0" w:type="dxa"/>
            <w:left w:w="70" w:type="dxa"/>
            <w:bottom w:w="0" w:type="dxa"/>
            <w:right w:w="70" w:type="dxa"/>
          </w:tblCellMar>
        </w:tblPrEx>
        <w:trPr>
          <w:trHeight w:val="2819" w:hRule="atLeast"/>
        </w:trPr>
        <w:tc>
          <w:tcPr>
            <w:tcW w:w="779" w:type="dxa"/>
            <w:tcBorders>
              <w:top w:val="nil"/>
              <w:left w:val="single" w:color="auto" w:sz="8" w:space="0"/>
              <w:bottom w:val="single" w:color="auto" w:sz="4" w:space="0"/>
              <w:right w:val="single" w:color="auto" w:sz="4" w:space="0"/>
            </w:tcBorders>
            <w:vAlign w:val="center"/>
          </w:tcPr>
          <w:p w14:paraId="20377B5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30</w:t>
            </w:r>
          </w:p>
        </w:tc>
        <w:tc>
          <w:tcPr>
            <w:tcW w:w="879" w:type="dxa"/>
            <w:tcBorders>
              <w:top w:val="nil"/>
              <w:left w:val="nil"/>
              <w:bottom w:val="single" w:color="auto" w:sz="4" w:space="0"/>
              <w:right w:val="single" w:color="auto" w:sz="4" w:space="0"/>
            </w:tcBorders>
            <w:vAlign w:val="center"/>
          </w:tcPr>
          <w:p w14:paraId="0B83BD1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34269</w:t>
            </w:r>
          </w:p>
        </w:tc>
        <w:tc>
          <w:tcPr>
            <w:tcW w:w="4858" w:type="dxa"/>
            <w:tcBorders>
              <w:top w:val="nil"/>
              <w:left w:val="nil"/>
              <w:bottom w:val="single" w:color="auto" w:sz="4" w:space="0"/>
              <w:right w:val="single" w:color="auto" w:sz="4" w:space="0"/>
            </w:tcBorders>
            <w:vAlign w:val="bottom"/>
          </w:tcPr>
          <w:p w14:paraId="57F98780">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1.80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1AD00E2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559" w:type="dxa"/>
            <w:tcBorders>
              <w:top w:val="nil"/>
              <w:left w:val="nil"/>
              <w:bottom w:val="single" w:color="auto" w:sz="4" w:space="0"/>
              <w:right w:val="single" w:color="auto" w:sz="4" w:space="0"/>
            </w:tcBorders>
            <w:vAlign w:val="center"/>
          </w:tcPr>
          <w:p w14:paraId="3ABC6B3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0C6D6618">
        <w:tblPrEx>
          <w:tblCellMar>
            <w:top w:w="0" w:type="dxa"/>
            <w:left w:w="70" w:type="dxa"/>
            <w:bottom w:w="0" w:type="dxa"/>
            <w:right w:w="70" w:type="dxa"/>
          </w:tblCellMar>
        </w:tblPrEx>
        <w:trPr>
          <w:trHeight w:val="3667" w:hRule="atLeast"/>
        </w:trPr>
        <w:tc>
          <w:tcPr>
            <w:tcW w:w="779" w:type="dxa"/>
            <w:tcBorders>
              <w:top w:val="nil"/>
              <w:left w:val="single" w:color="auto" w:sz="8" w:space="0"/>
              <w:bottom w:val="single" w:color="auto" w:sz="4" w:space="0"/>
              <w:right w:val="single" w:color="auto" w:sz="4" w:space="0"/>
            </w:tcBorders>
            <w:vAlign w:val="center"/>
          </w:tcPr>
          <w:p w14:paraId="0C7CF65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31</w:t>
            </w:r>
          </w:p>
        </w:tc>
        <w:tc>
          <w:tcPr>
            <w:tcW w:w="879" w:type="dxa"/>
            <w:tcBorders>
              <w:top w:val="nil"/>
              <w:left w:val="nil"/>
              <w:bottom w:val="single" w:color="auto" w:sz="4" w:space="0"/>
              <w:right w:val="single" w:color="auto" w:sz="4" w:space="0"/>
            </w:tcBorders>
            <w:vAlign w:val="center"/>
          </w:tcPr>
          <w:p w14:paraId="31020D4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34270</w:t>
            </w:r>
          </w:p>
        </w:tc>
        <w:tc>
          <w:tcPr>
            <w:tcW w:w="4858" w:type="dxa"/>
            <w:tcBorders>
              <w:top w:val="nil"/>
              <w:left w:val="nil"/>
              <w:bottom w:val="single" w:color="auto" w:sz="4" w:space="0"/>
              <w:right w:val="single" w:color="auto" w:sz="4" w:space="0"/>
            </w:tcBorders>
            <w:vAlign w:val="bottom"/>
          </w:tcPr>
          <w:p w14:paraId="36C3B801">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0.80 x 1.60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4" w:space="0"/>
              <w:right w:val="single" w:color="auto" w:sz="4" w:space="0"/>
            </w:tcBorders>
            <w:vAlign w:val="center"/>
          </w:tcPr>
          <w:p w14:paraId="0D76D11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559" w:type="dxa"/>
            <w:tcBorders>
              <w:top w:val="nil"/>
              <w:left w:val="nil"/>
              <w:bottom w:val="single" w:color="auto" w:sz="4" w:space="0"/>
              <w:right w:val="single" w:color="auto" w:sz="4" w:space="0"/>
            </w:tcBorders>
            <w:vAlign w:val="center"/>
          </w:tcPr>
          <w:p w14:paraId="224000D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14:paraId="0B7C351C">
        <w:tblPrEx>
          <w:tblCellMar>
            <w:top w:w="0" w:type="dxa"/>
            <w:left w:w="70" w:type="dxa"/>
            <w:bottom w:w="0" w:type="dxa"/>
            <w:right w:w="70" w:type="dxa"/>
          </w:tblCellMar>
        </w:tblPrEx>
        <w:trPr>
          <w:trHeight w:val="278" w:hRule="atLeast"/>
        </w:trPr>
        <w:tc>
          <w:tcPr>
            <w:tcW w:w="779" w:type="dxa"/>
            <w:tcBorders>
              <w:top w:val="nil"/>
              <w:left w:val="single" w:color="auto" w:sz="8" w:space="0"/>
              <w:bottom w:val="single" w:color="auto" w:sz="8" w:space="0"/>
              <w:right w:val="single" w:color="auto" w:sz="4" w:space="0"/>
            </w:tcBorders>
            <w:vAlign w:val="center"/>
          </w:tcPr>
          <w:p w14:paraId="5BF2515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32</w:t>
            </w:r>
          </w:p>
        </w:tc>
        <w:tc>
          <w:tcPr>
            <w:tcW w:w="879" w:type="dxa"/>
            <w:tcBorders>
              <w:top w:val="nil"/>
              <w:left w:val="nil"/>
              <w:bottom w:val="single" w:color="auto" w:sz="8" w:space="0"/>
              <w:right w:val="single" w:color="auto" w:sz="4" w:space="0"/>
            </w:tcBorders>
            <w:vAlign w:val="center"/>
          </w:tcPr>
          <w:p w14:paraId="7A27D11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34271</w:t>
            </w:r>
          </w:p>
        </w:tc>
        <w:tc>
          <w:tcPr>
            <w:tcW w:w="4858" w:type="dxa"/>
            <w:tcBorders>
              <w:top w:val="nil"/>
              <w:left w:val="nil"/>
              <w:bottom w:val="single" w:color="auto" w:sz="8" w:space="0"/>
              <w:right w:val="single" w:color="auto" w:sz="4" w:space="0"/>
            </w:tcBorders>
            <w:vAlign w:val="bottom"/>
          </w:tcPr>
          <w:p w14:paraId="648D790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w:t>
            </w:r>
          </w:p>
          <w:p w14:paraId="226916BA">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color="auto" w:sz="8" w:space="0"/>
              <w:right w:val="single" w:color="auto" w:sz="4" w:space="0"/>
            </w:tcBorders>
            <w:vAlign w:val="center"/>
          </w:tcPr>
          <w:p w14:paraId="3499A9D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color="auto" w:sz="8" w:space="0"/>
              <w:right w:val="single" w:color="auto" w:sz="4" w:space="0"/>
            </w:tcBorders>
            <w:vAlign w:val="center"/>
          </w:tcPr>
          <w:p w14:paraId="0615C03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bl>
    <w:p w14:paraId="370E23F3">
      <w:pPr>
        <w:widowControl w:val="0"/>
        <w:suppressAutoHyphens w:val="0"/>
        <w:autoSpaceDE w:val="0"/>
        <w:autoSpaceDN w:val="0"/>
        <w:adjustRightInd w:val="0"/>
        <w:spacing w:after="120" w:line="360" w:lineRule="auto"/>
        <w:jc w:val="both"/>
        <w:rPr>
          <w:rFonts w:eastAsia="Calibri"/>
          <w:b/>
          <w:bCs/>
          <w:szCs w:val="24"/>
          <w:lang w:eastAsia="pt-BR"/>
        </w:rPr>
      </w:pPr>
    </w:p>
    <w:p w14:paraId="348604A2">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IV - Estimativa das quantidades para a contratação, acompanhadas das memórias de cálculo e dos documentos que lhes dão suporte, que considerem interdependências com outras contratações, de modo a possibilitar economia de escala</w:t>
      </w:r>
    </w:p>
    <w:p w14:paraId="146C8F26">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O quantitativo foi estimado de acordo com o licitado e executado no ano anterior, conforme relatório no ANEXO I, levando em consideração o período de 12 (doze) meses de vigência.</w:t>
      </w:r>
    </w:p>
    <w:tbl>
      <w:tblPr>
        <w:tblStyle w:val="8"/>
        <w:tblW w:w="9209" w:type="dxa"/>
        <w:tblInd w:w="0" w:type="dxa"/>
        <w:tblLayout w:type="fixed"/>
        <w:tblCellMar>
          <w:top w:w="0" w:type="dxa"/>
          <w:left w:w="70" w:type="dxa"/>
          <w:bottom w:w="0" w:type="dxa"/>
          <w:right w:w="70" w:type="dxa"/>
        </w:tblCellMar>
      </w:tblPr>
      <w:tblGrid>
        <w:gridCol w:w="779"/>
        <w:gridCol w:w="879"/>
        <w:gridCol w:w="4716"/>
        <w:gridCol w:w="1418"/>
        <w:gridCol w:w="1417"/>
      </w:tblGrid>
      <w:tr w14:paraId="2194D643">
        <w:tblPrEx>
          <w:tblCellMar>
            <w:top w:w="0" w:type="dxa"/>
            <w:left w:w="70" w:type="dxa"/>
            <w:bottom w:w="0" w:type="dxa"/>
            <w:right w:w="70" w:type="dxa"/>
          </w:tblCellMar>
        </w:tblPrEx>
        <w:trPr>
          <w:trHeight w:val="315" w:hRule="atLeast"/>
        </w:trPr>
        <w:tc>
          <w:tcPr>
            <w:tcW w:w="779" w:type="dxa"/>
            <w:tcBorders>
              <w:top w:val="single" w:color="auto" w:sz="4" w:space="0"/>
              <w:left w:val="single" w:color="auto" w:sz="4" w:space="0"/>
              <w:bottom w:val="single" w:color="auto" w:sz="4" w:space="0"/>
              <w:right w:val="single" w:color="auto" w:sz="4" w:space="0"/>
            </w:tcBorders>
            <w:vAlign w:val="center"/>
          </w:tcPr>
          <w:p w14:paraId="1B35B1F9">
            <w:pPr>
              <w:suppressAutoHyphens w:val="0"/>
              <w:autoSpaceDE w:val="0"/>
              <w:autoSpaceDN w:val="0"/>
              <w:adjustRightInd w:val="0"/>
              <w:jc w:val="center"/>
              <w:rPr>
                <w:rFonts w:eastAsia="Calibri"/>
                <w:b/>
                <w:bCs/>
                <w:color w:val="000000"/>
                <w:sz w:val="22"/>
                <w:szCs w:val="22"/>
                <w:lang w:eastAsia="pt-BR"/>
              </w:rPr>
            </w:pPr>
            <w:r>
              <w:rPr>
                <w:rFonts w:eastAsia="Calibri"/>
                <w:b/>
                <w:bCs/>
                <w:color w:val="000000"/>
                <w:sz w:val="22"/>
                <w:szCs w:val="22"/>
                <w:lang w:eastAsia="pt-BR"/>
              </w:rPr>
              <w:t>Item</w:t>
            </w:r>
          </w:p>
        </w:tc>
        <w:tc>
          <w:tcPr>
            <w:tcW w:w="879" w:type="dxa"/>
            <w:tcBorders>
              <w:top w:val="single" w:color="auto" w:sz="4" w:space="0"/>
              <w:left w:val="nil"/>
              <w:bottom w:val="single" w:color="auto" w:sz="4" w:space="0"/>
              <w:right w:val="single" w:color="auto" w:sz="4" w:space="0"/>
            </w:tcBorders>
            <w:vAlign w:val="center"/>
          </w:tcPr>
          <w:p w14:paraId="75F96C81">
            <w:pPr>
              <w:suppressAutoHyphens w:val="0"/>
              <w:autoSpaceDE w:val="0"/>
              <w:autoSpaceDN w:val="0"/>
              <w:adjustRightInd w:val="0"/>
              <w:jc w:val="center"/>
              <w:rPr>
                <w:rFonts w:eastAsia="Calibri"/>
                <w:b/>
                <w:bCs/>
                <w:color w:val="000000"/>
                <w:sz w:val="22"/>
                <w:szCs w:val="22"/>
                <w:lang w:eastAsia="pt-BR"/>
              </w:rPr>
            </w:pPr>
            <w:r>
              <w:rPr>
                <w:rFonts w:eastAsia="Calibri"/>
                <w:b/>
                <w:bCs/>
                <w:color w:val="000000"/>
                <w:sz w:val="22"/>
                <w:szCs w:val="22"/>
                <w:lang w:eastAsia="pt-BR"/>
              </w:rPr>
              <w:t>Código</w:t>
            </w:r>
          </w:p>
        </w:tc>
        <w:tc>
          <w:tcPr>
            <w:tcW w:w="4716" w:type="dxa"/>
            <w:tcBorders>
              <w:top w:val="single" w:color="auto" w:sz="4" w:space="0"/>
              <w:left w:val="nil"/>
              <w:bottom w:val="single" w:color="auto" w:sz="4" w:space="0"/>
              <w:right w:val="single" w:color="auto" w:sz="4" w:space="0"/>
            </w:tcBorders>
            <w:vAlign w:val="center"/>
          </w:tcPr>
          <w:p w14:paraId="7CC482E7">
            <w:pPr>
              <w:suppressAutoHyphens w:val="0"/>
              <w:autoSpaceDE w:val="0"/>
              <w:autoSpaceDN w:val="0"/>
              <w:adjustRightInd w:val="0"/>
              <w:jc w:val="center"/>
              <w:rPr>
                <w:rFonts w:eastAsia="Calibri"/>
                <w:b/>
                <w:bCs/>
                <w:color w:val="000000"/>
                <w:sz w:val="22"/>
                <w:szCs w:val="22"/>
                <w:lang w:eastAsia="pt-BR"/>
              </w:rPr>
            </w:pPr>
            <w:r>
              <w:rPr>
                <w:rFonts w:eastAsia="Calibri"/>
                <w:b/>
                <w:bCs/>
                <w:color w:val="000000"/>
                <w:sz w:val="22"/>
                <w:szCs w:val="22"/>
                <w:lang w:eastAsia="pt-BR"/>
              </w:rPr>
              <w:t>Descrição</w:t>
            </w:r>
          </w:p>
        </w:tc>
        <w:tc>
          <w:tcPr>
            <w:tcW w:w="1418" w:type="dxa"/>
            <w:tcBorders>
              <w:top w:val="single" w:color="auto" w:sz="4" w:space="0"/>
              <w:left w:val="nil"/>
              <w:bottom w:val="single" w:color="auto" w:sz="4" w:space="0"/>
              <w:right w:val="single" w:color="auto" w:sz="4" w:space="0"/>
            </w:tcBorders>
            <w:vAlign w:val="center"/>
          </w:tcPr>
          <w:p w14:paraId="19DEC371">
            <w:pPr>
              <w:suppressAutoHyphens w:val="0"/>
              <w:autoSpaceDE w:val="0"/>
              <w:autoSpaceDN w:val="0"/>
              <w:adjustRightInd w:val="0"/>
              <w:jc w:val="center"/>
              <w:rPr>
                <w:rFonts w:eastAsia="Calibri"/>
                <w:b/>
                <w:bCs/>
                <w:color w:val="000000"/>
                <w:sz w:val="22"/>
                <w:szCs w:val="22"/>
                <w:lang w:eastAsia="pt-BR"/>
              </w:rPr>
            </w:pPr>
            <w:r>
              <w:rPr>
                <w:rFonts w:eastAsia="Calibri"/>
                <w:b/>
                <w:bCs/>
                <w:color w:val="000000"/>
                <w:sz w:val="22"/>
                <w:szCs w:val="22"/>
                <w:lang w:eastAsia="pt-BR"/>
              </w:rPr>
              <w:t>Quant.</w:t>
            </w:r>
          </w:p>
        </w:tc>
        <w:tc>
          <w:tcPr>
            <w:tcW w:w="1417" w:type="dxa"/>
            <w:tcBorders>
              <w:top w:val="single" w:color="auto" w:sz="4" w:space="0"/>
              <w:left w:val="nil"/>
              <w:bottom w:val="single" w:color="auto" w:sz="4" w:space="0"/>
              <w:right w:val="single" w:color="auto" w:sz="4" w:space="0"/>
            </w:tcBorders>
            <w:vAlign w:val="center"/>
          </w:tcPr>
          <w:p w14:paraId="11FC92B5">
            <w:pPr>
              <w:suppressAutoHyphens w:val="0"/>
              <w:autoSpaceDE w:val="0"/>
              <w:autoSpaceDN w:val="0"/>
              <w:adjustRightInd w:val="0"/>
              <w:jc w:val="center"/>
              <w:rPr>
                <w:rFonts w:eastAsia="Calibri"/>
                <w:b/>
                <w:bCs/>
                <w:color w:val="000000"/>
                <w:sz w:val="22"/>
                <w:szCs w:val="22"/>
                <w:lang w:eastAsia="pt-BR"/>
              </w:rPr>
            </w:pPr>
            <w:r>
              <w:rPr>
                <w:rFonts w:eastAsia="Calibri"/>
                <w:b/>
                <w:bCs/>
                <w:color w:val="000000"/>
                <w:sz w:val="22"/>
                <w:szCs w:val="22"/>
                <w:lang w:eastAsia="pt-BR"/>
              </w:rPr>
              <w:t>Unidade</w:t>
            </w:r>
          </w:p>
        </w:tc>
      </w:tr>
      <w:tr w14:paraId="2439C4A5">
        <w:tblPrEx>
          <w:tblCellMar>
            <w:top w:w="0" w:type="dxa"/>
            <w:left w:w="70" w:type="dxa"/>
            <w:bottom w:w="0" w:type="dxa"/>
            <w:right w:w="70" w:type="dxa"/>
          </w:tblCellMar>
        </w:tblPrEx>
        <w:trPr>
          <w:trHeight w:val="985" w:hRule="atLeast"/>
        </w:trPr>
        <w:tc>
          <w:tcPr>
            <w:tcW w:w="779" w:type="dxa"/>
            <w:tcBorders>
              <w:top w:val="single" w:color="auto" w:sz="4" w:space="0"/>
              <w:left w:val="single" w:color="auto" w:sz="8" w:space="0"/>
              <w:bottom w:val="single" w:color="auto" w:sz="4" w:space="0"/>
              <w:right w:val="single" w:color="auto" w:sz="4" w:space="0"/>
            </w:tcBorders>
            <w:vAlign w:val="center"/>
          </w:tcPr>
          <w:p w14:paraId="65EC9E21">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w:t>
            </w:r>
          </w:p>
        </w:tc>
        <w:tc>
          <w:tcPr>
            <w:tcW w:w="879" w:type="dxa"/>
            <w:tcBorders>
              <w:top w:val="single" w:color="auto" w:sz="4" w:space="0"/>
              <w:left w:val="nil"/>
              <w:bottom w:val="single" w:color="auto" w:sz="4" w:space="0"/>
              <w:right w:val="single" w:color="auto" w:sz="4" w:space="0"/>
            </w:tcBorders>
            <w:vAlign w:val="center"/>
          </w:tcPr>
          <w:p w14:paraId="417B575E">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34156</w:t>
            </w:r>
          </w:p>
        </w:tc>
        <w:tc>
          <w:tcPr>
            <w:tcW w:w="4716" w:type="dxa"/>
            <w:tcBorders>
              <w:top w:val="single" w:color="auto" w:sz="4" w:space="0"/>
              <w:left w:val="nil"/>
              <w:bottom w:val="single" w:color="auto" w:sz="4" w:space="0"/>
              <w:right w:val="single" w:color="auto" w:sz="4" w:space="0"/>
            </w:tcBorders>
            <w:vAlign w:val="bottom"/>
          </w:tcPr>
          <w:p w14:paraId="33D382E5">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1,50 M x 2,40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single" w:color="auto" w:sz="4" w:space="0"/>
              <w:left w:val="nil"/>
              <w:bottom w:val="single" w:color="auto" w:sz="4" w:space="0"/>
              <w:right w:val="single" w:color="auto" w:sz="4" w:space="0"/>
            </w:tcBorders>
            <w:vAlign w:val="center"/>
          </w:tcPr>
          <w:p w14:paraId="54516B8C">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w:t>
            </w:r>
          </w:p>
        </w:tc>
        <w:tc>
          <w:tcPr>
            <w:tcW w:w="1417" w:type="dxa"/>
            <w:tcBorders>
              <w:top w:val="single" w:color="auto" w:sz="4" w:space="0"/>
              <w:left w:val="nil"/>
              <w:bottom w:val="single" w:color="auto" w:sz="4" w:space="0"/>
              <w:right w:val="single" w:color="auto" w:sz="4" w:space="0"/>
            </w:tcBorders>
            <w:vAlign w:val="center"/>
          </w:tcPr>
          <w:p w14:paraId="5297CA53">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01D43256">
        <w:tblPrEx>
          <w:tblCellMar>
            <w:top w:w="0" w:type="dxa"/>
            <w:left w:w="70" w:type="dxa"/>
            <w:bottom w:w="0" w:type="dxa"/>
            <w:right w:w="70" w:type="dxa"/>
          </w:tblCellMar>
        </w:tblPrEx>
        <w:trPr>
          <w:trHeight w:val="807" w:hRule="atLeast"/>
        </w:trPr>
        <w:tc>
          <w:tcPr>
            <w:tcW w:w="779" w:type="dxa"/>
            <w:tcBorders>
              <w:top w:val="nil"/>
              <w:left w:val="single" w:color="auto" w:sz="8" w:space="0"/>
              <w:bottom w:val="single" w:color="auto" w:sz="4" w:space="0"/>
              <w:right w:val="single" w:color="auto" w:sz="4" w:space="0"/>
            </w:tcBorders>
            <w:vAlign w:val="center"/>
          </w:tcPr>
          <w:p w14:paraId="5739B665">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w:t>
            </w:r>
          </w:p>
        </w:tc>
        <w:tc>
          <w:tcPr>
            <w:tcW w:w="879" w:type="dxa"/>
            <w:tcBorders>
              <w:top w:val="nil"/>
              <w:left w:val="nil"/>
              <w:bottom w:val="single" w:color="auto" w:sz="4" w:space="0"/>
              <w:right w:val="single" w:color="auto" w:sz="4" w:space="0"/>
            </w:tcBorders>
            <w:vAlign w:val="center"/>
          </w:tcPr>
          <w:p w14:paraId="5C173355">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34157</w:t>
            </w:r>
          </w:p>
        </w:tc>
        <w:tc>
          <w:tcPr>
            <w:tcW w:w="4716" w:type="dxa"/>
            <w:tcBorders>
              <w:top w:val="nil"/>
              <w:left w:val="nil"/>
              <w:bottom w:val="single" w:color="auto" w:sz="4" w:space="0"/>
              <w:right w:val="single" w:color="auto" w:sz="4" w:space="0"/>
            </w:tcBorders>
            <w:vAlign w:val="bottom"/>
          </w:tcPr>
          <w:p w14:paraId="01191A47">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1,20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3B11B377">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5</w:t>
            </w:r>
          </w:p>
        </w:tc>
        <w:tc>
          <w:tcPr>
            <w:tcW w:w="1417" w:type="dxa"/>
            <w:tcBorders>
              <w:top w:val="nil"/>
              <w:left w:val="nil"/>
              <w:bottom w:val="single" w:color="auto" w:sz="4" w:space="0"/>
              <w:right w:val="single" w:color="auto" w:sz="4" w:space="0"/>
            </w:tcBorders>
            <w:vAlign w:val="center"/>
          </w:tcPr>
          <w:p w14:paraId="311EB360">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3C5B5F89">
        <w:tblPrEx>
          <w:tblCellMar>
            <w:top w:w="0" w:type="dxa"/>
            <w:left w:w="70" w:type="dxa"/>
            <w:bottom w:w="0" w:type="dxa"/>
            <w:right w:w="70" w:type="dxa"/>
          </w:tblCellMar>
        </w:tblPrEx>
        <w:trPr>
          <w:trHeight w:val="1835" w:hRule="atLeast"/>
        </w:trPr>
        <w:tc>
          <w:tcPr>
            <w:tcW w:w="779" w:type="dxa"/>
            <w:tcBorders>
              <w:top w:val="nil"/>
              <w:left w:val="single" w:color="auto" w:sz="8" w:space="0"/>
              <w:bottom w:val="single" w:color="auto" w:sz="4" w:space="0"/>
              <w:right w:val="single" w:color="auto" w:sz="4" w:space="0"/>
            </w:tcBorders>
            <w:vAlign w:val="center"/>
          </w:tcPr>
          <w:p w14:paraId="449BB328">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w:t>
            </w:r>
          </w:p>
        </w:tc>
        <w:tc>
          <w:tcPr>
            <w:tcW w:w="879" w:type="dxa"/>
            <w:tcBorders>
              <w:top w:val="nil"/>
              <w:left w:val="nil"/>
              <w:bottom w:val="single" w:color="auto" w:sz="4" w:space="0"/>
              <w:right w:val="single" w:color="auto" w:sz="4" w:space="0"/>
            </w:tcBorders>
            <w:vAlign w:val="center"/>
          </w:tcPr>
          <w:p w14:paraId="2434DBEE">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34158</w:t>
            </w:r>
          </w:p>
        </w:tc>
        <w:tc>
          <w:tcPr>
            <w:tcW w:w="4716" w:type="dxa"/>
            <w:tcBorders>
              <w:top w:val="nil"/>
              <w:left w:val="nil"/>
              <w:bottom w:val="single" w:color="auto" w:sz="4" w:space="0"/>
              <w:right w:val="single" w:color="auto" w:sz="4" w:space="0"/>
            </w:tcBorders>
            <w:vAlign w:val="bottom"/>
          </w:tcPr>
          <w:p w14:paraId="1AE5EE23">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1,40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01ED82CB">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7</w:t>
            </w:r>
          </w:p>
        </w:tc>
        <w:tc>
          <w:tcPr>
            <w:tcW w:w="1417" w:type="dxa"/>
            <w:tcBorders>
              <w:top w:val="nil"/>
              <w:left w:val="nil"/>
              <w:bottom w:val="single" w:color="auto" w:sz="4" w:space="0"/>
              <w:right w:val="single" w:color="auto" w:sz="4" w:space="0"/>
            </w:tcBorders>
            <w:vAlign w:val="center"/>
          </w:tcPr>
          <w:p w14:paraId="0FBF6391">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37C089BF">
        <w:tblPrEx>
          <w:tblCellMar>
            <w:top w:w="0" w:type="dxa"/>
            <w:left w:w="70" w:type="dxa"/>
            <w:bottom w:w="0" w:type="dxa"/>
            <w:right w:w="70" w:type="dxa"/>
          </w:tblCellMar>
        </w:tblPrEx>
        <w:trPr>
          <w:trHeight w:val="1233" w:hRule="atLeast"/>
        </w:trPr>
        <w:tc>
          <w:tcPr>
            <w:tcW w:w="779" w:type="dxa"/>
            <w:tcBorders>
              <w:top w:val="nil"/>
              <w:left w:val="single" w:color="auto" w:sz="8" w:space="0"/>
              <w:bottom w:val="single" w:color="auto" w:sz="4" w:space="0"/>
              <w:right w:val="single" w:color="auto" w:sz="4" w:space="0"/>
            </w:tcBorders>
            <w:vAlign w:val="center"/>
          </w:tcPr>
          <w:p w14:paraId="186CDB8C">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4</w:t>
            </w:r>
          </w:p>
        </w:tc>
        <w:tc>
          <w:tcPr>
            <w:tcW w:w="879" w:type="dxa"/>
            <w:tcBorders>
              <w:top w:val="nil"/>
              <w:left w:val="nil"/>
              <w:bottom w:val="single" w:color="auto" w:sz="4" w:space="0"/>
              <w:right w:val="single" w:color="auto" w:sz="4" w:space="0"/>
            </w:tcBorders>
            <w:vAlign w:val="center"/>
          </w:tcPr>
          <w:p w14:paraId="232F35FF">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34159</w:t>
            </w:r>
          </w:p>
        </w:tc>
        <w:tc>
          <w:tcPr>
            <w:tcW w:w="4716" w:type="dxa"/>
            <w:tcBorders>
              <w:top w:val="nil"/>
              <w:left w:val="nil"/>
              <w:bottom w:val="single" w:color="auto" w:sz="4" w:space="0"/>
              <w:right w:val="single" w:color="auto" w:sz="4" w:space="0"/>
            </w:tcBorders>
            <w:vAlign w:val="bottom"/>
          </w:tcPr>
          <w:p w14:paraId="65372A96">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1,40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1069AA1E">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5</w:t>
            </w:r>
          </w:p>
        </w:tc>
        <w:tc>
          <w:tcPr>
            <w:tcW w:w="1417" w:type="dxa"/>
            <w:tcBorders>
              <w:top w:val="nil"/>
              <w:left w:val="nil"/>
              <w:bottom w:val="single" w:color="auto" w:sz="4" w:space="0"/>
              <w:right w:val="single" w:color="auto" w:sz="4" w:space="0"/>
            </w:tcBorders>
            <w:vAlign w:val="center"/>
          </w:tcPr>
          <w:p w14:paraId="40AFEA69">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08F052B7">
        <w:tblPrEx>
          <w:tblCellMar>
            <w:top w:w="0" w:type="dxa"/>
            <w:left w:w="70" w:type="dxa"/>
            <w:bottom w:w="0" w:type="dxa"/>
            <w:right w:w="70" w:type="dxa"/>
          </w:tblCellMar>
        </w:tblPrEx>
        <w:trPr>
          <w:trHeight w:val="2686" w:hRule="atLeast"/>
        </w:trPr>
        <w:tc>
          <w:tcPr>
            <w:tcW w:w="779" w:type="dxa"/>
            <w:tcBorders>
              <w:top w:val="nil"/>
              <w:left w:val="single" w:color="auto" w:sz="8" w:space="0"/>
              <w:bottom w:val="single" w:color="auto" w:sz="4" w:space="0"/>
              <w:right w:val="single" w:color="auto" w:sz="4" w:space="0"/>
            </w:tcBorders>
            <w:vAlign w:val="center"/>
          </w:tcPr>
          <w:p w14:paraId="707148CA">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5</w:t>
            </w:r>
          </w:p>
        </w:tc>
        <w:tc>
          <w:tcPr>
            <w:tcW w:w="879" w:type="dxa"/>
            <w:tcBorders>
              <w:top w:val="nil"/>
              <w:left w:val="nil"/>
              <w:bottom w:val="single" w:color="auto" w:sz="4" w:space="0"/>
              <w:right w:val="single" w:color="auto" w:sz="4" w:space="0"/>
            </w:tcBorders>
            <w:vAlign w:val="center"/>
          </w:tcPr>
          <w:p w14:paraId="45025682">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34160</w:t>
            </w:r>
          </w:p>
        </w:tc>
        <w:tc>
          <w:tcPr>
            <w:tcW w:w="4716" w:type="dxa"/>
            <w:tcBorders>
              <w:top w:val="nil"/>
              <w:left w:val="nil"/>
              <w:bottom w:val="single" w:color="auto" w:sz="4" w:space="0"/>
              <w:right w:val="single" w:color="auto" w:sz="4" w:space="0"/>
            </w:tcBorders>
            <w:vAlign w:val="bottom"/>
          </w:tcPr>
          <w:p w14:paraId="05BD8D13">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2,20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53D9CF31">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w:t>
            </w:r>
          </w:p>
        </w:tc>
        <w:tc>
          <w:tcPr>
            <w:tcW w:w="1417" w:type="dxa"/>
            <w:tcBorders>
              <w:top w:val="nil"/>
              <w:left w:val="nil"/>
              <w:bottom w:val="single" w:color="auto" w:sz="4" w:space="0"/>
              <w:right w:val="single" w:color="auto" w:sz="4" w:space="0"/>
            </w:tcBorders>
            <w:vAlign w:val="center"/>
          </w:tcPr>
          <w:p w14:paraId="65EE7AF7">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3DCC55F2">
        <w:tblPrEx>
          <w:tblCellMar>
            <w:top w:w="0" w:type="dxa"/>
            <w:left w:w="70" w:type="dxa"/>
            <w:bottom w:w="0" w:type="dxa"/>
            <w:right w:w="70" w:type="dxa"/>
          </w:tblCellMar>
        </w:tblPrEx>
        <w:trPr>
          <w:trHeight w:val="1827" w:hRule="atLeast"/>
        </w:trPr>
        <w:tc>
          <w:tcPr>
            <w:tcW w:w="779" w:type="dxa"/>
            <w:tcBorders>
              <w:top w:val="nil"/>
              <w:left w:val="single" w:color="auto" w:sz="8" w:space="0"/>
              <w:bottom w:val="single" w:color="auto" w:sz="4" w:space="0"/>
              <w:right w:val="single" w:color="auto" w:sz="4" w:space="0"/>
            </w:tcBorders>
            <w:vAlign w:val="center"/>
          </w:tcPr>
          <w:p w14:paraId="06A1E910">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6</w:t>
            </w:r>
          </w:p>
        </w:tc>
        <w:tc>
          <w:tcPr>
            <w:tcW w:w="879" w:type="dxa"/>
            <w:tcBorders>
              <w:top w:val="nil"/>
              <w:left w:val="nil"/>
              <w:bottom w:val="single" w:color="auto" w:sz="4" w:space="0"/>
              <w:right w:val="single" w:color="auto" w:sz="4" w:space="0"/>
            </w:tcBorders>
            <w:vAlign w:val="center"/>
          </w:tcPr>
          <w:p w14:paraId="0C76AF3B">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34161</w:t>
            </w:r>
          </w:p>
        </w:tc>
        <w:tc>
          <w:tcPr>
            <w:tcW w:w="4716" w:type="dxa"/>
            <w:tcBorders>
              <w:top w:val="nil"/>
              <w:left w:val="nil"/>
              <w:bottom w:val="single" w:color="auto" w:sz="4" w:space="0"/>
              <w:right w:val="single" w:color="auto" w:sz="4" w:space="0"/>
            </w:tcBorders>
            <w:vAlign w:val="bottom"/>
          </w:tcPr>
          <w:p w14:paraId="402D288D">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1,10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1F7972F4">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w:t>
            </w:r>
          </w:p>
        </w:tc>
        <w:tc>
          <w:tcPr>
            <w:tcW w:w="1417" w:type="dxa"/>
            <w:tcBorders>
              <w:top w:val="nil"/>
              <w:left w:val="nil"/>
              <w:bottom w:val="single" w:color="auto" w:sz="4" w:space="0"/>
              <w:right w:val="single" w:color="auto" w:sz="4" w:space="0"/>
            </w:tcBorders>
            <w:vAlign w:val="center"/>
          </w:tcPr>
          <w:p w14:paraId="113BCA4B">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4A96B307">
        <w:tblPrEx>
          <w:tblCellMar>
            <w:top w:w="0" w:type="dxa"/>
            <w:left w:w="70" w:type="dxa"/>
            <w:bottom w:w="0" w:type="dxa"/>
            <w:right w:w="70" w:type="dxa"/>
          </w:tblCellMar>
        </w:tblPrEx>
        <w:trPr>
          <w:trHeight w:val="977" w:hRule="atLeast"/>
        </w:trPr>
        <w:tc>
          <w:tcPr>
            <w:tcW w:w="779" w:type="dxa"/>
            <w:tcBorders>
              <w:top w:val="nil"/>
              <w:left w:val="single" w:color="auto" w:sz="8" w:space="0"/>
              <w:bottom w:val="single" w:color="auto" w:sz="4" w:space="0"/>
              <w:right w:val="single" w:color="auto" w:sz="4" w:space="0"/>
            </w:tcBorders>
            <w:vAlign w:val="center"/>
          </w:tcPr>
          <w:p w14:paraId="6309EF51">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7</w:t>
            </w:r>
          </w:p>
        </w:tc>
        <w:tc>
          <w:tcPr>
            <w:tcW w:w="879" w:type="dxa"/>
            <w:tcBorders>
              <w:top w:val="nil"/>
              <w:left w:val="nil"/>
              <w:bottom w:val="single" w:color="auto" w:sz="4" w:space="0"/>
              <w:right w:val="single" w:color="auto" w:sz="4" w:space="0"/>
            </w:tcBorders>
            <w:vAlign w:val="center"/>
          </w:tcPr>
          <w:p w14:paraId="0F2EDE6E">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34162</w:t>
            </w:r>
          </w:p>
        </w:tc>
        <w:tc>
          <w:tcPr>
            <w:tcW w:w="4716" w:type="dxa"/>
            <w:tcBorders>
              <w:top w:val="nil"/>
              <w:left w:val="nil"/>
              <w:bottom w:val="single" w:color="auto" w:sz="4" w:space="0"/>
              <w:right w:val="single" w:color="auto" w:sz="4" w:space="0"/>
            </w:tcBorders>
            <w:vAlign w:val="bottom"/>
          </w:tcPr>
          <w:p w14:paraId="1417D9EF">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2,20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72107399">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w:t>
            </w:r>
          </w:p>
        </w:tc>
        <w:tc>
          <w:tcPr>
            <w:tcW w:w="1417" w:type="dxa"/>
            <w:tcBorders>
              <w:top w:val="nil"/>
              <w:left w:val="nil"/>
              <w:bottom w:val="single" w:color="auto" w:sz="4" w:space="0"/>
              <w:right w:val="single" w:color="auto" w:sz="4" w:space="0"/>
            </w:tcBorders>
            <w:vAlign w:val="center"/>
          </w:tcPr>
          <w:p w14:paraId="7C2FA33F">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7F50BBB0">
        <w:tblPrEx>
          <w:tblCellMar>
            <w:top w:w="0" w:type="dxa"/>
            <w:left w:w="70" w:type="dxa"/>
            <w:bottom w:w="0" w:type="dxa"/>
            <w:right w:w="70" w:type="dxa"/>
          </w:tblCellMar>
        </w:tblPrEx>
        <w:trPr>
          <w:trHeight w:val="2571" w:hRule="atLeast"/>
        </w:trPr>
        <w:tc>
          <w:tcPr>
            <w:tcW w:w="779" w:type="dxa"/>
            <w:tcBorders>
              <w:top w:val="nil"/>
              <w:left w:val="single" w:color="auto" w:sz="8" w:space="0"/>
              <w:bottom w:val="single" w:color="auto" w:sz="4" w:space="0"/>
              <w:right w:val="single" w:color="auto" w:sz="4" w:space="0"/>
            </w:tcBorders>
            <w:vAlign w:val="center"/>
          </w:tcPr>
          <w:p w14:paraId="125EF939">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8</w:t>
            </w:r>
          </w:p>
        </w:tc>
        <w:tc>
          <w:tcPr>
            <w:tcW w:w="879" w:type="dxa"/>
            <w:tcBorders>
              <w:top w:val="nil"/>
              <w:left w:val="nil"/>
              <w:bottom w:val="single" w:color="auto" w:sz="4" w:space="0"/>
              <w:right w:val="single" w:color="auto" w:sz="4" w:space="0"/>
            </w:tcBorders>
            <w:vAlign w:val="center"/>
          </w:tcPr>
          <w:p w14:paraId="608BC5D7">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34163</w:t>
            </w:r>
          </w:p>
        </w:tc>
        <w:tc>
          <w:tcPr>
            <w:tcW w:w="4716" w:type="dxa"/>
            <w:tcBorders>
              <w:top w:val="nil"/>
              <w:left w:val="nil"/>
              <w:bottom w:val="single" w:color="auto" w:sz="4" w:space="0"/>
              <w:right w:val="single" w:color="auto" w:sz="4" w:space="0"/>
            </w:tcBorders>
            <w:vAlign w:val="bottom"/>
          </w:tcPr>
          <w:p w14:paraId="6D31A38B">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0,70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245BEE8E">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w:t>
            </w:r>
          </w:p>
        </w:tc>
        <w:tc>
          <w:tcPr>
            <w:tcW w:w="1417" w:type="dxa"/>
            <w:tcBorders>
              <w:top w:val="nil"/>
              <w:left w:val="nil"/>
              <w:bottom w:val="single" w:color="auto" w:sz="4" w:space="0"/>
              <w:right w:val="single" w:color="auto" w:sz="4" w:space="0"/>
            </w:tcBorders>
            <w:vAlign w:val="center"/>
          </w:tcPr>
          <w:p w14:paraId="75DB7627">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5C6E8F8A">
        <w:tblPrEx>
          <w:tblCellMar>
            <w:top w:w="0" w:type="dxa"/>
            <w:left w:w="70" w:type="dxa"/>
            <w:bottom w:w="0" w:type="dxa"/>
            <w:right w:w="70" w:type="dxa"/>
          </w:tblCellMar>
        </w:tblPrEx>
        <w:trPr>
          <w:trHeight w:val="410" w:hRule="atLeast"/>
        </w:trPr>
        <w:tc>
          <w:tcPr>
            <w:tcW w:w="779" w:type="dxa"/>
            <w:tcBorders>
              <w:top w:val="nil"/>
              <w:left w:val="single" w:color="auto" w:sz="8" w:space="0"/>
              <w:bottom w:val="single" w:color="auto" w:sz="4" w:space="0"/>
              <w:right w:val="single" w:color="auto" w:sz="4" w:space="0"/>
            </w:tcBorders>
            <w:vAlign w:val="center"/>
          </w:tcPr>
          <w:p w14:paraId="573D4326">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9</w:t>
            </w:r>
          </w:p>
        </w:tc>
        <w:tc>
          <w:tcPr>
            <w:tcW w:w="879" w:type="dxa"/>
            <w:tcBorders>
              <w:top w:val="nil"/>
              <w:left w:val="nil"/>
              <w:bottom w:val="single" w:color="auto" w:sz="4" w:space="0"/>
              <w:right w:val="single" w:color="auto" w:sz="4" w:space="0"/>
            </w:tcBorders>
            <w:vAlign w:val="center"/>
          </w:tcPr>
          <w:p w14:paraId="6445FE84">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34164</w:t>
            </w:r>
          </w:p>
        </w:tc>
        <w:tc>
          <w:tcPr>
            <w:tcW w:w="4716" w:type="dxa"/>
            <w:tcBorders>
              <w:top w:val="nil"/>
              <w:left w:val="nil"/>
              <w:bottom w:val="single" w:color="auto" w:sz="4" w:space="0"/>
              <w:right w:val="single" w:color="auto" w:sz="4" w:space="0"/>
            </w:tcBorders>
            <w:vAlign w:val="bottom"/>
          </w:tcPr>
          <w:p w14:paraId="6C41F580">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0,70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397430C1">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w:t>
            </w:r>
          </w:p>
        </w:tc>
        <w:tc>
          <w:tcPr>
            <w:tcW w:w="1417" w:type="dxa"/>
            <w:tcBorders>
              <w:top w:val="nil"/>
              <w:left w:val="nil"/>
              <w:bottom w:val="single" w:color="auto" w:sz="4" w:space="0"/>
              <w:right w:val="single" w:color="auto" w:sz="4" w:space="0"/>
            </w:tcBorders>
            <w:vAlign w:val="center"/>
          </w:tcPr>
          <w:p w14:paraId="397F1C54">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1A14E2CC">
        <w:tblPrEx>
          <w:tblCellMar>
            <w:top w:w="0" w:type="dxa"/>
            <w:left w:w="70" w:type="dxa"/>
            <w:bottom w:w="0" w:type="dxa"/>
            <w:right w:w="70" w:type="dxa"/>
          </w:tblCellMar>
        </w:tblPrEx>
        <w:trPr>
          <w:trHeight w:val="1119" w:hRule="atLeast"/>
        </w:trPr>
        <w:tc>
          <w:tcPr>
            <w:tcW w:w="779" w:type="dxa"/>
            <w:tcBorders>
              <w:top w:val="nil"/>
              <w:left w:val="single" w:color="auto" w:sz="8" w:space="0"/>
              <w:bottom w:val="single" w:color="auto" w:sz="4" w:space="0"/>
              <w:right w:val="single" w:color="auto" w:sz="4" w:space="0"/>
            </w:tcBorders>
            <w:vAlign w:val="center"/>
          </w:tcPr>
          <w:p w14:paraId="188596D9">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10</w:t>
            </w:r>
          </w:p>
        </w:tc>
        <w:tc>
          <w:tcPr>
            <w:tcW w:w="879" w:type="dxa"/>
            <w:tcBorders>
              <w:top w:val="nil"/>
              <w:left w:val="nil"/>
              <w:bottom w:val="single" w:color="auto" w:sz="4" w:space="0"/>
              <w:right w:val="single" w:color="auto" w:sz="4" w:space="0"/>
            </w:tcBorders>
            <w:vAlign w:val="center"/>
          </w:tcPr>
          <w:p w14:paraId="57F8C405">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34165</w:t>
            </w:r>
          </w:p>
        </w:tc>
        <w:tc>
          <w:tcPr>
            <w:tcW w:w="4716" w:type="dxa"/>
            <w:tcBorders>
              <w:top w:val="nil"/>
              <w:left w:val="nil"/>
              <w:bottom w:val="single" w:color="auto" w:sz="4" w:space="0"/>
              <w:right w:val="single" w:color="auto" w:sz="4" w:space="0"/>
            </w:tcBorders>
            <w:vAlign w:val="bottom"/>
          </w:tcPr>
          <w:p w14:paraId="7D84CEB3">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1,20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6AFAB5E4">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w:t>
            </w:r>
          </w:p>
        </w:tc>
        <w:tc>
          <w:tcPr>
            <w:tcW w:w="1417" w:type="dxa"/>
            <w:tcBorders>
              <w:top w:val="nil"/>
              <w:left w:val="nil"/>
              <w:bottom w:val="single" w:color="auto" w:sz="4" w:space="0"/>
              <w:right w:val="single" w:color="auto" w:sz="4" w:space="0"/>
            </w:tcBorders>
            <w:vAlign w:val="center"/>
          </w:tcPr>
          <w:p w14:paraId="2F20D840">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3F646EAB">
        <w:tblPrEx>
          <w:tblCellMar>
            <w:top w:w="0" w:type="dxa"/>
            <w:left w:w="70" w:type="dxa"/>
            <w:bottom w:w="0" w:type="dxa"/>
            <w:right w:w="70" w:type="dxa"/>
          </w:tblCellMar>
        </w:tblPrEx>
        <w:trPr>
          <w:trHeight w:val="4040" w:hRule="atLeast"/>
        </w:trPr>
        <w:tc>
          <w:tcPr>
            <w:tcW w:w="779" w:type="dxa"/>
            <w:tcBorders>
              <w:top w:val="nil"/>
              <w:left w:val="single" w:color="auto" w:sz="8" w:space="0"/>
              <w:bottom w:val="single" w:color="auto" w:sz="4" w:space="0"/>
              <w:right w:val="single" w:color="auto" w:sz="4" w:space="0"/>
            </w:tcBorders>
            <w:vAlign w:val="center"/>
          </w:tcPr>
          <w:p w14:paraId="2E4D73E4">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11</w:t>
            </w:r>
          </w:p>
        </w:tc>
        <w:tc>
          <w:tcPr>
            <w:tcW w:w="879" w:type="dxa"/>
            <w:tcBorders>
              <w:top w:val="nil"/>
              <w:left w:val="nil"/>
              <w:bottom w:val="single" w:color="auto" w:sz="4" w:space="0"/>
              <w:right w:val="single" w:color="auto" w:sz="4" w:space="0"/>
            </w:tcBorders>
            <w:vAlign w:val="center"/>
          </w:tcPr>
          <w:p w14:paraId="6C63CC1D">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34166</w:t>
            </w:r>
          </w:p>
        </w:tc>
        <w:tc>
          <w:tcPr>
            <w:tcW w:w="4716" w:type="dxa"/>
            <w:tcBorders>
              <w:top w:val="nil"/>
              <w:left w:val="nil"/>
              <w:bottom w:val="single" w:color="auto" w:sz="4" w:space="0"/>
              <w:right w:val="single" w:color="auto" w:sz="4" w:space="0"/>
            </w:tcBorders>
            <w:vAlign w:val="bottom"/>
          </w:tcPr>
          <w:p w14:paraId="4B9A7004">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1,30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7EC8307A">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w:t>
            </w:r>
          </w:p>
        </w:tc>
        <w:tc>
          <w:tcPr>
            <w:tcW w:w="1417" w:type="dxa"/>
            <w:tcBorders>
              <w:top w:val="nil"/>
              <w:left w:val="nil"/>
              <w:bottom w:val="single" w:color="auto" w:sz="4" w:space="0"/>
              <w:right w:val="single" w:color="auto" w:sz="4" w:space="0"/>
            </w:tcBorders>
            <w:vAlign w:val="center"/>
          </w:tcPr>
          <w:p w14:paraId="60F8AF28">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17CABB79">
        <w:tblPrEx>
          <w:tblCellMar>
            <w:top w:w="0" w:type="dxa"/>
            <w:left w:w="70" w:type="dxa"/>
            <w:bottom w:w="0" w:type="dxa"/>
            <w:right w:w="70" w:type="dxa"/>
          </w:tblCellMar>
        </w:tblPrEx>
        <w:trPr>
          <w:trHeight w:val="1126" w:hRule="atLeast"/>
        </w:trPr>
        <w:tc>
          <w:tcPr>
            <w:tcW w:w="779" w:type="dxa"/>
            <w:tcBorders>
              <w:top w:val="nil"/>
              <w:left w:val="single" w:color="auto" w:sz="8" w:space="0"/>
              <w:bottom w:val="single" w:color="auto" w:sz="4" w:space="0"/>
              <w:right w:val="single" w:color="auto" w:sz="4" w:space="0"/>
            </w:tcBorders>
            <w:vAlign w:val="center"/>
          </w:tcPr>
          <w:p w14:paraId="0AF6677F">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12</w:t>
            </w:r>
          </w:p>
        </w:tc>
        <w:tc>
          <w:tcPr>
            <w:tcW w:w="879" w:type="dxa"/>
            <w:tcBorders>
              <w:top w:val="nil"/>
              <w:left w:val="nil"/>
              <w:bottom w:val="single" w:color="auto" w:sz="4" w:space="0"/>
              <w:right w:val="single" w:color="auto" w:sz="4" w:space="0"/>
            </w:tcBorders>
            <w:vAlign w:val="center"/>
          </w:tcPr>
          <w:p w14:paraId="29ED30A8">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34167</w:t>
            </w:r>
          </w:p>
        </w:tc>
        <w:tc>
          <w:tcPr>
            <w:tcW w:w="4716" w:type="dxa"/>
            <w:tcBorders>
              <w:top w:val="nil"/>
              <w:left w:val="nil"/>
              <w:bottom w:val="single" w:color="auto" w:sz="4" w:space="0"/>
              <w:right w:val="single" w:color="auto" w:sz="4" w:space="0"/>
            </w:tcBorders>
            <w:vAlign w:val="bottom"/>
          </w:tcPr>
          <w:p w14:paraId="0B705562">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1,20 M x 1,00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6F88347D">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w:t>
            </w:r>
          </w:p>
        </w:tc>
        <w:tc>
          <w:tcPr>
            <w:tcW w:w="1417" w:type="dxa"/>
            <w:tcBorders>
              <w:top w:val="nil"/>
              <w:left w:val="nil"/>
              <w:bottom w:val="single" w:color="auto" w:sz="4" w:space="0"/>
              <w:right w:val="single" w:color="auto" w:sz="4" w:space="0"/>
            </w:tcBorders>
            <w:vAlign w:val="center"/>
          </w:tcPr>
          <w:p w14:paraId="57529FD6">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4DD13F5D">
        <w:tblPrEx>
          <w:tblCellMar>
            <w:top w:w="0" w:type="dxa"/>
            <w:left w:w="70" w:type="dxa"/>
            <w:bottom w:w="0" w:type="dxa"/>
            <w:right w:w="70" w:type="dxa"/>
          </w:tblCellMar>
        </w:tblPrEx>
        <w:trPr>
          <w:trHeight w:val="410" w:hRule="atLeast"/>
        </w:trPr>
        <w:tc>
          <w:tcPr>
            <w:tcW w:w="779" w:type="dxa"/>
            <w:tcBorders>
              <w:top w:val="nil"/>
              <w:left w:val="single" w:color="auto" w:sz="8" w:space="0"/>
              <w:bottom w:val="single" w:color="auto" w:sz="4" w:space="0"/>
              <w:right w:val="single" w:color="auto" w:sz="4" w:space="0"/>
            </w:tcBorders>
            <w:vAlign w:val="center"/>
          </w:tcPr>
          <w:p w14:paraId="5786C58E">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13</w:t>
            </w:r>
          </w:p>
        </w:tc>
        <w:tc>
          <w:tcPr>
            <w:tcW w:w="879" w:type="dxa"/>
            <w:tcBorders>
              <w:top w:val="nil"/>
              <w:left w:val="nil"/>
              <w:bottom w:val="single" w:color="auto" w:sz="4" w:space="0"/>
              <w:right w:val="single" w:color="auto" w:sz="4" w:space="0"/>
            </w:tcBorders>
            <w:vAlign w:val="center"/>
          </w:tcPr>
          <w:p w14:paraId="6855C60E">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34169</w:t>
            </w:r>
          </w:p>
        </w:tc>
        <w:tc>
          <w:tcPr>
            <w:tcW w:w="4716" w:type="dxa"/>
            <w:tcBorders>
              <w:top w:val="nil"/>
              <w:left w:val="nil"/>
              <w:bottom w:val="single" w:color="auto" w:sz="4" w:space="0"/>
              <w:right w:val="single" w:color="auto" w:sz="4" w:space="0"/>
            </w:tcBorders>
            <w:vAlign w:val="bottom"/>
          </w:tcPr>
          <w:p w14:paraId="3D9BEF63">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1,30 X 2,25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223B7CD0">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4</w:t>
            </w:r>
          </w:p>
        </w:tc>
        <w:tc>
          <w:tcPr>
            <w:tcW w:w="1417" w:type="dxa"/>
            <w:tcBorders>
              <w:top w:val="nil"/>
              <w:left w:val="nil"/>
              <w:bottom w:val="single" w:color="auto" w:sz="4" w:space="0"/>
              <w:right w:val="single" w:color="auto" w:sz="4" w:space="0"/>
            </w:tcBorders>
            <w:vAlign w:val="center"/>
          </w:tcPr>
          <w:p w14:paraId="5F2FF4DA">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012AD0A8">
        <w:tblPrEx>
          <w:tblCellMar>
            <w:top w:w="0" w:type="dxa"/>
            <w:left w:w="70" w:type="dxa"/>
            <w:bottom w:w="0" w:type="dxa"/>
            <w:right w:w="70" w:type="dxa"/>
          </w:tblCellMar>
        </w:tblPrEx>
        <w:trPr>
          <w:trHeight w:val="1552" w:hRule="atLeast"/>
        </w:trPr>
        <w:tc>
          <w:tcPr>
            <w:tcW w:w="779" w:type="dxa"/>
            <w:tcBorders>
              <w:top w:val="nil"/>
              <w:left w:val="single" w:color="auto" w:sz="8" w:space="0"/>
              <w:bottom w:val="single" w:color="auto" w:sz="4" w:space="0"/>
              <w:right w:val="single" w:color="auto" w:sz="4" w:space="0"/>
            </w:tcBorders>
            <w:vAlign w:val="center"/>
          </w:tcPr>
          <w:p w14:paraId="6F78A966">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14</w:t>
            </w:r>
          </w:p>
        </w:tc>
        <w:tc>
          <w:tcPr>
            <w:tcW w:w="879" w:type="dxa"/>
            <w:tcBorders>
              <w:top w:val="nil"/>
              <w:left w:val="nil"/>
              <w:bottom w:val="single" w:color="auto" w:sz="4" w:space="0"/>
              <w:right w:val="single" w:color="auto" w:sz="4" w:space="0"/>
            </w:tcBorders>
            <w:vAlign w:val="center"/>
          </w:tcPr>
          <w:p w14:paraId="0307AD5D">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34170</w:t>
            </w:r>
          </w:p>
        </w:tc>
        <w:tc>
          <w:tcPr>
            <w:tcW w:w="4716" w:type="dxa"/>
            <w:tcBorders>
              <w:top w:val="nil"/>
              <w:left w:val="nil"/>
              <w:bottom w:val="single" w:color="auto" w:sz="4" w:space="0"/>
              <w:right w:val="single" w:color="auto" w:sz="4" w:space="0"/>
            </w:tcBorders>
            <w:vAlign w:val="bottom"/>
          </w:tcPr>
          <w:p w14:paraId="58926D46">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0,80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047701E2">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w:t>
            </w:r>
          </w:p>
        </w:tc>
        <w:tc>
          <w:tcPr>
            <w:tcW w:w="1417" w:type="dxa"/>
            <w:tcBorders>
              <w:top w:val="nil"/>
              <w:left w:val="nil"/>
              <w:bottom w:val="single" w:color="auto" w:sz="4" w:space="0"/>
              <w:right w:val="single" w:color="auto" w:sz="4" w:space="0"/>
            </w:tcBorders>
            <w:vAlign w:val="center"/>
          </w:tcPr>
          <w:p w14:paraId="648FF159">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543E58B9">
        <w:tblPrEx>
          <w:tblCellMar>
            <w:top w:w="0" w:type="dxa"/>
            <w:left w:w="70" w:type="dxa"/>
            <w:bottom w:w="0" w:type="dxa"/>
            <w:right w:w="70" w:type="dxa"/>
          </w:tblCellMar>
        </w:tblPrEx>
        <w:trPr>
          <w:trHeight w:val="2922" w:hRule="atLeast"/>
        </w:trPr>
        <w:tc>
          <w:tcPr>
            <w:tcW w:w="779" w:type="dxa"/>
            <w:tcBorders>
              <w:top w:val="nil"/>
              <w:left w:val="single" w:color="auto" w:sz="8" w:space="0"/>
              <w:bottom w:val="single" w:color="auto" w:sz="4" w:space="0"/>
              <w:right w:val="single" w:color="auto" w:sz="4" w:space="0"/>
            </w:tcBorders>
            <w:vAlign w:val="center"/>
          </w:tcPr>
          <w:p w14:paraId="62937108">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15</w:t>
            </w:r>
          </w:p>
        </w:tc>
        <w:tc>
          <w:tcPr>
            <w:tcW w:w="879" w:type="dxa"/>
            <w:tcBorders>
              <w:top w:val="nil"/>
              <w:left w:val="nil"/>
              <w:bottom w:val="single" w:color="auto" w:sz="4" w:space="0"/>
              <w:right w:val="single" w:color="auto" w:sz="4" w:space="0"/>
            </w:tcBorders>
            <w:vAlign w:val="center"/>
          </w:tcPr>
          <w:p w14:paraId="4D641BFE">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34171</w:t>
            </w:r>
          </w:p>
        </w:tc>
        <w:tc>
          <w:tcPr>
            <w:tcW w:w="4716" w:type="dxa"/>
            <w:tcBorders>
              <w:top w:val="nil"/>
              <w:left w:val="nil"/>
              <w:bottom w:val="single" w:color="auto" w:sz="4" w:space="0"/>
              <w:right w:val="single" w:color="auto" w:sz="4" w:space="0"/>
            </w:tcBorders>
            <w:vAlign w:val="bottom"/>
          </w:tcPr>
          <w:p w14:paraId="1492CDA5">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1,40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5EE7FBC5">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w:t>
            </w:r>
          </w:p>
        </w:tc>
        <w:tc>
          <w:tcPr>
            <w:tcW w:w="1417" w:type="dxa"/>
            <w:tcBorders>
              <w:top w:val="nil"/>
              <w:left w:val="nil"/>
              <w:bottom w:val="single" w:color="auto" w:sz="4" w:space="0"/>
              <w:right w:val="single" w:color="auto" w:sz="4" w:space="0"/>
            </w:tcBorders>
            <w:vAlign w:val="center"/>
          </w:tcPr>
          <w:p w14:paraId="04B2A3B0">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77EBCA18">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76DE9D7A">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16</w:t>
            </w:r>
          </w:p>
        </w:tc>
        <w:tc>
          <w:tcPr>
            <w:tcW w:w="879" w:type="dxa"/>
            <w:tcBorders>
              <w:top w:val="nil"/>
              <w:left w:val="nil"/>
              <w:bottom w:val="single" w:color="auto" w:sz="4" w:space="0"/>
              <w:right w:val="single" w:color="auto" w:sz="4" w:space="0"/>
            </w:tcBorders>
            <w:vAlign w:val="center"/>
          </w:tcPr>
          <w:p w14:paraId="554C3D37">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34172</w:t>
            </w:r>
          </w:p>
        </w:tc>
        <w:tc>
          <w:tcPr>
            <w:tcW w:w="4716" w:type="dxa"/>
            <w:tcBorders>
              <w:top w:val="nil"/>
              <w:left w:val="nil"/>
              <w:bottom w:val="single" w:color="auto" w:sz="4" w:space="0"/>
              <w:right w:val="single" w:color="auto" w:sz="4" w:space="0"/>
            </w:tcBorders>
            <w:vAlign w:val="bottom"/>
          </w:tcPr>
          <w:p w14:paraId="68D55666">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1,60 x 2,30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5B6064B7">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w:t>
            </w:r>
          </w:p>
        </w:tc>
        <w:tc>
          <w:tcPr>
            <w:tcW w:w="1417" w:type="dxa"/>
            <w:tcBorders>
              <w:top w:val="nil"/>
              <w:left w:val="nil"/>
              <w:bottom w:val="single" w:color="auto" w:sz="4" w:space="0"/>
              <w:right w:val="single" w:color="auto" w:sz="4" w:space="0"/>
            </w:tcBorders>
            <w:vAlign w:val="center"/>
          </w:tcPr>
          <w:p w14:paraId="1C049C45">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03288B82">
        <w:tblPrEx>
          <w:tblCellMar>
            <w:top w:w="0" w:type="dxa"/>
            <w:left w:w="70" w:type="dxa"/>
            <w:bottom w:w="0" w:type="dxa"/>
            <w:right w:w="70" w:type="dxa"/>
          </w:tblCellMar>
        </w:tblPrEx>
        <w:trPr>
          <w:trHeight w:val="1544" w:hRule="atLeast"/>
        </w:trPr>
        <w:tc>
          <w:tcPr>
            <w:tcW w:w="779" w:type="dxa"/>
            <w:tcBorders>
              <w:top w:val="nil"/>
              <w:left w:val="single" w:color="auto" w:sz="8" w:space="0"/>
              <w:bottom w:val="single" w:color="auto" w:sz="4" w:space="0"/>
              <w:right w:val="single" w:color="auto" w:sz="4" w:space="0"/>
            </w:tcBorders>
            <w:vAlign w:val="center"/>
          </w:tcPr>
          <w:p w14:paraId="2BB5026A">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17</w:t>
            </w:r>
          </w:p>
        </w:tc>
        <w:tc>
          <w:tcPr>
            <w:tcW w:w="879" w:type="dxa"/>
            <w:tcBorders>
              <w:top w:val="nil"/>
              <w:left w:val="nil"/>
              <w:bottom w:val="single" w:color="auto" w:sz="4" w:space="0"/>
              <w:right w:val="single" w:color="auto" w:sz="4" w:space="0"/>
            </w:tcBorders>
            <w:vAlign w:val="center"/>
          </w:tcPr>
          <w:p w14:paraId="5A2A748C">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34173</w:t>
            </w:r>
          </w:p>
        </w:tc>
        <w:tc>
          <w:tcPr>
            <w:tcW w:w="4716" w:type="dxa"/>
            <w:tcBorders>
              <w:top w:val="nil"/>
              <w:left w:val="nil"/>
              <w:bottom w:val="single" w:color="auto" w:sz="4" w:space="0"/>
              <w:right w:val="single" w:color="auto" w:sz="4" w:space="0"/>
            </w:tcBorders>
            <w:vAlign w:val="bottom"/>
          </w:tcPr>
          <w:p w14:paraId="29C6091C">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1.50 x 1,90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w:t>
            </w:r>
          </w:p>
        </w:tc>
        <w:tc>
          <w:tcPr>
            <w:tcW w:w="1418" w:type="dxa"/>
            <w:tcBorders>
              <w:top w:val="nil"/>
              <w:left w:val="nil"/>
              <w:bottom w:val="single" w:color="auto" w:sz="4" w:space="0"/>
              <w:right w:val="single" w:color="auto" w:sz="4" w:space="0"/>
            </w:tcBorders>
            <w:vAlign w:val="center"/>
          </w:tcPr>
          <w:p w14:paraId="2D584061">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w:t>
            </w:r>
          </w:p>
        </w:tc>
        <w:tc>
          <w:tcPr>
            <w:tcW w:w="1417" w:type="dxa"/>
            <w:tcBorders>
              <w:top w:val="nil"/>
              <w:left w:val="nil"/>
              <w:bottom w:val="single" w:color="auto" w:sz="4" w:space="0"/>
              <w:right w:val="single" w:color="auto" w:sz="4" w:space="0"/>
            </w:tcBorders>
            <w:vAlign w:val="center"/>
          </w:tcPr>
          <w:p w14:paraId="2DAA8E79">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51F02671">
        <w:tblPrEx>
          <w:tblCellMar>
            <w:top w:w="0" w:type="dxa"/>
            <w:left w:w="70" w:type="dxa"/>
            <w:bottom w:w="0" w:type="dxa"/>
            <w:right w:w="70" w:type="dxa"/>
          </w:tblCellMar>
        </w:tblPrEx>
        <w:trPr>
          <w:trHeight w:val="1764" w:hRule="atLeast"/>
        </w:trPr>
        <w:tc>
          <w:tcPr>
            <w:tcW w:w="779" w:type="dxa"/>
            <w:tcBorders>
              <w:top w:val="nil"/>
              <w:left w:val="single" w:color="auto" w:sz="8" w:space="0"/>
              <w:bottom w:val="single" w:color="auto" w:sz="4" w:space="0"/>
              <w:right w:val="single" w:color="auto" w:sz="4" w:space="0"/>
            </w:tcBorders>
            <w:vAlign w:val="center"/>
          </w:tcPr>
          <w:p w14:paraId="457C9BA5">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18</w:t>
            </w:r>
          </w:p>
        </w:tc>
        <w:tc>
          <w:tcPr>
            <w:tcW w:w="879" w:type="dxa"/>
            <w:tcBorders>
              <w:top w:val="nil"/>
              <w:left w:val="nil"/>
              <w:bottom w:val="single" w:color="auto" w:sz="4" w:space="0"/>
              <w:right w:val="single" w:color="auto" w:sz="4" w:space="0"/>
            </w:tcBorders>
            <w:vAlign w:val="center"/>
          </w:tcPr>
          <w:p w14:paraId="586BE33B">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34174</w:t>
            </w:r>
          </w:p>
        </w:tc>
        <w:tc>
          <w:tcPr>
            <w:tcW w:w="4716" w:type="dxa"/>
            <w:tcBorders>
              <w:top w:val="nil"/>
              <w:left w:val="nil"/>
              <w:bottom w:val="single" w:color="auto" w:sz="4" w:space="0"/>
              <w:right w:val="single" w:color="auto" w:sz="4" w:space="0"/>
            </w:tcBorders>
            <w:vAlign w:val="bottom"/>
          </w:tcPr>
          <w:p w14:paraId="3DF93A8E">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1,30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1D48378C">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5</w:t>
            </w:r>
          </w:p>
        </w:tc>
        <w:tc>
          <w:tcPr>
            <w:tcW w:w="1417" w:type="dxa"/>
            <w:tcBorders>
              <w:top w:val="nil"/>
              <w:left w:val="nil"/>
              <w:bottom w:val="single" w:color="auto" w:sz="4" w:space="0"/>
              <w:right w:val="single" w:color="auto" w:sz="4" w:space="0"/>
            </w:tcBorders>
            <w:vAlign w:val="center"/>
          </w:tcPr>
          <w:p w14:paraId="7687C727">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13B172DC">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04FF9FE3">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19</w:t>
            </w:r>
          </w:p>
        </w:tc>
        <w:tc>
          <w:tcPr>
            <w:tcW w:w="879" w:type="dxa"/>
            <w:tcBorders>
              <w:top w:val="nil"/>
              <w:left w:val="nil"/>
              <w:bottom w:val="single" w:color="auto" w:sz="4" w:space="0"/>
              <w:right w:val="single" w:color="auto" w:sz="4" w:space="0"/>
            </w:tcBorders>
            <w:vAlign w:val="center"/>
          </w:tcPr>
          <w:p w14:paraId="5DA56AFB">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34175</w:t>
            </w:r>
          </w:p>
        </w:tc>
        <w:tc>
          <w:tcPr>
            <w:tcW w:w="4716" w:type="dxa"/>
            <w:tcBorders>
              <w:top w:val="nil"/>
              <w:left w:val="nil"/>
              <w:bottom w:val="single" w:color="auto" w:sz="4" w:space="0"/>
              <w:right w:val="single" w:color="auto" w:sz="4" w:space="0"/>
            </w:tcBorders>
            <w:vAlign w:val="bottom"/>
          </w:tcPr>
          <w:p w14:paraId="2E05FCC5">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1,40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36BEE663">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w:t>
            </w:r>
          </w:p>
        </w:tc>
        <w:tc>
          <w:tcPr>
            <w:tcW w:w="1417" w:type="dxa"/>
            <w:tcBorders>
              <w:top w:val="nil"/>
              <w:left w:val="nil"/>
              <w:bottom w:val="single" w:color="auto" w:sz="4" w:space="0"/>
              <w:right w:val="single" w:color="auto" w:sz="4" w:space="0"/>
            </w:tcBorders>
            <w:vAlign w:val="center"/>
          </w:tcPr>
          <w:p w14:paraId="54992F1E">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01946C61">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1990170C">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20</w:t>
            </w:r>
          </w:p>
        </w:tc>
        <w:tc>
          <w:tcPr>
            <w:tcW w:w="879" w:type="dxa"/>
            <w:tcBorders>
              <w:top w:val="nil"/>
              <w:left w:val="nil"/>
              <w:bottom w:val="single" w:color="auto" w:sz="4" w:space="0"/>
              <w:right w:val="single" w:color="auto" w:sz="4" w:space="0"/>
            </w:tcBorders>
            <w:vAlign w:val="center"/>
          </w:tcPr>
          <w:p w14:paraId="47D0F8E2">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34176</w:t>
            </w:r>
          </w:p>
        </w:tc>
        <w:tc>
          <w:tcPr>
            <w:tcW w:w="4716" w:type="dxa"/>
            <w:tcBorders>
              <w:top w:val="nil"/>
              <w:left w:val="nil"/>
              <w:bottom w:val="single" w:color="auto" w:sz="4" w:space="0"/>
              <w:right w:val="single" w:color="auto" w:sz="4" w:space="0"/>
            </w:tcBorders>
            <w:vAlign w:val="bottom"/>
          </w:tcPr>
          <w:p w14:paraId="36E8C18E">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1A563B0E">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w:t>
            </w:r>
          </w:p>
        </w:tc>
        <w:tc>
          <w:tcPr>
            <w:tcW w:w="1417" w:type="dxa"/>
            <w:tcBorders>
              <w:top w:val="nil"/>
              <w:left w:val="nil"/>
              <w:bottom w:val="single" w:color="auto" w:sz="4" w:space="0"/>
              <w:right w:val="single" w:color="auto" w:sz="4" w:space="0"/>
            </w:tcBorders>
            <w:vAlign w:val="center"/>
          </w:tcPr>
          <w:p w14:paraId="79245316">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5A23690A">
        <w:tblPrEx>
          <w:tblCellMar>
            <w:top w:w="0" w:type="dxa"/>
            <w:left w:w="70" w:type="dxa"/>
            <w:bottom w:w="0" w:type="dxa"/>
            <w:right w:w="70" w:type="dxa"/>
          </w:tblCellMar>
        </w:tblPrEx>
        <w:trPr>
          <w:trHeight w:val="1118" w:hRule="atLeast"/>
        </w:trPr>
        <w:tc>
          <w:tcPr>
            <w:tcW w:w="779" w:type="dxa"/>
            <w:tcBorders>
              <w:top w:val="nil"/>
              <w:left w:val="single" w:color="auto" w:sz="8" w:space="0"/>
              <w:bottom w:val="single" w:color="auto" w:sz="4" w:space="0"/>
              <w:right w:val="single" w:color="auto" w:sz="4" w:space="0"/>
            </w:tcBorders>
            <w:vAlign w:val="center"/>
          </w:tcPr>
          <w:p w14:paraId="360E829B">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21</w:t>
            </w:r>
          </w:p>
        </w:tc>
        <w:tc>
          <w:tcPr>
            <w:tcW w:w="879" w:type="dxa"/>
            <w:tcBorders>
              <w:top w:val="nil"/>
              <w:left w:val="nil"/>
              <w:bottom w:val="single" w:color="auto" w:sz="4" w:space="0"/>
              <w:right w:val="single" w:color="auto" w:sz="4" w:space="0"/>
            </w:tcBorders>
            <w:vAlign w:val="center"/>
          </w:tcPr>
          <w:p w14:paraId="65B54515">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34177</w:t>
            </w:r>
          </w:p>
        </w:tc>
        <w:tc>
          <w:tcPr>
            <w:tcW w:w="4716" w:type="dxa"/>
            <w:tcBorders>
              <w:top w:val="nil"/>
              <w:left w:val="nil"/>
              <w:bottom w:val="single" w:color="auto" w:sz="4" w:space="0"/>
              <w:right w:val="single" w:color="auto" w:sz="4" w:space="0"/>
            </w:tcBorders>
            <w:vAlign w:val="bottom"/>
          </w:tcPr>
          <w:p w14:paraId="76281496">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1,50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7AAAB626">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w:t>
            </w:r>
          </w:p>
        </w:tc>
        <w:tc>
          <w:tcPr>
            <w:tcW w:w="1417" w:type="dxa"/>
            <w:tcBorders>
              <w:top w:val="nil"/>
              <w:left w:val="nil"/>
              <w:bottom w:val="single" w:color="auto" w:sz="4" w:space="0"/>
              <w:right w:val="single" w:color="auto" w:sz="4" w:space="0"/>
            </w:tcBorders>
            <w:vAlign w:val="center"/>
          </w:tcPr>
          <w:p w14:paraId="021AD328">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5DDD40C6">
        <w:tblPrEx>
          <w:tblCellMar>
            <w:top w:w="0" w:type="dxa"/>
            <w:left w:w="70" w:type="dxa"/>
            <w:bottom w:w="0" w:type="dxa"/>
            <w:right w:w="70" w:type="dxa"/>
          </w:tblCellMar>
        </w:tblPrEx>
        <w:trPr>
          <w:trHeight w:val="2228" w:hRule="atLeast"/>
        </w:trPr>
        <w:tc>
          <w:tcPr>
            <w:tcW w:w="779" w:type="dxa"/>
            <w:tcBorders>
              <w:top w:val="nil"/>
              <w:left w:val="single" w:color="auto" w:sz="8" w:space="0"/>
              <w:bottom w:val="single" w:color="auto" w:sz="4" w:space="0"/>
              <w:right w:val="single" w:color="auto" w:sz="4" w:space="0"/>
            </w:tcBorders>
            <w:vAlign w:val="center"/>
          </w:tcPr>
          <w:p w14:paraId="1B8197BA">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22</w:t>
            </w:r>
          </w:p>
        </w:tc>
        <w:tc>
          <w:tcPr>
            <w:tcW w:w="879" w:type="dxa"/>
            <w:tcBorders>
              <w:top w:val="nil"/>
              <w:left w:val="nil"/>
              <w:bottom w:val="single" w:color="auto" w:sz="4" w:space="0"/>
              <w:right w:val="single" w:color="auto" w:sz="4" w:space="0"/>
            </w:tcBorders>
            <w:vAlign w:val="center"/>
          </w:tcPr>
          <w:p w14:paraId="55A6850C">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34178</w:t>
            </w:r>
          </w:p>
        </w:tc>
        <w:tc>
          <w:tcPr>
            <w:tcW w:w="4716" w:type="dxa"/>
            <w:tcBorders>
              <w:top w:val="nil"/>
              <w:left w:val="nil"/>
              <w:bottom w:val="single" w:color="auto" w:sz="4" w:space="0"/>
              <w:right w:val="single" w:color="auto" w:sz="4" w:space="0"/>
            </w:tcBorders>
            <w:vAlign w:val="bottom"/>
          </w:tcPr>
          <w:p w14:paraId="704B0C53">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1.50 x 2,20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0A24CCBC">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w:t>
            </w:r>
          </w:p>
        </w:tc>
        <w:tc>
          <w:tcPr>
            <w:tcW w:w="1417" w:type="dxa"/>
            <w:tcBorders>
              <w:top w:val="nil"/>
              <w:left w:val="nil"/>
              <w:bottom w:val="single" w:color="auto" w:sz="4" w:space="0"/>
              <w:right w:val="single" w:color="auto" w:sz="4" w:space="0"/>
            </w:tcBorders>
            <w:vAlign w:val="center"/>
          </w:tcPr>
          <w:p w14:paraId="40CEF016">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660F8EA4">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0C0AE265">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23</w:t>
            </w:r>
          </w:p>
        </w:tc>
        <w:tc>
          <w:tcPr>
            <w:tcW w:w="879" w:type="dxa"/>
            <w:tcBorders>
              <w:top w:val="nil"/>
              <w:left w:val="nil"/>
              <w:bottom w:val="single" w:color="auto" w:sz="4" w:space="0"/>
              <w:right w:val="single" w:color="auto" w:sz="4" w:space="0"/>
            </w:tcBorders>
            <w:vAlign w:val="center"/>
          </w:tcPr>
          <w:p w14:paraId="189BF6D7">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34179</w:t>
            </w:r>
          </w:p>
        </w:tc>
        <w:tc>
          <w:tcPr>
            <w:tcW w:w="4716" w:type="dxa"/>
            <w:tcBorders>
              <w:top w:val="nil"/>
              <w:left w:val="nil"/>
              <w:bottom w:val="single" w:color="auto" w:sz="4" w:space="0"/>
              <w:right w:val="single" w:color="auto" w:sz="4" w:space="0"/>
            </w:tcBorders>
            <w:vAlign w:val="bottom"/>
          </w:tcPr>
          <w:p w14:paraId="325947C9">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2623ADE8">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8</w:t>
            </w:r>
          </w:p>
        </w:tc>
        <w:tc>
          <w:tcPr>
            <w:tcW w:w="1417" w:type="dxa"/>
            <w:tcBorders>
              <w:top w:val="nil"/>
              <w:left w:val="nil"/>
              <w:bottom w:val="single" w:color="auto" w:sz="4" w:space="0"/>
              <w:right w:val="single" w:color="auto" w:sz="4" w:space="0"/>
            </w:tcBorders>
            <w:vAlign w:val="center"/>
          </w:tcPr>
          <w:p w14:paraId="41D3667D">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778C2F6C">
        <w:tblPrEx>
          <w:tblCellMar>
            <w:top w:w="0" w:type="dxa"/>
            <w:left w:w="70" w:type="dxa"/>
            <w:bottom w:w="0" w:type="dxa"/>
            <w:right w:w="70" w:type="dxa"/>
          </w:tblCellMar>
        </w:tblPrEx>
        <w:trPr>
          <w:trHeight w:val="1410" w:hRule="atLeast"/>
        </w:trPr>
        <w:tc>
          <w:tcPr>
            <w:tcW w:w="779" w:type="dxa"/>
            <w:tcBorders>
              <w:top w:val="nil"/>
              <w:left w:val="single" w:color="auto" w:sz="8" w:space="0"/>
              <w:bottom w:val="single" w:color="auto" w:sz="4" w:space="0"/>
              <w:right w:val="single" w:color="auto" w:sz="4" w:space="0"/>
            </w:tcBorders>
            <w:vAlign w:val="center"/>
          </w:tcPr>
          <w:p w14:paraId="7DE0237C">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24</w:t>
            </w:r>
          </w:p>
        </w:tc>
        <w:tc>
          <w:tcPr>
            <w:tcW w:w="879" w:type="dxa"/>
            <w:tcBorders>
              <w:top w:val="nil"/>
              <w:left w:val="nil"/>
              <w:bottom w:val="single" w:color="auto" w:sz="4" w:space="0"/>
              <w:right w:val="single" w:color="auto" w:sz="4" w:space="0"/>
            </w:tcBorders>
            <w:vAlign w:val="center"/>
          </w:tcPr>
          <w:p w14:paraId="1ABE3A32">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34180</w:t>
            </w:r>
          </w:p>
        </w:tc>
        <w:tc>
          <w:tcPr>
            <w:tcW w:w="4716" w:type="dxa"/>
            <w:tcBorders>
              <w:top w:val="nil"/>
              <w:left w:val="nil"/>
              <w:bottom w:val="single" w:color="auto" w:sz="4" w:space="0"/>
              <w:right w:val="single" w:color="auto" w:sz="4" w:space="0"/>
            </w:tcBorders>
            <w:vAlign w:val="bottom"/>
          </w:tcPr>
          <w:p w14:paraId="0ECB443E">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1,30 x 2,50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2705BB38">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w:t>
            </w:r>
          </w:p>
        </w:tc>
        <w:tc>
          <w:tcPr>
            <w:tcW w:w="1417" w:type="dxa"/>
            <w:tcBorders>
              <w:top w:val="nil"/>
              <w:left w:val="nil"/>
              <w:bottom w:val="single" w:color="auto" w:sz="4" w:space="0"/>
              <w:right w:val="single" w:color="auto" w:sz="4" w:space="0"/>
            </w:tcBorders>
            <w:vAlign w:val="center"/>
          </w:tcPr>
          <w:p w14:paraId="21EC0BC4">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6415D6CC">
        <w:tblPrEx>
          <w:tblCellMar>
            <w:top w:w="0" w:type="dxa"/>
            <w:left w:w="70" w:type="dxa"/>
            <w:bottom w:w="0" w:type="dxa"/>
            <w:right w:w="70" w:type="dxa"/>
          </w:tblCellMar>
        </w:tblPrEx>
        <w:trPr>
          <w:trHeight w:val="3347" w:hRule="atLeast"/>
        </w:trPr>
        <w:tc>
          <w:tcPr>
            <w:tcW w:w="779" w:type="dxa"/>
            <w:tcBorders>
              <w:top w:val="nil"/>
              <w:left w:val="single" w:color="auto" w:sz="8" w:space="0"/>
              <w:bottom w:val="single" w:color="auto" w:sz="4" w:space="0"/>
              <w:right w:val="single" w:color="auto" w:sz="4" w:space="0"/>
            </w:tcBorders>
            <w:vAlign w:val="center"/>
          </w:tcPr>
          <w:p w14:paraId="58043E8A">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25</w:t>
            </w:r>
          </w:p>
        </w:tc>
        <w:tc>
          <w:tcPr>
            <w:tcW w:w="879" w:type="dxa"/>
            <w:tcBorders>
              <w:top w:val="nil"/>
              <w:left w:val="nil"/>
              <w:bottom w:val="single" w:color="auto" w:sz="4" w:space="0"/>
              <w:right w:val="single" w:color="auto" w:sz="4" w:space="0"/>
            </w:tcBorders>
            <w:vAlign w:val="center"/>
          </w:tcPr>
          <w:p w14:paraId="35E01B29">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34181</w:t>
            </w:r>
          </w:p>
        </w:tc>
        <w:tc>
          <w:tcPr>
            <w:tcW w:w="4716" w:type="dxa"/>
            <w:tcBorders>
              <w:top w:val="nil"/>
              <w:left w:val="nil"/>
              <w:bottom w:val="single" w:color="auto" w:sz="4" w:space="0"/>
              <w:right w:val="single" w:color="auto" w:sz="4" w:space="0"/>
            </w:tcBorders>
            <w:vAlign w:val="bottom"/>
          </w:tcPr>
          <w:p w14:paraId="717EC45D">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1.30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27402723">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w:t>
            </w:r>
          </w:p>
        </w:tc>
        <w:tc>
          <w:tcPr>
            <w:tcW w:w="1417" w:type="dxa"/>
            <w:tcBorders>
              <w:top w:val="nil"/>
              <w:left w:val="nil"/>
              <w:bottom w:val="single" w:color="auto" w:sz="4" w:space="0"/>
              <w:right w:val="single" w:color="auto" w:sz="4" w:space="0"/>
            </w:tcBorders>
            <w:vAlign w:val="center"/>
          </w:tcPr>
          <w:p w14:paraId="632A2D39">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2C013EF9">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34DE29F3">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26</w:t>
            </w:r>
          </w:p>
        </w:tc>
        <w:tc>
          <w:tcPr>
            <w:tcW w:w="879" w:type="dxa"/>
            <w:tcBorders>
              <w:top w:val="nil"/>
              <w:left w:val="nil"/>
              <w:bottom w:val="single" w:color="auto" w:sz="4" w:space="0"/>
              <w:right w:val="single" w:color="auto" w:sz="4" w:space="0"/>
            </w:tcBorders>
            <w:vAlign w:val="center"/>
          </w:tcPr>
          <w:p w14:paraId="49FC20F3">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34182</w:t>
            </w:r>
          </w:p>
        </w:tc>
        <w:tc>
          <w:tcPr>
            <w:tcW w:w="4716" w:type="dxa"/>
            <w:tcBorders>
              <w:top w:val="nil"/>
              <w:left w:val="nil"/>
              <w:bottom w:val="single" w:color="auto" w:sz="4" w:space="0"/>
              <w:right w:val="single" w:color="auto" w:sz="4" w:space="0"/>
            </w:tcBorders>
            <w:vAlign w:val="bottom"/>
          </w:tcPr>
          <w:p w14:paraId="6888E3AA">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2.50 x 1.50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6692E558">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10</w:t>
            </w:r>
          </w:p>
        </w:tc>
        <w:tc>
          <w:tcPr>
            <w:tcW w:w="1417" w:type="dxa"/>
            <w:tcBorders>
              <w:top w:val="nil"/>
              <w:left w:val="nil"/>
              <w:bottom w:val="single" w:color="auto" w:sz="4" w:space="0"/>
              <w:right w:val="single" w:color="auto" w:sz="4" w:space="0"/>
            </w:tcBorders>
            <w:vAlign w:val="center"/>
          </w:tcPr>
          <w:p w14:paraId="2C755316">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3B0ABC79">
        <w:tblPrEx>
          <w:tblCellMar>
            <w:top w:w="0" w:type="dxa"/>
            <w:left w:w="70" w:type="dxa"/>
            <w:bottom w:w="0" w:type="dxa"/>
            <w:right w:w="70" w:type="dxa"/>
          </w:tblCellMar>
        </w:tblPrEx>
        <w:trPr>
          <w:trHeight w:val="3528" w:hRule="atLeast"/>
        </w:trPr>
        <w:tc>
          <w:tcPr>
            <w:tcW w:w="779" w:type="dxa"/>
            <w:tcBorders>
              <w:top w:val="nil"/>
              <w:left w:val="single" w:color="auto" w:sz="8" w:space="0"/>
              <w:bottom w:val="single" w:color="auto" w:sz="4" w:space="0"/>
              <w:right w:val="single" w:color="auto" w:sz="4" w:space="0"/>
            </w:tcBorders>
            <w:vAlign w:val="center"/>
          </w:tcPr>
          <w:p w14:paraId="46D990FA">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27</w:t>
            </w:r>
          </w:p>
        </w:tc>
        <w:tc>
          <w:tcPr>
            <w:tcW w:w="879" w:type="dxa"/>
            <w:tcBorders>
              <w:top w:val="nil"/>
              <w:left w:val="nil"/>
              <w:bottom w:val="single" w:color="auto" w:sz="4" w:space="0"/>
              <w:right w:val="single" w:color="auto" w:sz="4" w:space="0"/>
            </w:tcBorders>
            <w:vAlign w:val="center"/>
          </w:tcPr>
          <w:p w14:paraId="239B9B57">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34266</w:t>
            </w:r>
          </w:p>
        </w:tc>
        <w:tc>
          <w:tcPr>
            <w:tcW w:w="4716" w:type="dxa"/>
            <w:tcBorders>
              <w:top w:val="nil"/>
              <w:left w:val="nil"/>
              <w:bottom w:val="single" w:color="auto" w:sz="4" w:space="0"/>
              <w:right w:val="single" w:color="auto" w:sz="4" w:space="0"/>
            </w:tcBorders>
            <w:vAlign w:val="bottom"/>
          </w:tcPr>
          <w:p w14:paraId="23A32E40">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2,20 M x 2,20 M(ALTURA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46321854">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10</w:t>
            </w:r>
          </w:p>
        </w:tc>
        <w:tc>
          <w:tcPr>
            <w:tcW w:w="1417" w:type="dxa"/>
            <w:tcBorders>
              <w:top w:val="nil"/>
              <w:left w:val="nil"/>
              <w:bottom w:val="single" w:color="auto" w:sz="4" w:space="0"/>
              <w:right w:val="single" w:color="auto" w:sz="4" w:space="0"/>
            </w:tcBorders>
            <w:vAlign w:val="center"/>
          </w:tcPr>
          <w:p w14:paraId="0ADC2882">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0512EBB9">
        <w:tblPrEx>
          <w:tblCellMar>
            <w:top w:w="0" w:type="dxa"/>
            <w:left w:w="70" w:type="dxa"/>
            <w:bottom w:w="0" w:type="dxa"/>
            <w:right w:w="70" w:type="dxa"/>
          </w:tblCellMar>
        </w:tblPrEx>
        <w:trPr>
          <w:trHeight w:val="977" w:hRule="atLeast"/>
        </w:trPr>
        <w:tc>
          <w:tcPr>
            <w:tcW w:w="779" w:type="dxa"/>
            <w:tcBorders>
              <w:top w:val="nil"/>
              <w:left w:val="single" w:color="auto" w:sz="8" w:space="0"/>
              <w:bottom w:val="single" w:color="auto" w:sz="4" w:space="0"/>
              <w:right w:val="single" w:color="auto" w:sz="4" w:space="0"/>
            </w:tcBorders>
            <w:vAlign w:val="center"/>
          </w:tcPr>
          <w:p w14:paraId="25ED3F1B">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28</w:t>
            </w:r>
          </w:p>
        </w:tc>
        <w:tc>
          <w:tcPr>
            <w:tcW w:w="879" w:type="dxa"/>
            <w:tcBorders>
              <w:top w:val="nil"/>
              <w:left w:val="nil"/>
              <w:bottom w:val="single" w:color="auto" w:sz="4" w:space="0"/>
              <w:right w:val="single" w:color="auto" w:sz="4" w:space="0"/>
            </w:tcBorders>
            <w:vAlign w:val="center"/>
          </w:tcPr>
          <w:p w14:paraId="199ABDC9">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34267</w:t>
            </w:r>
          </w:p>
        </w:tc>
        <w:tc>
          <w:tcPr>
            <w:tcW w:w="4716" w:type="dxa"/>
            <w:tcBorders>
              <w:top w:val="nil"/>
              <w:left w:val="nil"/>
              <w:bottom w:val="single" w:color="auto" w:sz="4" w:space="0"/>
              <w:right w:val="single" w:color="auto" w:sz="4" w:space="0"/>
            </w:tcBorders>
            <w:vAlign w:val="bottom"/>
          </w:tcPr>
          <w:p w14:paraId="606F8CBA">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2.00 x 3.00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3276AB11">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1</w:t>
            </w:r>
          </w:p>
        </w:tc>
        <w:tc>
          <w:tcPr>
            <w:tcW w:w="1417" w:type="dxa"/>
            <w:tcBorders>
              <w:top w:val="nil"/>
              <w:left w:val="nil"/>
              <w:bottom w:val="single" w:color="auto" w:sz="4" w:space="0"/>
              <w:right w:val="single" w:color="auto" w:sz="4" w:space="0"/>
            </w:tcBorders>
            <w:vAlign w:val="center"/>
          </w:tcPr>
          <w:p w14:paraId="0D8D6972">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620FBF08">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41E9B940">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29</w:t>
            </w:r>
          </w:p>
        </w:tc>
        <w:tc>
          <w:tcPr>
            <w:tcW w:w="879" w:type="dxa"/>
            <w:tcBorders>
              <w:top w:val="nil"/>
              <w:left w:val="nil"/>
              <w:bottom w:val="single" w:color="auto" w:sz="4" w:space="0"/>
              <w:right w:val="single" w:color="auto" w:sz="4" w:space="0"/>
            </w:tcBorders>
            <w:vAlign w:val="center"/>
          </w:tcPr>
          <w:p w14:paraId="3E74AA10">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34268</w:t>
            </w:r>
          </w:p>
        </w:tc>
        <w:tc>
          <w:tcPr>
            <w:tcW w:w="4716" w:type="dxa"/>
            <w:tcBorders>
              <w:top w:val="nil"/>
              <w:left w:val="nil"/>
              <w:bottom w:val="single" w:color="auto" w:sz="4" w:space="0"/>
              <w:right w:val="single" w:color="auto" w:sz="4" w:space="0"/>
            </w:tcBorders>
            <w:vAlign w:val="bottom"/>
          </w:tcPr>
          <w:p w14:paraId="1CACEB2D">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1.00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30C6DC24">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8</w:t>
            </w:r>
          </w:p>
        </w:tc>
        <w:tc>
          <w:tcPr>
            <w:tcW w:w="1417" w:type="dxa"/>
            <w:tcBorders>
              <w:top w:val="nil"/>
              <w:left w:val="nil"/>
              <w:bottom w:val="single" w:color="auto" w:sz="4" w:space="0"/>
              <w:right w:val="single" w:color="auto" w:sz="4" w:space="0"/>
            </w:tcBorders>
            <w:vAlign w:val="center"/>
          </w:tcPr>
          <w:p w14:paraId="57F80CCB">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606CAC98">
        <w:tblPrEx>
          <w:tblCellMar>
            <w:top w:w="0" w:type="dxa"/>
            <w:left w:w="70" w:type="dxa"/>
            <w:bottom w:w="0" w:type="dxa"/>
            <w:right w:w="70" w:type="dxa"/>
          </w:tblCellMar>
        </w:tblPrEx>
        <w:trPr>
          <w:trHeight w:val="2819" w:hRule="atLeast"/>
        </w:trPr>
        <w:tc>
          <w:tcPr>
            <w:tcW w:w="779" w:type="dxa"/>
            <w:tcBorders>
              <w:top w:val="nil"/>
              <w:left w:val="single" w:color="auto" w:sz="8" w:space="0"/>
              <w:bottom w:val="single" w:color="auto" w:sz="4" w:space="0"/>
              <w:right w:val="single" w:color="auto" w:sz="4" w:space="0"/>
            </w:tcBorders>
            <w:vAlign w:val="center"/>
          </w:tcPr>
          <w:p w14:paraId="11207658">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30</w:t>
            </w:r>
          </w:p>
        </w:tc>
        <w:tc>
          <w:tcPr>
            <w:tcW w:w="879" w:type="dxa"/>
            <w:tcBorders>
              <w:top w:val="nil"/>
              <w:left w:val="nil"/>
              <w:bottom w:val="single" w:color="auto" w:sz="4" w:space="0"/>
              <w:right w:val="single" w:color="auto" w:sz="4" w:space="0"/>
            </w:tcBorders>
            <w:vAlign w:val="center"/>
          </w:tcPr>
          <w:p w14:paraId="2568B8AE">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34269</w:t>
            </w:r>
          </w:p>
        </w:tc>
        <w:tc>
          <w:tcPr>
            <w:tcW w:w="4716" w:type="dxa"/>
            <w:tcBorders>
              <w:top w:val="nil"/>
              <w:left w:val="nil"/>
              <w:bottom w:val="single" w:color="auto" w:sz="4" w:space="0"/>
              <w:right w:val="single" w:color="auto" w:sz="4" w:space="0"/>
            </w:tcBorders>
            <w:vAlign w:val="bottom"/>
          </w:tcPr>
          <w:p w14:paraId="3D81B338">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1.40 x 1.80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33C5342D">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4</w:t>
            </w:r>
          </w:p>
        </w:tc>
        <w:tc>
          <w:tcPr>
            <w:tcW w:w="1417" w:type="dxa"/>
            <w:tcBorders>
              <w:top w:val="nil"/>
              <w:left w:val="nil"/>
              <w:bottom w:val="single" w:color="auto" w:sz="4" w:space="0"/>
              <w:right w:val="single" w:color="auto" w:sz="4" w:space="0"/>
            </w:tcBorders>
            <w:vAlign w:val="center"/>
          </w:tcPr>
          <w:p w14:paraId="2F6F6B1B">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1377EA9F">
        <w:tblPrEx>
          <w:tblCellMar>
            <w:top w:w="0" w:type="dxa"/>
            <w:left w:w="70" w:type="dxa"/>
            <w:bottom w:w="0" w:type="dxa"/>
            <w:right w:w="70" w:type="dxa"/>
          </w:tblCellMar>
        </w:tblPrEx>
        <w:trPr>
          <w:trHeight w:val="985" w:hRule="atLeast"/>
        </w:trPr>
        <w:tc>
          <w:tcPr>
            <w:tcW w:w="779" w:type="dxa"/>
            <w:tcBorders>
              <w:top w:val="nil"/>
              <w:left w:val="single" w:color="auto" w:sz="8" w:space="0"/>
              <w:bottom w:val="single" w:color="auto" w:sz="4" w:space="0"/>
              <w:right w:val="single" w:color="auto" w:sz="4" w:space="0"/>
            </w:tcBorders>
            <w:vAlign w:val="center"/>
          </w:tcPr>
          <w:p w14:paraId="44262F7D">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31</w:t>
            </w:r>
          </w:p>
        </w:tc>
        <w:tc>
          <w:tcPr>
            <w:tcW w:w="879" w:type="dxa"/>
            <w:tcBorders>
              <w:top w:val="nil"/>
              <w:left w:val="nil"/>
              <w:bottom w:val="single" w:color="auto" w:sz="4" w:space="0"/>
              <w:right w:val="single" w:color="auto" w:sz="4" w:space="0"/>
            </w:tcBorders>
            <w:vAlign w:val="center"/>
          </w:tcPr>
          <w:p w14:paraId="07F8BA50">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34270</w:t>
            </w:r>
          </w:p>
        </w:tc>
        <w:tc>
          <w:tcPr>
            <w:tcW w:w="4716" w:type="dxa"/>
            <w:tcBorders>
              <w:top w:val="nil"/>
              <w:left w:val="nil"/>
              <w:bottom w:val="single" w:color="auto" w:sz="4" w:space="0"/>
              <w:right w:val="single" w:color="auto" w:sz="4" w:space="0"/>
            </w:tcBorders>
            <w:vAlign w:val="bottom"/>
          </w:tcPr>
          <w:p w14:paraId="6C1031C0">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0.80 x 1.60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4" w:space="0"/>
              <w:right w:val="single" w:color="auto" w:sz="4" w:space="0"/>
            </w:tcBorders>
            <w:vAlign w:val="center"/>
          </w:tcPr>
          <w:p w14:paraId="445196C6">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4</w:t>
            </w:r>
          </w:p>
        </w:tc>
        <w:tc>
          <w:tcPr>
            <w:tcW w:w="1417" w:type="dxa"/>
            <w:tcBorders>
              <w:top w:val="nil"/>
              <w:left w:val="nil"/>
              <w:bottom w:val="single" w:color="auto" w:sz="4" w:space="0"/>
              <w:right w:val="single" w:color="auto" w:sz="4" w:space="0"/>
            </w:tcBorders>
            <w:vAlign w:val="center"/>
          </w:tcPr>
          <w:p w14:paraId="091205DF">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r w14:paraId="2A365D88">
        <w:tblPrEx>
          <w:tblCellMar>
            <w:top w:w="0" w:type="dxa"/>
            <w:left w:w="70" w:type="dxa"/>
            <w:bottom w:w="0" w:type="dxa"/>
            <w:right w:w="70" w:type="dxa"/>
          </w:tblCellMar>
        </w:tblPrEx>
        <w:trPr>
          <w:trHeight w:val="278" w:hRule="atLeast"/>
        </w:trPr>
        <w:tc>
          <w:tcPr>
            <w:tcW w:w="779" w:type="dxa"/>
            <w:tcBorders>
              <w:top w:val="nil"/>
              <w:left w:val="single" w:color="auto" w:sz="8" w:space="0"/>
              <w:bottom w:val="single" w:color="auto" w:sz="8" w:space="0"/>
              <w:right w:val="single" w:color="auto" w:sz="4" w:space="0"/>
            </w:tcBorders>
            <w:vAlign w:val="center"/>
          </w:tcPr>
          <w:p w14:paraId="7A70887C">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32</w:t>
            </w:r>
          </w:p>
        </w:tc>
        <w:tc>
          <w:tcPr>
            <w:tcW w:w="879" w:type="dxa"/>
            <w:tcBorders>
              <w:top w:val="nil"/>
              <w:left w:val="nil"/>
              <w:bottom w:val="single" w:color="auto" w:sz="8" w:space="0"/>
              <w:right w:val="single" w:color="auto" w:sz="4" w:space="0"/>
            </w:tcBorders>
            <w:vAlign w:val="center"/>
          </w:tcPr>
          <w:p w14:paraId="4A30FC20">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34271</w:t>
            </w:r>
          </w:p>
        </w:tc>
        <w:tc>
          <w:tcPr>
            <w:tcW w:w="4716" w:type="dxa"/>
            <w:tcBorders>
              <w:top w:val="nil"/>
              <w:left w:val="nil"/>
              <w:bottom w:val="single" w:color="auto" w:sz="8" w:space="0"/>
              <w:right w:val="single" w:color="auto" w:sz="4" w:space="0"/>
            </w:tcBorders>
            <w:vAlign w:val="bottom"/>
          </w:tcPr>
          <w:p w14:paraId="544533DC">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AQUISIÇÃO COM INSTALAÇÃO de Persiana Vertical, Tam: 1.40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w:t>
            </w:r>
          </w:p>
          <w:p w14:paraId="7DE36FC3">
            <w:pPr>
              <w:suppressAutoHyphens w:val="0"/>
              <w:autoSpaceDE w:val="0"/>
              <w:autoSpaceDN w:val="0"/>
              <w:adjustRightInd w:val="0"/>
              <w:jc w:val="both"/>
              <w:rPr>
                <w:rFonts w:eastAsia="Calibri"/>
                <w:color w:val="000000"/>
                <w:sz w:val="22"/>
                <w:szCs w:val="22"/>
                <w:lang w:eastAsia="pt-BR"/>
              </w:rPr>
            </w:pPr>
            <w:r>
              <w:rPr>
                <w:rFonts w:eastAsia="Calibri"/>
                <w:color w:val="000000"/>
                <w:sz w:val="22"/>
                <w:szCs w:val="22"/>
                <w:lang w:eastAsia="pt-BR"/>
              </w:rPr>
              <w:t>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color="auto" w:sz="8" w:space="0"/>
              <w:right w:val="single" w:color="auto" w:sz="4" w:space="0"/>
            </w:tcBorders>
            <w:vAlign w:val="center"/>
          </w:tcPr>
          <w:p w14:paraId="19437AD0">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2</w:t>
            </w:r>
          </w:p>
        </w:tc>
        <w:tc>
          <w:tcPr>
            <w:tcW w:w="1417" w:type="dxa"/>
            <w:tcBorders>
              <w:top w:val="nil"/>
              <w:left w:val="nil"/>
              <w:bottom w:val="single" w:color="auto" w:sz="8" w:space="0"/>
              <w:right w:val="single" w:color="auto" w:sz="4" w:space="0"/>
            </w:tcBorders>
            <w:vAlign w:val="center"/>
          </w:tcPr>
          <w:p w14:paraId="4CCB317D">
            <w:pPr>
              <w:suppressAutoHyphens w:val="0"/>
              <w:autoSpaceDE w:val="0"/>
              <w:autoSpaceDN w:val="0"/>
              <w:adjustRightInd w:val="0"/>
              <w:jc w:val="center"/>
              <w:rPr>
                <w:rFonts w:eastAsia="Calibri"/>
                <w:color w:val="000000"/>
                <w:sz w:val="22"/>
                <w:szCs w:val="22"/>
                <w:lang w:eastAsia="pt-BR"/>
              </w:rPr>
            </w:pPr>
            <w:r>
              <w:rPr>
                <w:rFonts w:eastAsia="Calibri"/>
                <w:color w:val="000000"/>
                <w:sz w:val="22"/>
                <w:szCs w:val="22"/>
                <w:lang w:eastAsia="pt-BR"/>
              </w:rPr>
              <w:t>Unidade</w:t>
            </w:r>
          </w:p>
        </w:tc>
      </w:tr>
    </w:tbl>
    <w:p w14:paraId="02AEEB13">
      <w:pPr>
        <w:suppressAutoHyphens w:val="0"/>
        <w:autoSpaceDE w:val="0"/>
        <w:autoSpaceDN w:val="0"/>
        <w:adjustRightInd w:val="0"/>
        <w:spacing w:after="200" w:line="360" w:lineRule="auto"/>
        <w:jc w:val="both"/>
        <w:rPr>
          <w:rFonts w:eastAsia="Calibri"/>
          <w:szCs w:val="24"/>
          <w:lang w:eastAsia="pt-BR"/>
        </w:rPr>
      </w:pPr>
    </w:p>
    <w:p w14:paraId="0B7CE204">
      <w:pPr>
        <w:suppressAutoHyphens w:val="0"/>
        <w:autoSpaceDE w:val="0"/>
        <w:autoSpaceDN w:val="0"/>
        <w:adjustRightInd w:val="0"/>
        <w:spacing w:line="360" w:lineRule="auto"/>
        <w:ind w:right="-1"/>
        <w:jc w:val="both"/>
        <w:rPr>
          <w:rFonts w:eastAsia="Calibri"/>
          <w:color w:val="FF0000"/>
          <w:szCs w:val="24"/>
          <w:lang w:eastAsia="pt-BR"/>
        </w:rPr>
      </w:pPr>
    </w:p>
    <w:p w14:paraId="50F76A14">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 - Levantamento de mercado, que consiste na análise das alternativas possíveis, e justificativa técnica e econômica da escolha do tipo de solução a contratar.</w:t>
      </w:r>
    </w:p>
    <w:p w14:paraId="3EAD5BB2">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Em atendimento ao disposto no Art. 44 da Lei 14.133/2021, foram pesquisadas no mercado e em outros órgãos e entidades soluções diversas para a demanda, com objetivo de identificar a existência de novas metodologias, tecnologias ou inovações que melhor atendam às necessidades da administração e aos requisitos apresentados no presente estudo. </w:t>
      </w:r>
    </w:p>
    <w:p w14:paraId="1BA38F70">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Os elementos utilizados em janelas para proteção solar  mais comuns no mercado e efetivos que se possa encontrar são as cortinas, persianas, painéis de correr horizontais e verticais, membranas em forma de favo de mel, toldos ou superfícies tensionadas. Além disso, há diferentes tipos, formas, cores, texturas e graus de opacidade - disponibilizando uma enorme variedade de soluções formais e de acabamento. </w:t>
      </w:r>
    </w:p>
    <w:p w14:paraId="6CC27202">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Na Administração pública, em que predomina o estilo tradicional de escritório, a solução mais comum são as persianas de PVC, acessórios parecidos com cortinas, só que feitos com placas móveis paralelas, usadas para aumentar ou diminuir a iluminação do ambiente. Além disso, são mais versáteis e fáceis de limpar, isso porque as persianas não acumulam tanta sujeira, além de que o material facilita sua limpeza, podendo ser feita com um pano úmido ou aspirador de pó.</w:t>
      </w:r>
    </w:p>
    <w:p w14:paraId="7A9CAB03">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Existem vários modelos de persianas disponíveis no mercado tais como: verticais, horizontais, rolô, romanas, painel, double vision, plissada, entre outros. Além dos modelos, também existem variedades nos materiais utilizados na fabricação das persianas: metal, madeira, PVC, tecido, vinil e tela solar.  </w:t>
      </w:r>
    </w:p>
    <w:p w14:paraId="67598EB2">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Não se apresenta como viável a locação de materiais para atender a demanda, haja vista a sua necessidade permanente, incorporando-se ao próprio imóvel onde é instalado; seu baixo custo de aquisição, além de ter um número restrito de empresas prestadoras desse serviço, sendo pouco competitivo; ademais é uma prática incomum no mercado, sem demonstração de aspectos inovadores desta modalidade. </w:t>
      </w:r>
    </w:p>
    <w:p w14:paraId="71C41F33">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Na Prefeitura Municipal de Caracol/MS a série histórica de aquisições de persianas é bastante extensa, sendo a contratação realizada há muitos anos, sempre através do sistema de registro de preços - SRP. Não foram identificadas inconsistências significativas ocorridas nas contratações anteriores.</w:t>
      </w:r>
    </w:p>
    <w:p w14:paraId="0BEDCDE2">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SOLUÇÃO 1: Locação</w:t>
      </w:r>
      <w:r>
        <w:rPr>
          <w:rFonts w:eastAsia="Calibri"/>
          <w:color w:val="000000"/>
          <w:szCs w:val="24"/>
          <w:lang w:eastAsia="pt-BR"/>
        </w:rPr>
        <w:t>; Atendimento aos requisitos Sim, pois os materiais podem ser especificados conforme as necessidades do contratante.</w:t>
      </w:r>
    </w:p>
    <w:p w14:paraId="3D000F60">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Vantagens e desvantagens da solução;</w:t>
      </w:r>
    </w:p>
    <w:p w14:paraId="465A9929">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VANTAGENS</w:t>
      </w:r>
      <w:r>
        <w:rPr>
          <w:rFonts w:eastAsia="Calibri"/>
          <w:color w:val="000000"/>
          <w:szCs w:val="24"/>
          <w:lang w:eastAsia="pt-BR"/>
        </w:rPr>
        <w:t xml:space="preserve"> - Manutenção e riscos de utilização com o contratado. - Em caso de problemas, o locador substitui. </w:t>
      </w:r>
    </w:p>
    <w:p w14:paraId="1CB29815">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 xml:space="preserve">DESVANTAGENS </w:t>
      </w:r>
      <w:r>
        <w:rPr>
          <w:rFonts w:eastAsia="Calibri"/>
          <w:color w:val="000000"/>
          <w:szCs w:val="24"/>
          <w:lang w:eastAsia="pt-BR"/>
        </w:rPr>
        <w:t xml:space="preserve">- O aluguel de materiais é uma solução para as necessidades temporárias, o que não o caso, cuja utilização será de forma permanente; - Com a utilização permanente o custo da locação superaria o de desgaste dos itens, por exemplo, tornando o aluguel inviável - Mercado restrito, praticamente não há empresas que trabalhem nesta modalidade - Perfil da contratação para 1 ou, no máximo, duas localidades (em cidades) diferentes, pequena abrangência. - Altos custos de deslocamento, estimativa inviável. </w:t>
      </w:r>
    </w:p>
    <w:p w14:paraId="0A811D79">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Definição:</w:t>
      </w:r>
      <w:r>
        <w:rPr>
          <w:rFonts w:eastAsia="Calibri"/>
          <w:color w:val="000000"/>
          <w:szCs w:val="24"/>
          <w:lang w:eastAsia="pt-BR"/>
        </w:rPr>
        <w:t xml:space="preserve"> Considerando a necessidade do Município, possui alto custo com deslocamentos, inviabilizando a solução. </w:t>
      </w:r>
    </w:p>
    <w:p w14:paraId="16545525">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SOLUÇÃO 2</w:t>
      </w:r>
      <w:r>
        <w:rPr>
          <w:rFonts w:eastAsia="Calibri"/>
          <w:color w:val="000000"/>
          <w:szCs w:val="24"/>
          <w:lang w:eastAsia="pt-BR"/>
        </w:rPr>
        <w:t xml:space="preserve">: </w:t>
      </w:r>
      <w:r>
        <w:rPr>
          <w:rFonts w:eastAsia="Calibri"/>
          <w:b/>
          <w:bCs/>
          <w:color w:val="000000"/>
          <w:szCs w:val="24"/>
          <w:lang w:eastAsia="pt-BR"/>
        </w:rPr>
        <w:t>Aquisição com Instalação</w:t>
      </w:r>
      <w:r>
        <w:rPr>
          <w:rFonts w:eastAsia="Calibri"/>
          <w:color w:val="000000"/>
          <w:szCs w:val="24"/>
          <w:lang w:eastAsia="pt-BR"/>
        </w:rPr>
        <w:t xml:space="preserve">; Atendimento aos requisitos Sim, pois os requisitos integram as especificações dos itens, bem como os encargos dos eventuais fornecedores; Vantagens e desvantagens da solução – </w:t>
      </w:r>
    </w:p>
    <w:p w14:paraId="3C532A08">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Vantagens;</w:t>
      </w:r>
      <w:r>
        <w:rPr>
          <w:rFonts w:eastAsia="Calibri"/>
          <w:color w:val="000000"/>
          <w:szCs w:val="24"/>
          <w:lang w:eastAsia="pt-BR"/>
        </w:rPr>
        <w:t xml:space="preserve"> A solução disponibiliza materiais - Materiais com baixa demanda por manutenção; - A aquisição permite a abrangência do atendimento em todo o Estado do Mato grosso do Sul, principalmente no Interior a um custo razoável e mensurável;</w:t>
      </w:r>
    </w:p>
    <w:p w14:paraId="5D805A95">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Mercado bastante difuso e expressivo, diversos fornecedores capazes de atender a demanda; - Possibilidade do fornecedor ser de fora da região do contratante; - Custos adicionais com registro e posterior distribuição (no caso do Interior) diluído junto a outras demandas; </w:t>
      </w:r>
      <w:r>
        <w:rPr>
          <w:rFonts w:eastAsia="Calibri"/>
          <w:szCs w:val="24"/>
          <w:lang w:eastAsia="pt-BR"/>
        </w:rPr>
        <w:t>- Mercado bastante difuso e expressivo, diversos fornecedores capazes de atender a demanda; - Possibilidade do fornecedor ser de fora da região do contratante; - Custos adicionais com registro e posterior distribuição (no caso do Interior) diluído junto a outras demandas; - Equipamentos comprados podem ser distribuídos para atender qualquer localidade</w:t>
      </w:r>
    </w:p>
    <w:p w14:paraId="201FF2A1">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 xml:space="preserve">Definição: </w:t>
      </w:r>
      <w:r>
        <w:rPr>
          <w:rFonts w:eastAsia="Calibri"/>
          <w:szCs w:val="24"/>
          <w:lang w:eastAsia="pt-BR"/>
        </w:rPr>
        <w:t>Solução que atende a necessidade pela disponibilidade dos materiais e sua incorporação aos imóveis, sobretudo na nova sede e para o Interior, onde haverá maior demanda.</w:t>
      </w:r>
    </w:p>
    <w:p w14:paraId="04ABBE91">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Após a análise comparativa das soluções que o mercado apresenta, esse estudo técnico concluiu que a solução mais adequada para esta demanda é a aquisição de persianas com Instalação, através do Sistema de Registro de Preços, mediante processo licitatório, na modalidade pregão eletrônico. </w:t>
      </w:r>
    </w:p>
    <w:p w14:paraId="4C685DEF">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AE86B0C">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O Valor estipulado para esta contratação é de R$ 124.162,24(cento e vinte e quatro mil, cento e sessenta e dois reais e vinte e quatro centavos) conforme planilha abaixo:</w:t>
      </w:r>
    </w:p>
    <w:tbl>
      <w:tblPr>
        <w:tblStyle w:val="8"/>
        <w:tblW w:w="9488" w:type="dxa"/>
        <w:tblInd w:w="0" w:type="dxa"/>
        <w:tblLayout w:type="fixed"/>
        <w:tblCellMar>
          <w:top w:w="0" w:type="dxa"/>
          <w:left w:w="70" w:type="dxa"/>
          <w:bottom w:w="0" w:type="dxa"/>
          <w:right w:w="70" w:type="dxa"/>
        </w:tblCellMar>
      </w:tblPr>
      <w:tblGrid>
        <w:gridCol w:w="779"/>
        <w:gridCol w:w="879"/>
        <w:gridCol w:w="3639"/>
        <w:gridCol w:w="771"/>
        <w:gridCol w:w="1078"/>
        <w:gridCol w:w="1066"/>
        <w:gridCol w:w="1276"/>
      </w:tblGrid>
      <w:tr w14:paraId="68E9B7CA">
        <w:tblPrEx>
          <w:tblCellMar>
            <w:top w:w="0" w:type="dxa"/>
            <w:left w:w="70" w:type="dxa"/>
            <w:bottom w:w="0" w:type="dxa"/>
            <w:right w:w="70" w:type="dxa"/>
          </w:tblCellMar>
        </w:tblPrEx>
        <w:trPr>
          <w:trHeight w:val="315" w:hRule="atLeast"/>
        </w:trPr>
        <w:tc>
          <w:tcPr>
            <w:tcW w:w="779" w:type="dxa"/>
            <w:tcBorders>
              <w:top w:val="single" w:color="auto" w:sz="4" w:space="0"/>
              <w:left w:val="single" w:color="auto" w:sz="4" w:space="0"/>
              <w:bottom w:val="single" w:color="auto" w:sz="4" w:space="0"/>
              <w:right w:val="single" w:color="auto" w:sz="4" w:space="0"/>
            </w:tcBorders>
            <w:vAlign w:val="center"/>
          </w:tcPr>
          <w:p w14:paraId="67F04DEC">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Item</w:t>
            </w:r>
          </w:p>
        </w:tc>
        <w:tc>
          <w:tcPr>
            <w:tcW w:w="879" w:type="dxa"/>
            <w:tcBorders>
              <w:top w:val="single" w:color="auto" w:sz="4" w:space="0"/>
              <w:left w:val="nil"/>
              <w:bottom w:val="single" w:color="auto" w:sz="4" w:space="0"/>
              <w:right w:val="single" w:color="auto" w:sz="4" w:space="0"/>
            </w:tcBorders>
            <w:vAlign w:val="center"/>
          </w:tcPr>
          <w:p w14:paraId="08EA469B">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Código</w:t>
            </w:r>
          </w:p>
        </w:tc>
        <w:tc>
          <w:tcPr>
            <w:tcW w:w="3639" w:type="dxa"/>
            <w:tcBorders>
              <w:top w:val="single" w:color="auto" w:sz="4" w:space="0"/>
              <w:left w:val="nil"/>
              <w:bottom w:val="single" w:color="auto" w:sz="4" w:space="0"/>
              <w:right w:val="single" w:color="auto" w:sz="4" w:space="0"/>
            </w:tcBorders>
            <w:vAlign w:val="center"/>
          </w:tcPr>
          <w:p w14:paraId="1EA3630E">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Descrição</w:t>
            </w:r>
          </w:p>
        </w:tc>
        <w:tc>
          <w:tcPr>
            <w:tcW w:w="771" w:type="dxa"/>
            <w:tcBorders>
              <w:top w:val="single" w:color="auto" w:sz="4" w:space="0"/>
              <w:left w:val="nil"/>
              <w:bottom w:val="single" w:color="auto" w:sz="4" w:space="0"/>
              <w:right w:val="single" w:color="auto" w:sz="4" w:space="0"/>
            </w:tcBorders>
            <w:vAlign w:val="center"/>
          </w:tcPr>
          <w:p w14:paraId="7D1BD325">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Quant.</w:t>
            </w:r>
          </w:p>
        </w:tc>
        <w:tc>
          <w:tcPr>
            <w:tcW w:w="1078" w:type="dxa"/>
            <w:tcBorders>
              <w:top w:val="single" w:color="auto" w:sz="4" w:space="0"/>
              <w:left w:val="nil"/>
              <w:bottom w:val="single" w:color="auto" w:sz="4" w:space="0"/>
              <w:right w:val="single" w:color="auto" w:sz="4" w:space="0"/>
            </w:tcBorders>
            <w:vAlign w:val="center"/>
          </w:tcPr>
          <w:p w14:paraId="2F802216">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Unidade</w:t>
            </w:r>
          </w:p>
        </w:tc>
        <w:tc>
          <w:tcPr>
            <w:tcW w:w="1066" w:type="dxa"/>
            <w:tcBorders>
              <w:top w:val="single" w:color="auto" w:sz="4" w:space="0"/>
              <w:left w:val="nil"/>
              <w:bottom w:val="single" w:color="auto" w:sz="4" w:space="0"/>
              <w:right w:val="single" w:color="auto" w:sz="4" w:space="0"/>
            </w:tcBorders>
            <w:vAlign w:val="center"/>
          </w:tcPr>
          <w:p w14:paraId="61A8725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 xml:space="preserve"> Valor Unit. </w:t>
            </w:r>
          </w:p>
        </w:tc>
        <w:tc>
          <w:tcPr>
            <w:tcW w:w="1276" w:type="dxa"/>
            <w:tcBorders>
              <w:top w:val="single" w:color="auto" w:sz="4" w:space="0"/>
              <w:left w:val="nil"/>
              <w:bottom w:val="single" w:color="auto" w:sz="4" w:space="0"/>
              <w:right w:val="single" w:color="auto" w:sz="4" w:space="0"/>
            </w:tcBorders>
            <w:vAlign w:val="center"/>
          </w:tcPr>
          <w:p w14:paraId="16377755">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 xml:space="preserve"> Valor Total </w:t>
            </w:r>
          </w:p>
        </w:tc>
      </w:tr>
      <w:tr w14:paraId="75745317">
        <w:tblPrEx>
          <w:tblCellMar>
            <w:top w:w="0" w:type="dxa"/>
            <w:left w:w="70" w:type="dxa"/>
            <w:bottom w:w="0" w:type="dxa"/>
            <w:right w:w="70" w:type="dxa"/>
          </w:tblCellMar>
        </w:tblPrEx>
        <w:trPr>
          <w:trHeight w:val="3980" w:hRule="atLeast"/>
        </w:trPr>
        <w:tc>
          <w:tcPr>
            <w:tcW w:w="779" w:type="dxa"/>
            <w:tcBorders>
              <w:top w:val="single" w:color="auto" w:sz="4" w:space="0"/>
              <w:left w:val="single" w:color="auto" w:sz="8" w:space="0"/>
              <w:bottom w:val="single" w:color="auto" w:sz="4" w:space="0"/>
              <w:right w:val="single" w:color="auto" w:sz="4" w:space="0"/>
            </w:tcBorders>
            <w:vAlign w:val="center"/>
          </w:tcPr>
          <w:p w14:paraId="693CBE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879" w:type="dxa"/>
            <w:tcBorders>
              <w:top w:val="single" w:color="auto" w:sz="4" w:space="0"/>
              <w:left w:val="nil"/>
              <w:bottom w:val="single" w:color="auto" w:sz="4" w:space="0"/>
              <w:right w:val="single" w:color="auto" w:sz="4" w:space="0"/>
            </w:tcBorders>
            <w:vAlign w:val="center"/>
          </w:tcPr>
          <w:p w14:paraId="5A5BF02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34156</w:t>
            </w:r>
          </w:p>
        </w:tc>
        <w:tc>
          <w:tcPr>
            <w:tcW w:w="3639" w:type="dxa"/>
            <w:tcBorders>
              <w:top w:val="single" w:color="auto" w:sz="4" w:space="0"/>
              <w:left w:val="nil"/>
              <w:bottom w:val="single" w:color="auto" w:sz="4" w:space="0"/>
              <w:right w:val="single" w:color="auto" w:sz="4" w:space="0"/>
            </w:tcBorders>
            <w:vAlign w:val="bottom"/>
          </w:tcPr>
          <w:p w14:paraId="1419AE0A">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M x 2,40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single" w:color="auto" w:sz="4" w:space="0"/>
              <w:left w:val="nil"/>
              <w:bottom w:val="single" w:color="auto" w:sz="4" w:space="0"/>
              <w:right w:val="single" w:color="auto" w:sz="4" w:space="0"/>
            </w:tcBorders>
            <w:vAlign w:val="center"/>
          </w:tcPr>
          <w:p w14:paraId="3836783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single" w:color="auto" w:sz="4" w:space="0"/>
              <w:left w:val="nil"/>
              <w:bottom w:val="single" w:color="auto" w:sz="4" w:space="0"/>
              <w:right w:val="single" w:color="auto" w:sz="4" w:space="0"/>
            </w:tcBorders>
            <w:vAlign w:val="center"/>
          </w:tcPr>
          <w:p w14:paraId="1CAFCEB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single" w:color="auto" w:sz="4" w:space="0"/>
              <w:left w:val="nil"/>
              <w:bottom w:val="single" w:color="auto" w:sz="4" w:space="0"/>
              <w:right w:val="single" w:color="auto" w:sz="4" w:space="0"/>
            </w:tcBorders>
            <w:vAlign w:val="center"/>
          </w:tcPr>
          <w:p w14:paraId="1F9A4DC6">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R$ 1.248,00 </w:t>
            </w:r>
          </w:p>
        </w:tc>
        <w:tc>
          <w:tcPr>
            <w:tcW w:w="1276" w:type="dxa"/>
            <w:tcBorders>
              <w:top w:val="single" w:color="auto" w:sz="4" w:space="0"/>
              <w:left w:val="nil"/>
              <w:bottom w:val="single" w:color="auto" w:sz="4" w:space="0"/>
              <w:right w:val="single" w:color="auto" w:sz="8" w:space="0"/>
            </w:tcBorders>
            <w:vAlign w:val="center"/>
          </w:tcPr>
          <w:p w14:paraId="7DA6721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3.744,00 </w:t>
            </w:r>
          </w:p>
        </w:tc>
      </w:tr>
      <w:tr w14:paraId="643CF3CD">
        <w:tblPrEx>
          <w:tblCellMar>
            <w:top w:w="0" w:type="dxa"/>
            <w:left w:w="70" w:type="dxa"/>
            <w:bottom w:w="0" w:type="dxa"/>
            <w:right w:w="70" w:type="dxa"/>
          </w:tblCellMar>
        </w:tblPrEx>
        <w:trPr>
          <w:trHeight w:val="4102" w:hRule="atLeast"/>
        </w:trPr>
        <w:tc>
          <w:tcPr>
            <w:tcW w:w="779" w:type="dxa"/>
            <w:tcBorders>
              <w:top w:val="nil"/>
              <w:left w:val="single" w:color="auto" w:sz="8" w:space="0"/>
              <w:bottom w:val="single" w:color="auto" w:sz="4" w:space="0"/>
              <w:right w:val="single" w:color="auto" w:sz="4" w:space="0"/>
            </w:tcBorders>
            <w:vAlign w:val="center"/>
          </w:tcPr>
          <w:p w14:paraId="0AA49F1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879" w:type="dxa"/>
            <w:tcBorders>
              <w:top w:val="nil"/>
              <w:left w:val="nil"/>
              <w:bottom w:val="single" w:color="auto" w:sz="4" w:space="0"/>
              <w:right w:val="single" w:color="auto" w:sz="4" w:space="0"/>
            </w:tcBorders>
            <w:vAlign w:val="center"/>
          </w:tcPr>
          <w:p w14:paraId="68788B2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34157</w:t>
            </w:r>
          </w:p>
        </w:tc>
        <w:tc>
          <w:tcPr>
            <w:tcW w:w="3639" w:type="dxa"/>
            <w:tcBorders>
              <w:top w:val="nil"/>
              <w:left w:val="nil"/>
              <w:bottom w:val="single" w:color="auto" w:sz="4" w:space="0"/>
              <w:right w:val="single" w:color="auto" w:sz="4" w:space="0"/>
            </w:tcBorders>
            <w:vAlign w:val="bottom"/>
          </w:tcPr>
          <w:p w14:paraId="737E2CEE">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4A8E8C4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078" w:type="dxa"/>
            <w:tcBorders>
              <w:top w:val="nil"/>
              <w:left w:val="nil"/>
              <w:bottom w:val="single" w:color="auto" w:sz="4" w:space="0"/>
              <w:right w:val="single" w:color="auto" w:sz="4" w:space="0"/>
            </w:tcBorders>
            <w:vAlign w:val="center"/>
          </w:tcPr>
          <w:p w14:paraId="59A8C70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3AE830B5">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822,64 </w:t>
            </w:r>
          </w:p>
        </w:tc>
        <w:tc>
          <w:tcPr>
            <w:tcW w:w="1276" w:type="dxa"/>
            <w:tcBorders>
              <w:top w:val="nil"/>
              <w:left w:val="nil"/>
              <w:bottom w:val="single" w:color="auto" w:sz="4" w:space="0"/>
              <w:right w:val="single" w:color="auto" w:sz="8" w:space="0"/>
            </w:tcBorders>
            <w:vAlign w:val="center"/>
          </w:tcPr>
          <w:p w14:paraId="78A16F6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4.113,20 </w:t>
            </w:r>
          </w:p>
        </w:tc>
      </w:tr>
      <w:tr w14:paraId="747B8487">
        <w:tblPrEx>
          <w:tblCellMar>
            <w:top w:w="0" w:type="dxa"/>
            <w:left w:w="70" w:type="dxa"/>
            <w:bottom w:w="0" w:type="dxa"/>
            <w:right w:w="70" w:type="dxa"/>
          </w:tblCellMar>
        </w:tblPrEx>
        <w:trPr>
          <w:trHeight w:val="1552" w:hRule="atLeast"/>
        </w:trPr>
        <w:tc>
          <w:tcPr>
            <w:tcW w:w="779" w:type="dxa"/>
            <w:tcBorders>
              <w:top w:val="nil"/>
              <w:left w:val="single" w:color="auto" w:sz="8" w:space="0"/>
              <w:bottom w:val="single" w:color="auto" w:sz="4" w:space="0"/>
              <w:right w:val="single" w:color="auto" w:sz="4" w:space="0"/>
            </w:tcBorders>
            <w:vAlign w:val="center"/>
          </w:tcPr>
          <w:p w14:paraId="1161F0B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879" w:type="dxa"/>
            <w:tcBorders>
              <w:top w:val="nil"/>
              <w:left w:val="nil"/>
              <w:bottom w:val="single" w:color="auto" w:sz="4" w:space="0"/>
              <w:right w:val="single" w:color="auto" w:sz="4" w:space="0"/>
            </w:tcBorders>
            <w:vAlign w:val="center"/>
          </w:tcPr>
          <w:p w14:paraId="755B7B6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34158</w:t>
            </w:r>
          </w:p>
        </w:tc>
        <w:tc>
          <w:tcPr>
            <w:tcW w:w="3639" w:type="dxa"/>
            <w:tcBorders>
              <w:top w:val="nil"/>
              <w:left w:val="nil"/>
              <w:bottom w:val="single" w:color="auto" w:sz="4" w:space="0"/>
              <w:right w:val="single" w:color="auto" w:sz="4" w:space="0"/>
            </w:tcBorders>
            <w:vAlign w:val="bottom"/>
          </w:tcPr>
          <w:p w14:paraId="51994A9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00CEB98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7</w:t>
            </w:r>
          </w:p>
        </w:tc>
        <w:tc>
          <w:tcPr>
            <w:tcW w:w="1078" w:type="dxa"/>
            <w:tcBorders>
              <w:top w:val="nil"/>
              <w:left w:val="nil"/>
              <w:bottom w:val="single" w:color="auto" w:sz="4" w:space="0"/>
              <w:right w:val="single" w:color="auto" w:sz="4" w:space="0"/>
            </w:tcBorders>
            <w:vAlign w:val="center"/>
          </w:tcPr>
          <w:p w14:paraId="15AF440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7FD0D8C4">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R$ 1.067,73 </w:t>
            </w:r>
          </w:p>
        </w:tc>
        <w:tc>
          <w:tcPr>
            <w:tcW w:w="1276" w:type="dxa"/>
            <w:tcBorders>
              <w:top w:val="nil"/>
              <w:left w:val="nil"/>
              <w:bottom w:val="single" w:color="auto" w:sz="4" w:space="0"/>
              <w:right w:val="single" w:color="auto" w:sz="8" w:space="0"/>
            </w:tcBorders>
            <w:vAlign w:val="center"/>
          </w:tcPr>
          <w:p w14:paraId="0A18CCF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7.474,11 </w:t>
            </w:r>
          </w:p>
        </w:tc>
      </w:tr>
      <w:tr w14:paraId="1585C90A">
        <w:tblPrEx>
          <w:tblCellMar>
            <w:top w:w="0" w:type="dxa"/>
            <w:left w:w="70" w:type="dxa"/>
            <w:bottom w:w="0" w:type="dxa"/>
            <w:right w:w="70" w:type="dxa"/>
          </w:tblCellMar>
        </w:tblPrEx>
        <w:trPr>
          <w:trHeight w:val="2394" w:hRule="atLeast"/>
        </w:trPr>
        <w:tc>
          <w:tcPr>
            <w:tcW w:w="779" w:type="dxa"/>
            <w:tcBorders>
              <w:top w:val="nil"/>
              <w:left w:val="single" w:color="auto" w:sz="8" w:space="0"/>
              <w:bottom w:val="single" w:color="auto" w:sz="4" w:space="0"/>
              <w:right w:val="single" w:color="auto" w:sz="4" w:space="0"/>
            </w:tcBorders>
            <w:vAlign w:val="center"/>
          </w:tcPr>
          <w:p w14:paraId="419831B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879" w:type="dxa"/>
            <w:tcBorders>
              <w:top w:val="nil"/>
              <w:left w:val="nil"/>
              <w:bottom w:val="single" w:color="auto" w:sz="4" w:space="0"/>
              <w:right w:val="single" w:color="auto" w:sz="4" w:space="0"/>
            </w:tcBorders>
            <w:vAlign w:val="center"/>
          </w:tcPr>
          <w:p w14:paraId="06B8314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34159</w:t>
            </w:r>
          </w:p>
        </w:tc>
        <w:tc>
          <w:tcPr>
            <w:tcW w:w="3639" w:type="dxa"/>
            <w:tcBorders>
              <w:top w:val="nil"/>
              <w:left w:val="nil"/>
              <w:bottom w:val="single" w:color="auto" w:sz="4" w:space="0"/>
              <w:right w:val="single" w:color="auto" w:sz="4" w:space="0"/>
            </w:tcBorders>
            <w:vAlign w:val="bottom"/>
          </w:tcPr>
          <w:p w14:paraId="6347CEBB">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54D2B68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078" w:type="dxa"/>
            <w:tcBorders>
              <w:top w:val="nil"/>
              <w:left w:val="nil"/>
              <w:bottom w:val="single" w:color="auto" w:sz="4" w:space="0"/>
              <w:right w:val="single" w:color="auto" w:sz="4" w:space="0"/>
            </w:tcBorders>
            <w:vAlign w:val="center"/>
          </w:tcPr>
          <w:p w14:paraId="32B0FD4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4AF2963E">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929,66 </w:t>
            </w:r>
          </w:p>
        </w:tc>
        <w:tc>
          <w:tcPr>
            <w:tcW w:w="1276" w:type="dxa"/>
            <w:tcBorders>
              <w:top w:val="nil"/>
              <w:left w:val="nil"/>
              <w:bottom w:val="single" w:color="auto" w:sz="4" w:space="0"/>
              <w:right w:val="single" w:color="auto" w:sz="8" w:space="0"/>
            </w:tcBorders>
            <w:vAlign w:val="center"/>
          </w:tcPr>
          <w:p w14:paraId="577A9A7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4.648,30 </w:t>
            </w:r>
          </w:p>
        </w:tc>
      </w:tr>
      <w:tr w14:paraId="74FEF62A">
        <w:tblPrEx>
          <w:tblCellMar>
            <w:top w:w="0" w:type="dxa"/>
            <w:left w:w="70" w:type="dxa"/>
            <w:bottom w:w="0" w:type="dxa"/>
            <w:right w:w="70" w:type="dxa"/>
          </w:tblCellMar>
        </w:tblPrEx>
        <w:trPr>
          <w:trHeight w:val="4092" w:hRule="atLeast"/>
        </w:trPr>
        <w:tc>
          <w:tcPr>
            <w:tcW w:w="779" w:type="dxa"/>
            <w:tcBorders>
              <w:top w:val="nil"/>
              <w:left w:val="single" w:color="auto" w:sz="8" w:space="0"/>
              <w:bottom w:val="single" w:color="auto" w:sz="4" w:space="0"/>
              <w:right w:val="single" w:color="auto" w:sz="4" w:space="0"/>
            </w:tcBorders>
            <w:vAlign w:val="center"/>
          </w:tcPr>
          <w:p w14:paraId="487E426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879" w:type="dxa"/>
            <w:tcBorders>
              <w:top w:val="nil"/>
              <w:left w:val="nil"/>
              <w:bottom w:val="single" w:color="auto" w:sz="4" w:space="0"/>
              <w:right w:val="single" w:color="auto" w:sz="4" w:space="0"/>
            </w:tcBorders>
            <w:vAlign w:val="center"/>
          </w:tcPr>
          <w:p w14:paraId="2EC52A2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34160</w:t>
            </w:r>
          </w:p>
        </w:tc>
        <w:tc>
          <w:tcPr>
            <w:tcW w:w="3639" w:type="dxa"/>
            <w:tcBorders>
              <w:top w:val="nil"/>
              <w:left w:val="nil"/>
              <w:bottom w:val="single" w:color="auto" w:sz="4" w:space="0"/>
              <w:right w:val="single" w:color="auto" w:sz="4" w:space="0"/>
            </w:tcBorders>
            <w:vAlign w:val="bottom"/>
          </w:tcPr>
          <w:p w14:paraId="5CEDF1E1">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2,20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2F651FE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color="auto" w:sz="4" w:space="0"/>
              <w:right w:val="single" w:color="auto" w:sz="4" w:space="0"/>
            </w:tcBorders>
            <w:vAlign w:val="center"/>
          </w:tcPr>
          <w:p w14:paraId="5586A31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292C451C">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R$ 2.125,59 </w:t>
            </w:r>
          </w:p>
        </w:tc>
        <w:tc>
          <w:tcPr>
            <w:tcW w:w="1276" w:type="dxa"/>
            <w:tcBorders>
              <w:top w:val="nil"/>
              <w:left w:val="nil"/>
              <w:bottom w:val="single" w:color="auto" w:sz="4" w:space="0"/>
              <w:right w:val="single" w:color="auto" w:sz="8" w:space="0"/>
            </w:tcBorders>
            <w:vAlign w:val="center"/>
          </w:tcPr>
          <w:p w14:paraId="2264182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6.376,77 </w:t>
            </w:r>
          </w:p>
        </w:tc>
      </w:tr>
      <w:tr w14:paraId="4AD37684">
        <w:tblPrEx>
          <w:tblCellMar>
            <w:top w:w="0" w:type="dxa"/>
            <w:left w:w="70" w:type="dxa"/>
            <w:bottom w:w="0" w:type="dxa"/>
            <w:right w:w="70" w:type="dxa"/>
          </w:tblCellMar>
        </w:tblPrEx>
        <w:trPr>
          <w:trHeight w:val="1827" w:hRule="atLeast"/>
        </w:trPr>
        <w:tc>
          <w:tcPr>
            <w:tcW w:w="779" w:type="dxa"/>
            <w:tcBorders>
              <w:top w:val="nil"/>
              <w:left w:val="single" w:color="auto" w:sz="8" w:space="0"/>
              <w:bottom w:val="single" w:color="auto" w:sz="4" w:space="0"/>
              <w:right w:val="single" w:color="auto" w:sz="4" w:space="0"/>
            </w:tcBorders>
            <w:vAlign w:val="center"/>
          </w:tcPr>
          <w:p w14:paraId="7436A85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6</w:t>
            </w:r>
          </w:p>
        </w:tc>
        <w:tc>
          <w:tcPr>
            <w:tcW w:w="879" w:type="dxa"/>
            <w:tcBorders>
              <w:top w:val="nil"/>
              <w:left w:val="nil"/>
              <w:bottom w:val="single" w:color="auto" w:sz="4" w:space="0"/>
              <w:right w:val="single" w:color="auto" w:sz="4" w:space="0"/>
            </w:tcBorders>
            <w:vAlign w:val="center"/>
          </w:tcPr>
          <w:p w14:paraId="6FE4C77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34161</w:t>
            </w:r>
          </w:p>
        </w:tc>
        <w:tc>
          <w:tcPr>
            <w:tcW w:w="3639" w:type="dxa"/>
            <w:tcBorders>
              <w:top w:val="nil"/>
              <w:left w:val="nil"/>
              <w:bottom w:val="single" w:color="auto" w:sz="4" w:space="0"/>
              <w:right w:val="single" w:color="auto" w:sz="4" w:space="0"/>
            </w:tcBorders>
            <w:vAlign w:val="bottom"/>
          </w:tcPr>
          <w:p w14:paraId="36C5843D">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1,10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526EE7C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color="auto" w:sz="4" w:space="0"/>
              <w:right w:val="single" w:color="auto" w:sz="4" w:space="0"/>
            </w:tcBorders>
            <w:vAlign w:val="center"/>
          </w:tcPr>
          <w:p w14:paraId="03BFCD4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70324DBE">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R$ 1.364,59 </w:t>
            </w:r>
          </w:p>
        </w:tc>
        <w:tc>
          <w:tcPr>
            <w:tcW w:w="1276" w:type="dxa"/>
            <w:tcBorders>
              <w:top w:val="nil"/>
              <w:left w:val="nil"/>
              <w:bottom w:val="single" w:color="auto" w:sz="4" w:space="0"/>
              <w:right w:val="single" w:color="auto" w:sz="8" w:space="0"/>
            </w:tcBorders>
            <w:vAlign w:val="center"/>
          </w:tcPr>
          <w:p w14:paraId="54DD5A0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4.093,77 </w:t>
            </w:r>
          </w:p>
        </w:tc>
      </w:tr>
      <w:tr w14:paraId="5D08DDA4">
        <w:tblPrEx>
          <w:tblCellMar>
            <w:top w:w="0" w:type="dxa"/>
            <w:left w:w="70" w:type="dxa"/>
            <w:bottom w:w="0" w:type="dxa"/>
            <w:right w:w="70" w:type="dxa"/>
          </w:tblCellMar>
        </w:tblPrEx>
        <w:trPr>
          <w:trHeight w:val="977" w:hRule="atLeast"/>
        </w:trPr>
        <w:tc>
          <w:tcPr>
            <w:tcW w:w="779" w:type="dxa"/>
            <w:tcBorders>
              <w:top w:val="nil"/>
              <w:left w:val="single" w:color="auto" w:sz="8" w:space="0"/>
              <w:bottom w:val="single" w:color="auto" w:sz="4" w:space="0"/>
              <w:right w:val="single" w:color="auto" w:sz="4" w:space="0"/>
            </w:tcBorders>
            <w:vAlign w:val="center"/>
          </w:tcPr>
          <w:p w14:paraId="2D7673B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7</w:t>
            </w:r>
          </w:p>
        </w:tc>
        <w:tc>
          <w:tcPr>
            <w:tcW w:w="879" w:type="dxa"/>
            <w:tcBorders>
              <w:top w:val="nil"/>
              <w:left w:val="nil"/>
              <w:bottom w:val="single" w:color="auto" w:sz="4" w:space="0"/>
              <w:right w:val="single" w:color="auto" w:sz="4" w:space="0"/>
            </w:tcBorders>
            <w:vAlign w:val="center"/>
          </w:tcPr>
          <w:p w14:paraId="3442953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34162</w:t>
            </w:r>
          </w:p>
        </w:tc>
        <w:tc>
          <w:tcPr>
            <w:tcW w:w="3639" w:type="dxa"/>
            <w:tcBorders>
              <w:top w:val="nil"/>
              <w:left w:val="nil"/>
              <w:bottom w:val="single" w:color="auto" w:sz="4" w:space="0"/>
              <w:right w:val="single" w:color="auto" w:sz="4" w:space="0"/>
            </w:tcBorders>
            <w:vAlign w:val="bottom"/>
          </w:tcPr>
          <w:p w14:paraId="796429DC">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2,20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12A6E1E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2735DE1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589623DF">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R$ 1.461,34 </w:t>
            </w:r>
          </w:p>
        </w:tc>
        <w:tc>
          <w:tcPr>
            <w:tcW w:w="1276" w:type="dxa"/>
            <w:tcBorders>
              <w:top w:val="nil"/>
              <w:left w:val="nil"/>
              <w:bottom w:val="single" w:color="auto" w:sz="4" w:space="0"/>
              <w:right w:val="single" w:color="auto" w:sz="8" w:space="0"/>
            </w:tcBorders>
            <w:vAlign w:val="center"/>
          </w:tcPr>
          <w:p w14:paraId="12EB041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2.922,68 </w:t>
            </w:r>
          </w:p>
        </w:tc>
      </w:tr>
      <w:tr w14:paraId="11508971">
        <w:tblPrEx>
          <w:tblCellMar>
            <w:top w:w="0" w:type="dxa"/>
            <w:left w:w="70" w:type="dxa"/>
            <w:bottom w:w="0" w:type="dxa"/>
            <w:right w:w="70" w:type="dxa"/>
          </w:tblCellMar>
        </w:tblPrEx>
        <w:trPr>
          <w:trHeight w:val="2571" w:hRule="atLeast"/>
        </w:trPr>
        <w:tc>
          <w:tcPr>
            <w:tcW w:w="779" w:type="dxa"/>
            <w:tcBorders>
              <w:top w:val="nil"/>
              <w:left w:val="single" w:color="auto" w:sz="8" w:space="0"/>
              <w:bottom w:val="single" w:color="auto" w:sz="4" w:space="0"/>
              <w:right w:val="single" w:color="auto" w:sz="4" w:space="0"/>
            </w:tcBorders>
            <w:vAlign w:val="center"/>
          </w:tcPr>
          <w:p w14:paraId="382BBD0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879" w:type="dxa"/>
            <w:tcBorders>
              <w:top w:val="nil"/>
              <w:left w:val="nil"/>
              <w:bottom w:val="single" w:color="auto" w:sz="4" w:space="0"/>
              <w:right w:val="single" w:color="auto" w:sz="4" w:space="0"/>
            </w:tcBorders>
            <w:vAlign w:val="center"/>
          </w:tcPr>
          <w:p w14:paraId="00FEED2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34163</w:t>
            </w:r>
          </w:p>
        </w:tc>
        <w:tc>
          <w:tcPr>
            <w:tcW w:w="3639" w:type="dxa"/>
            <w:tcBorders>
              <w:top w:val="nil"/>
              <w:left w:val="nil"/>
              <w:bottom w:val="single" w:color="auto" w:sz="4" w:space="0"/>
              <w:right w:val="single" w:color="auto" w:sz="4" w:space="0"/>
            </w:tcBorders>
            <w:vAlign w:val="bottom"/>
          </w:tcPr>
          <w:p w14:paraId="4EDD2C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0,70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15F7F58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64935CF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0463360C">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855,00 </w:t>
            </w:r>
          </w:p>
        </w:tc>
        <w:tc>
          <w:tcPr>
            <w:tcW w:w="1276" w:type="dxa"/>
            <w:tcBorders>
              <w:top w:val="nil"/>
              <w:left w:val="nil"/>
              <w:bottom w:val="single" w:color="auto" w:sz="4" w:space="0"/>
              <w:right w:val="single" w:color="auto" w:sz="8" w:space="0"/>
            </w:tcBorders>
            <w:vAlign w:val="center"/>
          </w:tcPr>
          <w:p w14:paraId="6D1D1F8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1.710,00 </w:t>
            </w:r>
          </w:p>
        </w:tc>
      </w:tr>
      <w:tr w14:paraId="118E0208">
        <w:tblPrEx>
          <w:tblCellMar>
            <w:top w:w="0" w:type="dxa"/>
            <w:left w:w="70" w:type="dxa"/>
            <w:bottom w:w="0" w:type="dxa"/>
            <w:right w:w="70" w:type="dxa"/>
          </w:tblCellMar>
        </w:tblPrEx>
        <w:trPr>
          <w:trHeight w:val="410" w:hRule="atLeast"/>
        </w:trPr>
        <w:tc>
          <w:tcPr>
            <w:tcW w:w="779" w:type="dxa"/>
            <w:tcBorders>
              <w:top w:val="nil"/>
              <w:left w:val="single" w:color="auto" w:sz="8" w:space="0"/>
              <w:bottom w:val="single" w:color="auto" w:sz="4" w:space="0"/>
              <w:right w:val="single" w:color="auto" w:sz="4" w:space="0"/>
            </w:tcBorders>
            <w:vAlign w:val="center"/>
          </w:tcPr>
          <w:p w14:paraId="59B57B7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9</w:t>
            </w:r>
          </w:p>
        </w:tc>
        <w:tc>
          <w:tcPr>
            <w:tcW w:w="879" w:type="dxa"/>
            <w:tcBorders>
              <w:top w:val="nil"/>
              <w:left w:val="nil"/>
              <w:bottom w:val="single" w:color="auto" w:sz="4" w:space="0"/>
              <w:right w:val="single" w:color="auto" w:sz="4" w:space="0"/>
            </w:tcBorders>
            <w:vAlign w:val="center"/>
          </w:tcPr>
          <w:p w14:paraId="224E155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34164</w:t>
            </w:r>
          </w:p>
        </w:tc>
        <w:tc>
          <w:tcPr>
            <w:tcW w:w="3639" w:type="dxa"/>
            <w:tcBorders>
              <w:top w:val="nil"/>
              <w:left w:val="nil"/>
              <w:bottom w:val="single" w:color="auto" w:sz="4" w:space="0"/>
              <w:right w:val="single" w:color="auto" w:sz="4" w:space="0"/>
            </w:tcBorders>
            <w:vAlign w:val="bottom"/>
          </w:tcPr>
          <w:p w14:paraId="289487CA">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0,70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652A0F2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color="auto" w:sz="4" w:space="0"/>
              <w:right w:val="single" w:color="auto" w:sz="4" w:space="0"/>
            </w:tcBorders>
            <w:vAlign w:val="center"/>
          </w:tcPr>
          <w:p w14:paraId="1994ED1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0157761A">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R$ 1.054,53 </w:t>
            </w:r>
          </w:p>
        </w:tc>
        <w:tc>
          <w:tcPr>
            <w:tcW w:w="1276" w:type="dxa"/>
            <w:tcBorders>
              <w:top w:val="nil"/>
              <w:left w:val="nil"/>
              <w:bottom w:val="single" w:color="auto" w:sz="4" w:space="0"/>
              <w:right w:val="single" w:color="auto" w:sz="8" w:space="0"/>
            </w:tcBorders>
            <w:vAlign w:val="center"/>
          </w:tcPr>
          <w:p w14:paraId="135A7D8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3.163,59 </w:t>
            </w:r>
          </w:p>
        </w:tc>
      </w:tr>
      <w:tr w14:paraId="467EFF7B">
        <w:tblPrEx>
          <w:tblCellMar>
            <w:top w:w="0" w:type="dxa"/>
            <w:left w:w="70" w:type="dxa"/>
            <w:bottom w:w="0" w:type="dxa"/>
            <w:right w:w="70" w:type="dxa"/>
          </w:tblCellMar>
        </w:tblPrEx>
        <w:trPr>
          <w:trHeight w:val="1119" w:hRule="atLeast"/>
        </w:trPr>
        <w:tc>
          <w:tcPr>
            <w:tcW w:w="779" w:type="dxa"/>
            <w:tcBorders>
              <w:top w:val="nil"/>
              <w:left w:val="single" w:color="auto" w:sz="8" w:space="0"/>
              <w:bottom w:val="single" w:color="auto" w:sz="4" w:space="0"/>
              <w:right w:val="single" w:color="auto" w:sz="4" w:space="0"/>
            </w:tcBorders>
            <w:vAlign w:val="center"/>
          </w:tcPr>
          <w:p w14:paraId="0FF09A0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879" w:type="dxa"/>
            <w:tcBorders>
              <w:top w:val="nil"/>
              <w:left w:val="nil"/>
              <w:bottom w:val="single" w:color="auto" w:sz="4" w:space="0"/>
              <w:right w:val="single" w:color="auto" w:sz="4" w:space="0"/>
            </w:tcBorders>
            <w:vAlign w:val="center"/>
          </w:tcPr>
          <w:p w14:paraId="1C52BC3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34165</w:t>
            </w:r>
          </w:p>
        </w:tc>
        <w:tc>
          <w:tcPr>
            <w:tcW w:w="3639" w:type="dxa"/>
            <w:tcBorders>
              <w:top w:val="nil"/>
              <w:left w:val="nil"/>
              <w:bottom w:val="single" w:color="auto" w:sz="4" w:space="0"/>
              <w:right w:val="single" w:color="auto" w:sz="4" w:space="0"/>
            </w:tcBorders>
            <w:vAlign w:val="bottom"/>
          </w:tcPr>
          <w:p w14:paraId="2D0AE00F">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1542746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3177960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53C3522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720,10 </w:t>
            </w:r>
          </w:p>
        </w:tc>
        <w:tc>
          <w:tcPr>
            <w:tcW w:w="1276" w:type="dxa"/>
            <w:tcBorders>
              <w:top w:val="nil"/>
              <w:left w:val="nil"/>
              <w:bottom w:val="single" w:color="auto" w:sz="4" w:space="0"/>
              <w:right w:val="single" w:color="auto" w:sz="8" w:space="0"/>
            </w:tcBorders>
            <w:vAlign w:val="center"/>
          </w:tcPr>
          <w:p w14:paraId="0732E4C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1.440,20 </w:t>
            </w:r>
          </w:p>
        </w:tc>
      </w:tr>
      <w:tr w14:paraId="21B89E4E">
        <w:tblPrEx>
          <w:tblCellMar>
            <w:top w:w="0" w:type="dxa"/>
            <w:left w:w="70" w:type="dxa"/>
            <w:bottom w:w="0" w:type="dxa"/>
            <w:right w:w="70" w:type="dxa"/>
          </w:tblCellMar>
        </w:tblPrEx>
        <w:trPr>
          <w:trHeight w:val="4040" w:hRule="atLeast"/>
        </w:trPr>
        <w:tc>
          <w:tcPr>
            <w:tcW w:w="779" w:type="dxa"/>
            <w:tcBorders>
              <w:top w:val="nil"/>
              <w:left w:val="single" w:color="auto" w:sz="8" w:space="0"/>
              <w:bottom w:val="single" w:color="auto" w:sz="4" w:space="0"/>
              <w:right w:val="single" w:color="auto" w:sz="4" w:space="0"/>
            </w:tcBorders>
            <w:vAlign w:val="center"/>
          </w:tcPr>
          <w:p w14:paraId="111BE81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11</w:t>
            </w:r>
          </w:p>
        </w:tc>
        <w:tc>
          <w:tcPr>
            <w:tcW w:w="879" w:type="dxa"/>
            <w:tcBorders>
              <w:top w:val="nil"/>
              <w:left w:val="nil"/>
              <w:bottom w:val="single" w:color="auto" w:sz="4" w:space="0"/>
              <w:right w:val="single" w:color="auto" w:sz="4" w:space="0"/>
            </w:tcBorders>
            <w:vAlign w:val="center"/>
          </w:tcPr>
          <w:p w14:paraId="76A30B4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34166</w:t>
            </w:r>
          </w:p>
        </w:tc>
        <w:tc>
          <w:tcPr>
            <w:tcW w:w="3639" w:type="dxa"/>
            <w:tcBorders>
              <w:top w:val="nil"/>
              <w:left w:val="nil"/>
              <w:bottom w:val="single" w:color="auto" w:sz="4" w:space="0"/>
              <w:right w:val="single" w:color="auto" w:sz="4" w:space="0"/>
            </w:tcBorders>
            <w:vAlign w:val="bottom"/>
          </w:tcPr>
          <w:p w14:paraId="67F5601D">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4B751BF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66BEADF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3C25CC41">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720,10 </w:t>
            </w:r>
          </w:p>
        </w:tc>
        <w:tc>
          <w:tcPr>
            <w:tcW w:w="1276" w:type="dxa"/>
            <w:tcBorders>
              <w:top w:val="nil"/>
              <w:left w:val="nil"/>
              <w:bottom w:val="single" w:color="auto" w:sz="4" w:space="0"/>
              <w:right w:val="single" w:color="auto" w:sz="8" w:space="0"/>
            </w:tcBorders>
            <w:vAlign w:val="center"/>
          </w:tcPr>
          <w:p w14:paraId="1119B16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1.440,20 </w:t>
            </w:r>
          </w:p>
        </w:tc>
      </w:tr>
      <w:tr w14:paraId="2305437C">
        <w:tblPrEx>
          <w:tblCellMar>
            <w:top w:w="0" w:type="dxa"/>
            <w:left w:w="70" w:type="dxa"/>
            <w:bottom w:w="0" w:type="dxa"/>
            <w:right w:w="70" w:type="dxa"/>
          </w:tblCellMar>
        </w:tblPrEx>
        <w:trPr>
          <w:trHeight w:val="2876" w:hRule="atLeast"/>
        </w:trPr>
        <w:tc>
          <w:tcPr>
            <w:tcW w:w="779" w:type="dxa"/>
            <w:tcBorders>
              <w:top w:val="nil"/>
              <w:left w:val="single" w:color="auto" w:sz="8" w:space="0"/>
              <w:bottom w:val="single" w:color="auto" w:sz="4" w:space="0"/>
              <w:right w:val="single" w:color="auto" w:sz="4" w:space="0"/>
            </w:tcBorders>
            <w:vAlign w:val="center"/>
          </w:tcPr>
          <w:p w14:paraId="429DEBE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12</w:t>
            </w:r>
          </w:p>
        </w:tc>
        <w:tc>
          <w:tcPr>
            <w:tcW w:w="879" w:type="dxa"/>
            <w:tcBorders>
              <w:top w:val="nil"/>
              <w:left w:val="nil"/>
              <w:bottom w:val="single" w:color="auto" w:sz="4" w:space="0"/>
              <w:right w:val="single" w:color="auto" w:sz="4" w:space="0"/>
            </w:tcBorders>
            <w:vAlign w:val="center"/>
          </w:tcPr>
          <w:p w14:paraId="3F6FE76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34167</w:t>
            </w:r>
          </w:p>
        </w:tc>
        <w:tc>
          <w:tcPr>
            <w:tcW w:w="3639" w:type="dxa"/>
            <w:tcBorders>
              <w:top w:val="nil"/>
              <w:left w:val="nil"/>
              <w:bottom w:val="single" w:color="auto" w:sz="4" w:space="0"/>
              <w:right w:val="single" w:color="auto" w:sz="4" w:space="0"/>
            </w:tcBorders>
            <w:vAlign w:val="bottom"/>
          </w:tcPr>
          <w:p w14:paraId="430CC570">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1,00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5BFF38E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69378A6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12C57500">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737,12 </w:t>
            </w:r>
          </w:p>
        </w:tc>
        <w:tc>
          <w:tcPr>
            <w:tcW w:w="1276" w:type="dxa"/>
            <w:tcBorders>
              <w:top w:val="nil"/>
              <w:left w:val="nil"/>
              <w:bottom w:val="single" w:color="auto" w:sz="4" w:space="0"/>
              <w:right w:val="single" w:color="auto" w:sz="8" w:space="0"/>
            </w:tcBorders>
            <w:vAlign w:val="center"/>
          </w:tcPr>
          <w:p w14:paraId="3C2643D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1.474,24 </w:t>
            </w:r>
          </w:p>
        </w:tc>
      </w:tr>
      <w:tr w14:paraId="39AF21B5">
        <w:tblPrEx>
          <w:tblCellMar>
            <w:top w:w="0" w:type="dxa"/>
            <w:left w:w="70" w:type="dxa"/>
            <w:bottom w:w="0" w:type="dxa"/>
            <w:right w:w="70" w:type="dxa"/>
          </w:tblCellMar>
        </w:tblPrEx>
        <w:trPr>
          <w:trHeight w:val="410" w:hRule="atLeast"/>
        </w:trPr>
        <w:tc>
          <w:tcPr>
            <w:tcW w:w="779" w:type="dxa"/>
            <w:tcBorders>
              <w:top w:val="nil"/>
              <w:left w:val="single" w:color="auto" w:sz="8" w:space="0"/>
              <w:bottom w:val="single" w:color="auto" w:sz="4" w:space="0"/>
              <w:right w:val="single" w:color="auto" w:sz="4" w:space="0"/>
            </w:tcBorders>
            <w:vAlign w:val="center"/>
          </w:tcPr>
          <w:p w14:paraId="1BFA9E4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13</w:t>
            </w:r>
          </w:p>
        </w:tc>
        <w:tc>
          <w:tcPr>
            <w:tcW w:w="879" w:type="dxa"/>
            <w:tcBorders>
              <w:top w:val="nil"/>
              <w:left w:val="nil"/>
              <w:bottom w:val="single" w:color="auto" w:sz="4" w:space="0"/>
              <w:right w:val="single" w:color="auto" w:sz="4" w:space="0"/>
            </w:tcBorders>
            <w:vAlign w:val="center"/>
          </w:tcPr>
          <w:p w14:paraId="7895CB8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34169</w:t>
            </w:r>
          </w:p>
        </w:tc>
        <w:tc>
          <w:tcPr>
            <w:tcW w:w="3639" w:type="dxa"/>
            <w:tcBorders>
              <w:top w:val="nil"/>
              <w:left w:val="nil"/>
              <w:bottom w:val="single" w:color="auto" w:sz="4" w:space="0"/>
              <w:right w:val="single" w:color="auto" w:sz="4" w:space="0"/>
            </w:tcBorders>
            <w:vAlign w:val="bottom"/>
          </w:tcPr>
          <w:p w14:paraId="25AEB2F2">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2,25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3A13B5C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078" w:type="dxa"/>
            <w:tcBorders>
              <w:top w:val="nil"/>
              <w:left w:val="nil"/>
              <w:bottom w:val="single" w:color="auto" w:sz="4" w:space="0"/>
              <w:right w:val="single" w:color="auto" w:sz="4" w:space="0"/>
            </w:tcBorders>
            <w:vAlign w:val="center"/>
          </w:tcPr>
          <w:p w14:paraId="213127D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75D19AA6">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962,70 </w:t>
            </w:r>
          </w:p>
        </w:tc>
        <w:tc>
          <w:tcPr>
            <w:tcW w:w="1276" w:type="dxa"/>
            <w:tcBorders>
              <w:top w:val="nil"/>
              <w:left w:val="nil"/>
              <w:bottom w:val="single" w:color="auto" w:sz="4" w:space="0"/>
              <w:right w:val="single" w:color="auto" w:sz="8" w:space="0"/>
            </w:tcBorders>
            <w:vAlign w:val="center"/>
          </w:tcPr>
          <w:p w14:paraId="0526B9B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3.850,80 </w:t>
            </w:r>
          </w:p>
        </w:tc>
      </w:tr>
      <w:tr w14:paraId="40F4ECCB">
        <w:tblPrEx>
          <w:tblCellMar>
            <w:top w:w="0" w:type="dxa"/>
            <w:left w:w="70" w:type="dxa"/>
            <w:bottom w:w="0" w:type="dxa"/>
            <w:right w:w="70" w:type="dxa"/>
          </w:tblCellMar>
        </w:tblPrEx>
        <w:trPr>
          <w:trHeight w:val="985" w:hRule="atLeast"/>
        </w:trPr>
        <w:tc>
          <w:tcPr>
            <w:tcW w:w="779" w:type="dxa"/>
            <w:tcBorders>
              <w:top w:val="nil"/>
              <w:left w:val="single" w:color="auto" w:sz="8" w:space="0"/>
              <w:bottom w:val="single" w:color="auto" w:sz="4" w:space="0"/>
              <w:right w:val="single" w:color="auto" w:sz="4" w:space="0"/>
            </w:tcBorders>
            <w:vAlign w:val="center"/>
          </w:tcPr>
          <w:p w14:paraId="0EACE52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14</w:t>
            </w:r>
          </w:p>
        </w:tc>
        <w:tc>
          <w:tcPr>
            <w:tcW w:w="879" w:type="dxa"/>
            <w:tcBorders>
              <w:top w:val="nil"/>
              <w:left w:val="nil"/>
              <w:bottom w:val="single" w:color="auto" w:sz="4" w:space="0"/>
              <w:right w:val="single" w:color="auto" w:sz="4" w:space="0"/>
            </w:tcBorders>
            <w:vAlign w:val="center"/>
          </w:tcPr>
          <w:p w14:paraId="19DF350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34170</w:t>
            </w:r>
          </w:p>
        </w:tc>
        <w:tc>
          <w:tcPr>
            <w:tcW w:w="3639" w:type="dxa"/>
            <w:tcBorders>
              <w:top w:val="nil"/>
              <w:left w:val="nil"/>
              <w:bottom w:val="single" w:color="auto" w:sz="4" w:space="0"/>
              <w:right w:val="single" w:color="auto" w:sz="4" w:space="0"/>
            </w:tcBorders>
            <w:vAlign w:val="bottom"/>
          </w:tcPr>
          <w:p w14:paraId="230201B2">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0,80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1F07CD5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095CC3D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46D0FA86">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995,92 </w:t>
            </w:r>
          </w:p>
        </w:tc>
        <w:tc>
          <w:tcPr>
            <w:tcW w:w="1276" w:type="dxa"/>
            <w:tcBorders>
              <w:top w:val="nil"/>
              <w:left w:val="nil"/>
              <w:bottom w:val="single" w:color="auto" w:sz="4" w:space="0"/>
              <w:right w:val="single" w:color="auto" w:sz="8" w:space="0"/>
            </w:tcBorders>
            <w:vAlign w:val="center"/>
          </w:tcPr>
          <w:p w14:paraId="5A27B91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1.991,84 </w:t>
            </w:r>
          </w:p>
        </w:tc>
      </w:tr>
      <w:tr w14:paraId="39998AC1">
        <w:tblPrEx>
          <w:tblCellMar>
            <w:top w:w="0" w:type="dxa"/>
            <w:left w:w="70" w:type="dxa"/>
            <w:bottom w:w="0" w:type="dxa"/>
            <w:right w:w="70" w:type="dxa"/>
          </w:tblCellMar>
        </w:tblPrEx>
        <w:trPr>
          <w:trHeight w:val="2922" w:hRule="atLeast"/>
        </w:trPr>
        <w:tc>
          <w:tcPr>
            <w:tcW w:w="779" w:type="dxa"/>
            <w:tcBorders>
              <w:top w:val="nil"/>
              <w:left w:val="single" w:color="auto" w:sz="8" w:space="0"/>
              <w:bottom w:val="single" w:color="auto" w:sz="4" w:space="0"/>
              <w:right w:val="single" w:color="auto" w:sz="4" w:space="0"/>
            </w:tcBorders>
            <w:vAlign w:val="center"/>
          </w:tcPr>
          <w:p w14:paraId="0F2CF32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15</w:t>
            </w:r>
          </w:p>
        </w:tc>
        <w:tc>
          <w:tcPr>
            <w:tcW w:w="879" w:type="dxa"/>
            <w:tcBorders>
              <w:top w:val="nil"/>
              <w:left w:val="nil"/>
              <w:bottom w:val="single" w:color="auto" w:sz="4" w:space="0"/>
              <w:right w:val="single" w:color="auto" w:sz="4" w:space="0"/>
            </w:tcBorders>
            <w:vAlign w:val="center"/>
          </w:tcPr>
          <w:p w14:paraId="4A77E22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34171</w:t>
            </w:r>
          </w:p>
        </w:tc>
        <w:tc>
          <w:tcPr>
            <w:tcW w:w="3639" w:type="dxa"/>
            <w:tcBorders>
              <w:top w:val="nil"/>
              <w:left w:val="nil"/>
              <w:bottom w:val="single" w:color="auto" w:sz="4" w:space="0"/>
              <w:right w:val="single" w:color="auto" w:sz="4" w:space="0"/>
            </w:tcBorders>
            <w:vAlign w:val="bottom"/>
          </w:tcPr>
          <w:p w14:paraId="742AB4BF">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2564FC6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color="auto" w:sz="4" w:space="0"/>
              <w:right w:val="single" w:color="auto" w:sz="4" w:space="0"/>
            </w:tcBorders>
            <w:vAlign w:val="center"/>
          </w:tcPr>
          <w:p w14:paraId="2E33960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0C0F03CE">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804,26 </w:t>
            </w:r>
          </w:p>
        </w:tc>
        <w:tc>
          <w:tcPr>
            <w:tcW w:w="1276" w:type="dxa"/>
            <w:tcBorders>
              <w:top w:val="nil"/>
              <w:left w:val="nil"/>
              <w:bottom w:val="single" w:color="auto" w:sz="4" w:space="0"/>
              <w:right w:val="single" w:color="auto" w:sz="8" w:space="0"/>
            </w:tcBorders>
            <w:vAlign w:val="center"/>
          </w:tcPr>
          <w:p w14:paraId="37119BF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2.412,78 </w:t>
            </w:r>
          </w:p>
        </w:tc>
      </w:tr>
      <w:tr w14:paraId="31E1541E">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526CEC2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16</w:t>
            </w:r>
          </w:p>
        </w:tc>
        <w:tc>
          <w:tcPr>
            <w:tcW w:w="879" w:type="dxa"/>
            <w:tcBorders>
              <w:top w:val="nil"/>
              <w:left w:val="nil"/>
              <w:bottom w:val="single" w:color="auto" w:sz="4" w:space="0"/>
              <w:right w:val="single" w:color="auto" w:sz="4" w:space="0"/>
            </w:tcBorders>
            <w:vAlign w:val="center"/>
          </w:tcPr>
          <w:p w14:paraId="37AC461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34172</w:t>
            </w:r>
          </w:p>
        </w:tc>
        <w:tc>
          <w:tcPr>
            <w:tcW w:w="3639" w:type="dxa"/>
            <w:tcBorders>
              <w:top w:val="nil"/>
              <w:left w:val="nil"/>
              <w:bottom w:val="single" w:color="auto" w:sz="4" w:space="0"/>
              <w:right w:val="single" w:color="auto" w:sz="4" w:space="0"/>
            </w:tcBorders>
            <w:vAlign w:val="bottom"/>
          </w:tcPr>
          <w:p w14:paraId="6708F954">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1,60 x 2,30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5E51EEB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color="auto" w:sz="4" w:space="0"/>
              <w:right w:val="single" w:color="auto" w:sz="4" w:space="0"/>
            </w:tcBorders>
            <w:vAlign w:val="center"/>
          </w:tcPr>
          <w:p w14:paraId="083FF59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18BC84A9">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R$ 1.266,67 </w:t>
            </w:r>
          </w:p>
        </w:tc>
        <w:tc>
          <w:tcPr>
            <w:tcW w:w="1276" w:type="dxa"/>
            <w:tcBorders>
              <w:top w:val="nil"/>
              <w:left w:val="nil"/>
              <w:bottom w:val="single" w:color="auto" w:sz="4" w:space="0"/>
              <w:right w:val="single" w:color="auto" w:sz="8" w:space="0"/>
            </w:tcBorders>
            <w:vAlign w:val="center"/>
          </w:tcPr>
          <w:p w14:paraId="1339F7B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1.266,67 </w:t>
            </w:r>
          </w:p>
        </w:tc>
      </w:tr>
      <w:tr w14:paraId="34338A47">
        <w:tblPrEx>
          <w:tblCellMar>
            <w:top w:w="0" w:type="dxa"/>
            <w:left w:w="70" w:type="dxa"/>
            <w:bottom w:w="0" w:type="dxa"/>
            <w:right w:w="70" w:type="dxa"/>
          </w:tblCellMar>
        </w:tblPrEx>
        <w:trPr>
          <w:trHeight w:val="1544" w:hRule="atLeast"/>
        </w:trPr>
        <w:tc>
          <w:tcPr>
            <w:tcW w:w="779" w:type="dxa"/>
            <w:tcBorders>
              <w:top w:val="nil"/>
              <w:left w:val="single" w:color="auto" w:sz="8" w:space="0"/>
              <w:bottom w:val="single" w:color="auto" w:sz="4" w:space="0"/>
              <w:right w:val="single" w:color="auto" w:sz="4" w:space="0"/>
            </w:tcBorders>
            <w:vAlign w:val="center"/>
          </w:tcPr>
          <w:p w14:paraId="2C64C98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17</w:t>
            </w:r>
          </w:p>
        </w:tc>
        <w:tc>
          <w:tcPr>
            <w:tcW w:w="879" w:type="dxa"/>
            <w:tcBorders>
              <w:top w:val="nil"/>
              <w:left w:val="nil"/>
              <w:bottom w:val="single" w:color="auto" w:sz="4" w:space="0"/>
              <w:right w:val="single" w:color="auto" w:sz="4" w:space="0"/>
            </w:tcBorders>
            <w:vAlign w:val="center"/>
          </w:tcPr>
          <w:p w14:paraId="3195317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34173</w:t>
            </w:r>
          </w:p>
        </w:tc>
        <w:tc>
          <w:tcPr>
            <w:tcW w:w="3639" w:type="dxa"/>
            <w:tcBorders>
              <w:top w:val="nil"/>
              <w:left w:val="nil"/>
              <w:bottom w:val="single" w:color="auto" w:sz="4" w:space="0"/>
              <w:right w:val="single" w:color="auto" w:sz="4" w:space="0"/>
            </w:tcBorders>
            <w:vAlign w:val="bottom"/>
          </w:tcPr>
          <w:p w14:paraId="43968242">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1,90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w:t>
            </w:r>
          </w:p>
        </w:tc>
        <w:tc>
          <w:tcPr>
            <w:tcW w:w="771" w:type="dxa"/>
            <w:tcBorders>
              <w:top w:val="nil"/>
              <w:left w:val="nil"/>
              <w:bottom w:val="single" w:color="auto" w:sz="4" w:space="0"/>
              <w:right w:val="single" w:color="auto" w:sz="4" w:space="0"/>
            </w:tcBorders>
            <w:vAlign w:val="center"/>
          </w:tcPr>
          <w:p w14:paraId="000FFF6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00C5318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280A33EE">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888,00 </w:t>
            </w:r>
          </w:p>
        </w:tc>
        <w:tc>
          <w:tcPr>
            <w:tcW w:w="1276" w:type="dxa"/>
            <w:tcBorders>
              <w:top w:val="nil"/>
              <w:left w:val="nil"/>
              <w:bottom w:val="single" w:color="auto" w:sz="4" w:space="0"/>
              <w:right w:val="single" w:color="auto" w:sz="8" w:space="0"/>
            </w:tcBorders>
            <w:vAlign w:val="center"/>
          </w:tcPr>
          <w:p w14:paraId="2A770CD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1.776,00 </w:t>
            </w:r>
          </w:p>
        </w:tc>
      </w:tr>
      <w:tr w14:paraId="007FBA60">
        <w:tblPrEx>
          <w:tblCellMar>
            <w:top w:w="0" w:type="dxa"/>
            <w:left w:w="70" w:type="dxa"/>
            <w:bottom w:w="0" w:type="dxa"/>
            <w:right w:w="70" w:type="dxa"/>
          </w:tblCellMar>
        </w:tblPrEx>
        <w:trPr>
          <w:trHeight w:val="1764" w:hRule="atLeast"/>
        </w:trPr>
        <w:tc>
          <w:tcPr>
            <w:tcW w:w="779" w:type="dxa"/>
            <w:tcBorders>
              <w:top w:val="nil"/>
              <w:left w:val="single" w:color="auto" w:sz="8" w:space="0"/>
              <w:bottom w:val="single" w:color="auto" w:sz="4" w:space="0"/>
              <w:right w:val="single" w:color="auto" w:sz="4" w:space="0"/>
            </w:tcBorders>
            <w:vAlign w:val="center"/>
          </w:tcPr>
          <w:p w14:paraId="384C878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18</w:t>
            </w:r>
          </w:p>
        </w:tc>
        <w:tc>
          <w:tcPr>
            <w:tcW w:w="879" w:type="dxa"/>
            <w:tcBorders>
              <w:top w:val="nil"/>
              <w:left w:val="nil"/>
              <w:bottom w:val="single" w:color="auto" w:sz="4" w:space="0"/>
              <w:right w:val="single" w:color="auto" w:sz="4" w:space="0"/>
            </w:tcBorders>
            <w:vAlign w:val="center"/>
          </w:tcPr>
          <w:p w14:paraId="6AF8B51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34174</w:t>
            </w:r>
          </w:p>
        </w:tc>
        <w:tc>
          <w:tcPr>
            <w:tcW w:w="3639" w:type="dxa"/>
            <w:tcBorders>
              <w:top w:val="nil"/>
              <w:left w:val="nil"/>
              <w:bottom w:val="single" w:color="auto" w:sz="4" w:space="0"/>
              <w:right w:val="single" w:color="auto" w:sz="4" w:space="0"/>
            </w:tcBorders>
            <w:vAlign w:val="bottom"/>
          </w:tcPr>
          <w:p w14:paraId="62488142">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1293A08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078" w:type="dxa"/>
            <w:tcBorders>
              <w:top w:val="nil"/>
              <w:left w:val="nil"/>
              <w:bottom w:val="single" w:color="auto" w:sz="4" w:space="0"/>
              <w:right w:val="single" w:color="auto" w:sz="4" w:space="0"/>
            </w:tcBorders>
            <w:vAlign w:val="center"/>
          </w:tcPr>
          <w:p w14:paraId="44818BC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38DBD7AA">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746,94 </w:t>
            </w:r>
          </w:p>
        </w:tc>
        <w:tc>
          <w:tcPr>
            <w:tcW w:w="1276" w:type="dxa"/>
            <w:tcBorders>
              <w:top w:val="nil"/>
              <w:left w:val="nil"/>
              <w:bottom w:val="single" w:color="auto" w:sz="4" w:space="0"/>
              <w:right w:val="single" w:color="auto" w:sz="8" w:space="0"/>
            </w:tcBorders>
            <w:vAlign w:val="center"/>
          </w:tcPr>
          <w:p w14:paraId="64ED591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3.734,70 </w:t>
            </w:r>
          </w:p>
        </w:tc>
      </w:tr>
      <w:tr w14:paraId="4C5FC525">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3F1DA16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19</w:t>
            </w:r>
          </w:p>
        </w:tc>
        <w:tc>
          <w:tcPr>
            <w:tcW w:w="879" w:type="dxa"/>
            <w:tcBorders>
              <w:top w:val="nil"/>
              <w:left w:val="nil"/>
              <w:bottom w:val="single" w:color="auto" w:sz="4" w:space="0"/>
              <w:right w:val="single" w:color="auto" w:sz="4" w:space="0"/>
            </w:tcBorders>
            <w:vAlign w:val="center"/>
          </w:tcPr>
          <w:p w14:paraId="6EC5026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34175</w:t>
            </w:r>
          </w:p>
        </w:tc>
        <w:tc>
          <w:tcPr>
            <w:tcW w:w="3639" w:type="dxa"/>
            <w:tcBorders>
              <w:top w:val="nil"/>
              <w:left w:val="nil"/>
              <w:bottom w:val="single" w:color="auto" w:sz="4" w:space="0"/>
              <w:right w:val="single" w:color="auto" w:sz="4" w:space="0"/>
            </w:tcBorders>
            <w:vAlign w:val="bottom"/>
          </w:tcPr>
          <w:p w14:paraId="16F9C12C">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06747EC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color="auto" w:sz="4" w:space="0"/>
              <w:right w:val="single" w:color="auto" w:sz="4" w:space="0"/>
            </w:tcBorders>
            <w:vAlign w:val="center"/>
          </w:tcPr>
          <w:p w14:paraId="3E30E20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745AF2F0">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R$ 1.100,00 </w:t>
            </w:r>
          </w:p>
        </w:tc>
        <w:tc>
          <w:tcPr>
            <w:tcW w:w="1276" w:type="dxa"/>
            <w:tcBorders>
              <w:top w:val="nil"/>
              <w:left w:val="nil"/>
              <w:bottom w:val="single" w:color="auto" w:sz="4" w:space="0"/>
              <w:right w:val="single" w:color="auto" w:sz="8" w:space="0"/>
            </w:tcBorders>
            <w:vAlign w:val="center"/>
          </w:tcPr>
          <w:p w14:paraId="6026D25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1.100,00 </w:t>
            </w:r>
          </w:p>
        </w:tc>
      </w:tr>
      <w:tr w14:paraId="3E60028B">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111AF41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20</w:t>
            </w:r>
          </w:p>
        </w:tc>
        <w:tc>
          <w:tcPr>
            <w:tcW w:w="879" w:type="dxa"/>
            <w:tcBorders>
              <w:top w:val="nil"/>
              <w:left w:val="nil"/>
              <w:bottom w:val="single" w:color="auto" w:sz="4" w:space="0"/>
              <w:right w:val="single" w:color="auto" w:sz="4" w:space="0"/>
            </w:tcBorders>
            <w:vAlign w:val="center"/>
          </w:tcPr>
          <w:p w14:paraId="52139D9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34176</w:t>
            </w:r>
          </w:p>
        </w:tc>
        <w:tc>
          <w:tcPr>
            <w:tcW w:w="3639" w:type="dxa"/>
            <w:tcBorders>
              <w:top w:val="nil"/>
              <w:left w:val="nil"/>
              <w:bottom w:val="single" w:color="auto" w:sz="4" w:space="0"/>
              <w:right w:val="single" w:color="auto" w:sz="4" w:space="0"/>
            </w:tcBorders>
            <w:vAlign w:val="bottom"/>
          </w:tcPr>
          <w:p w14:paraId="5591149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39CF352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color="auto" w:sz="4" w:space="0"/>
              <w:right w:val="single" w:color="auto" w:sz="4" w:space="0"/>
            </w:tcBorders>
            <w:vAlign w:val="center"/>
          </w:tcPr>
          <w:p w14:paraId="5D35F1C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7989415F">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R$ 1.230,00 </w:t>
            </w:r>
          </w:p>
        </w:tc>
        <w:tc>
          <w:tcPr>
            <w:tcW w:w="1276" w:type="dxa"/>
            <w:tcBorders>
              <w:top w:val="nil"/>
              <w:left w:val="nil"/>
              <w:bottom w:val="single" w:color="auto" w:sz="4" w:space="0"/>
              <w:right w:val="single" w:color="auto" w:sz="8" w:space="0"/>
            </w:tcBorders>
            <w:vAlign w:val="center"/>
          </w:tcPr>
          <w:p w14:paraId="219DD0C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1.230,00 </w:t>
            </w:r>
          </w:p>
        </w:tc>
      </w:tr>
      <w:tr w14:paraId="096A1E55">
        <w:tblPrEx>
          <w:tblCellMar>
            <w:top w:w="0" w:type="dxa"/>
            <w:left w:w="70" w:type="dxa"/>
            <w:bottom w:w="0" w:type="dxa"/>
            <w:right w:w="70" w:type="dxa"/>
          </w:tblCellMar>
        </w:tblPrEx>
        <w:trPr>
          <w:trHeight w:val="1118" w:hRule="atLeast"/>
        </w:trPr>
        <w:tc>
          <w:tcPr>
            <w:tcW w:w="779" w:type="dxa"/>
            <w:tcBorders>
              <w:top w:val="nil"/>
              <w:left w:val="single" w:color="auto" w:sz="8" w:space="0"/>
              <w:bottom w:val="single" w:color="auto" w:sz="4" w:space="0"/>
              <w:right w:val="single" w:color="auto" w:sz="4" w:space="0"/>
            </w:tcBorders>
            <w:vAlign w:val="center"/>
          </w:tcPr>
          <w:p w14:paraId="044E5F9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21</w:t>
            </w:r>
          </w:p>
        </w:tc>
        <w:tc>
          <w:tcPr>
            <w:tcW w:w="879" w:type="dxa"/>
            <w:tcBorders>
              <w:top w:val="nil"/>
              <w:left w:val="nil"/>
              <w:bottom w:val="single" w:color="auto" w:sz="4" w:space="0"/>
              <w:right w:val="single" w:color="auto" w:sz="4" w:space="0"/>
            </w:tcBorders>
            <w:vAlign w:val="center"/>
          </w:tcPr>
          <w:p w14:paraId="4DB52C0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34177</w:t>
            </w:r>
          </w:p>
        </w:tc>
        <w:tc>
          <w:tcPr>
            <w:tcW w:w="3639" w:type="dxa"/>
            <w:tcBorders>
              <w:top w:val="nil"/>
              <w:left w:val="nil"/>
              <w:bottom w:val="single" w:color="auto" w:sz="4" w:space="0"/>
              <w:right w:val="single" w:color="auto" w:sz="4" w:space="0"/>
            </w:tcBorders>
            <w:vAlign w:val="bottom"/>
          </w:tcPr>
          <w:p w14:paraId="3A679131">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3239CD8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color="auto" w:sz="4" w:space="0"/>
              <w:right w:val="single" w:color="auto" w:sz="4" w:space="0"/>
            </w:tcBorders>
            <w:vAlign w:val="center"/>
          </w:tcPr>
          <w:p w14:paraId="6E8FA8B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18492092">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R$ 1.330,00 </w:t>
            </w:r>
          </w:p>
        </w:tc>
        <w:tc>
          <w:tcPr>
            <w:tcW w:w="1276" w:type="dxa"/>
            <w:tcBorders>
              <w:top w:val="nil"/>
              <w:left w:val="nil"/>
              <w:bottom w:val="single" w:color="auto" w:sz="4" w:space="0"/>
              <w:right w:val="single" w:color="auto" w:sz="8" w:space="0"/>
            </w:tcBorders>
            <w:vAlign w:val="center"/>
          </w:tcPr>
          <w:p w14:paraId="487346A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1.330,00 </w:t>
            </w:r>
          </w:p>
        </w:tc>
      </w:tr>
      <w:tr w14:paraId="6400A42D">
        <w:tblPrEx>
          <w:tblCellMar>
            <w:top w:w="0" w:type="dxa"/>
            <w:left w:w="70" w:type="dxa"/>
            <w:bottom w:w="0" w:type="dxa"/>
            <w:right w:w="70" w:type="dxa"/>
          </w:tblCellMar>
        </w:tblPrEx>
        <w:trPr>
          <w:trHeight w:val="2228" w:hRule="atLeast"/>
        </w:trPr>
        <w:tc>
          <w:tcPr>
            <w:tcW w:w="779" w:type="dxa"/>
            <w:tcBorders>
              <w:top w:val="nil"/>
              <w:left w:val="single" w:color="auto" w:sz="8" w:space="0"/>
              <w:bottom w:val="single" w:color="auto" w:sz="4" w:space="0"/>
              <w:right w:val="single" w:color="auto" w:sz="4" w:space="0"/>
            </w:tcBorders>
            <w:vAlign w:val="center"/>
          </w:tcPr>
          <w:p w14:paraId="471A560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22</w:t>
            </w:r>
          </w:p>
        </w:tc>
        <w:tc>
          <w:tcPr>
            <w:tcW w:w="879" w:type="dxa"/>
            <w:tcBorders>
              <w:top w:val="nil"/>
              <w:left w:val="nil"/>
              <w:bottom w:val="single" w:color="auto" w:sz="4" w:space="0"/>
              <w:right w:val="single" w:color="auto" w:sz="4" w:space="0"/>
            </w:tcBorders>
            <w:vAlign w:val="center"/>
          </w:tcPr>
          <w:p w14:paraId="5864333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34178</w:t>
            </w:r>
          </w:p>
        </w:tc>
        <w:tc>
          <w:tcPr>
            <w:tcW w:w="3639" w:type="dxa"/>
            <w:tcBorders>
              <w:top w:val="nil"/>
              <w:left w:val="nil"/>
              <w:bottom w:val="single" w:color="auto" w:sz="4" w:space="0"/>
              <w:right w:val="single" w:color="auto" w:sz="4" w:space="0"/>
            </w:tcBorders>
            <w:vAlign w:val="bottom"/>
          </w:tcPr>
          <w:p w14:paraId="170EE1C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2,20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30F7C29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2BF00E8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3369AFA0">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R$ 1.125,00 </w:t>
            </w:r>
          </w:p>
        </w:tc>
        <w:tc>
          <w:tcPr>
            <w:tcW w:w="1276" w:type="dxa"/>
            <w:tcBorders>
              <w:top w:val="nil"/>
              <w:left w:val="nil"/>
              <w:bottom w:val="single" w:color="auto" w:sz="4" w:space="0"/>
              <w:right w:val="single" w:color="auto" w:sz="8" w:space="0"/>
            </w:tcBorders>
            <w:vAlign w:val="center"/>
          </w:tcPr>
          <w:p w14:paraId="7883668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2.250,00 </w:t>
            </w:r>
          </w:p>
        </w:tc>
      </w:tr>
      <w:tr w14:paraId="4766E252">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07A7447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23</w:t>
            </w:r>
          </w:p>
        </w:tc>
        <w:tc>
          <w:tcPr>
            <w:tcW w:w="879" w:type="dxa"/>
            <w:tcBorders>
              <w:top w:val="nil"/>
              <w:left w:val="nil"/>
              <w:bottom w:val="single" w:color="auto" w:sz="4" w:space="0"/>
              <w:right w:val="single" w:color="auto" w:sz="4" w:space="0"/>
            </w:tcBorders>
            <w:vAlign w:val="center"/>
          </w:tcPr>
          <w:p w14:paraId="36FA553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34179</w:t>
            </w:r>
          </w:p>
        </w:tc>
        <w:tc>
          <w:tcPr>
            <w:tcW w:w="3639" w:type="dxa"/>
            <w:tcBorders>
              <w:top w:val="nil"/>
              <w:left w:val="nil"/>
              <w:bottom w:val="single" w:color="auto" w:sz="4" w:space="0"/>
              <w:right w:val="single" w:color="auto" w:sz="4" w:space="0"/>
            </w:tcBorders>
            <w:vAlign w:val="bottom"/>
          </w:tcPr>
          <w:p w14:paraId="3CA3B32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6F1C1A3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1078" w:type="dxa"/>
            <w:tcBorders>
              <w:top w:val="nil"/>
              <w:left w:val="nil"/>
              <w:bottom w:val="single" w:color="auto" w:sz="4" w:space="0"/>
              <w:right w:val="single" w:color="auto" w:sz="4" w:space="0"/>
            </w:tcBorders>
            <w:vAlign w:val="center"/>
          </w:tcPr>
          <w:p w14:paraId="2427457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119FCB35">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R$ 1.230,00 </w:t>
            </w:r>
          </w:p>
        </w:tc>
        <w:tc>
          <w:tcPr>
            <w:tcW w:w="1276" w:type="dxa"/>
            <w:tcBorders>
              <w:top w:val="nil"/>
              <w:left w:val="nil"/>
              <w:bottom w:val="single" w:color="auto" w:sz="4" w:space="0"/>
              <w:right w:val="single" w:color="auto" w:sz="8" w:space="0"/>
            </w:tcBorders>
            <w:vAlign w:val="center"/>
          </w:tcPr>
          <w:p w14:paraId="3A436AD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9.840,00 </w:t>
            </w:r>
          </w:p>
        </w:tc>
      </w:tr>
      <w:tr w14:paraId="2B16F026">
        <w:tblPrEx>
          <w:tblCellMar>
            <w:top w:w="0" w:type="dxa"/>
            <w:left w:w="70" w:type="dxa"/>
            <w:bottom w:w="0" w:type="dxa"/>
            <w:right w:w="70" w:type="dxa"/>
          </w:tblCellMar>
        </w:tblPrEx>
        <w:trPr>
          <w:trHeight w:val="2445" w:hRule="atLeast"/>
        </w:trPr>
        <w:tc>
          <w:tcPr>
            <w:tcW w:w="779" w:type="dxa"/>
            <w:tcBorders>
              <w:top w:val="nil"/>
              <w:left w:val="single" w:color="auto" w:sz="8" w:space="0"/>
              <w:bottom w:val="single" w:color="auto" w:sz="4" w:space="0"/>
              <w:right w:val="single" w:color="auto" w:sz="4" w:space="0"/>
            </w:tcBorders>
            <w:vAlign w:val="center"/>
          </w:tcPr>
          <w:p w14:paraId="5105354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24</w:t>
            </w:r>
          </w:p>
        </w:tc>
        <w:tc>
          <w:tcPr>
            <w:tcW w:w="879" w:type="dxa"/>
            <w:tcBorders>
              <w:top w:val="nil"/>
              <w:left w:val="nil"/>
              <w:bottom w:val="single" w:color="auto" w:sz="4" w:space="0"/>
              <w:right w:val="single" w:color="auto" w:sz="4" w:space="0"/>
            </w:tcBorders>
            <w:vAlign w:val="center"/>
          </w:tcPr>
          <w:p w14:paraId="4FDB098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34180</w:t>
            </w:r>
          </w:p>
        </w:tc>
        <w:tc>
          <w:tcPr>
            <w:tcW w:w="3639" w:type="dxa"/>
            <w:tcBorders>
              <w:top w:val="nil"/>
              <w:left w:val="nil"/>
              <w:bottom w:val="single" w:color="auto" w:sz="4" w:space="0"/>
              <w:right w:val="single" w:color="auto" w:sz="4" w:space="0"/>
            </w:tcBorders>
            <w:vAlign w:val="bottom"/>
          </w:tcPr>
          <w:p w14:paraId="2108E36C">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6D09713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color="auto" w:sz="4" w:space="0"/>
              <w:right w:val="single" w:color="auto" w:sz="4" w:space="0"/>
            </w:tcBorders>
            <w:vAlign w:val="center"/>
          </w:tcPr>
          <w:p w14:paraId="1E4A042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188F3C71">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R$ 1.100,00 </w:t>
            </w:r>
          </w:p>
        </w:tc>
        <w:tc>
          <w:tcPr>
            <w:tcW w:w="1276" w:type="dxa"/>
            <w:tcBorders>
              <w:top w:val="nil"/>
              <w:left w:val="nil"/>
              <w:bottom w:val="single" w:color="auto" w:sz="4" w:space="0"/>
              <w:right w:val="single" w:color="auto" w:sz="8" w:space="0"/>
            </w:tcBorders>
            <w:vAlign w:val="center"/>
          </w:tcPr>
          <w:p w14:paraId="4A0E8BD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1.100,00 </w:t>
            </w:r>
          </w:p>
        </w:tc>
      </w:tr>
      <w:tr w14:paraId="6345FE97">
        <w:tblPrEx>
          <w:tblCellMar>
            <w:top w:w="0" w:type="dxa"/>
            <w:left w:w="70" w:type="dxa"/>
            <w:bottom w:w="0" w:type="dxa"/>
            <w:right w:w="70" w:type="dxa"/>
          </w:tblCellMar>
        </w:tblPrEx>
        <w:trPr>
          <w:trHeight w:val="3347" w:hRule="atLeast"/>
        </w:trPr>
        <w:tc>
          <w:tcPr>
            <w:tcW w:w="779" w:type="dxa"/>
            <w:tcBorders>
              <w:top w:val="nil"/>
              <w:left w:val="single" w:color="auto" w:sz="8" w:space="0"/>
              <w:bottom w:val="single" w:color="auto" w:sz="4" w:space="0"/>
              <w:right w:val="single" w:color="auto" w:sz="4" w:space="0"/>
            </w:tcBorders>
            <w:vAlign w:val="center"/>
          </w:tcPr>
          <w:p w14:paraId="2A07BB1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25</w:t>
            </w:r>
          </w:p>
        </w:tc>
        <w:tc>
          <w:tcPr>
            <w:tcW w:w="879" w:type="dxa"/>
            <w:tcBorders>
              <w:top w:val="nil"/>
              <w:left w:val="nil"/>
              <w:bottom w:val="single" w:color="auto" w:sz="4" w:space="0"/>
              <w:right w:val="single" w:color="auto" w:sz="4" w:space="0"/>
            </w:tcBorders>
            <w:vAlign w:val="center"/>
          </w:tcPr>
          <w:p w14:paraId="05A25B8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34181</w:t>
            </w:r>
          </w:p>
        </w:tc>
        <w:tc>
          <w:tcPr>
            <w:tcW w:w="3639" w:type="dxa"/>
            <w:tcBorders>
              <w:top w:val="nil"/>
              <w:left w:val="nil"/>
              <w:bottom w:val="single" w:color="auto" w:sz="4" w:space="0"/>
              <w:right w:val="single" w:color="auto" w:sz="4" w:space="0"/>
            </w:tcBorders>
            <w:vAlign w:val="bottom"/>
          </w:tcPr>
          <w:p w14:paraId="409DCD31">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00D59C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4" w:space="0"/>
              <w:right w:val="single" w:color="auto" w:sz="4" w:space="0"/>
            </w:tcBorders>
            <w:vAlign w:val="center"/>
          </w:tcPr>
          <w:p w14:paraId="1DDDFFD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68AC046A">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R$ 1.100,00 </w:t>
            </w:r>
          </w:p>
        </w:tc>
        <w:tc>
          <w:tcPr>
            <w:tcW w:w="1276" w:type="dxa"/>
            <w:tcBorders>
              <w:top w:val="nil"/>
              <w:left w:val="nil"/>
              <w:bottom w:val="single" w:color="auto" w:sz="4" w:space="0"/>
              <w:right w:val="single" w:color="auto" w:sz="8" w:space="0"/>
            </w:tcBorders>
            <w:vAlign w:val="center"/>
          </w:tcPr>
          <w:p w14:paraId="2A3235C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2.200,00 </w:t>
            </w:r>
          </w:p>
        </w:tc>
      </w:tr>
      <w:tr w14:paraId="1878BDC7">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0F44C4E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26</w:t>
            </w:r>
          </w:p>
        </w:tc>
        <w:tc>
          <w:tcPr>
            <w:tcW w:w="879" w:type="dxa"/>
            <w:tcBorders>
              <w:top w:val="nil"/>
              <w:left w:val="nil"/>
              <w:bottom w:val="single" w:color="auto" w:sz="4" w:space="0"/>
              <w:right w:val="single" w:color="auto" w:sz="4" w:space="0"/>
            </w:tcBorders>
            <w:vAlign w:val="center"/>
          </w:tcPr>
          <w:p w14:paraId="5C42371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34182</w:t>
            </w:r>
          </w:p>
        </w:tc>
        <w:tc>
          <w:tcPr>
            <w:tcW w:w="3639" w:type="dxa"/>
            <w:tcBorders>
              <w:top w:val="nil"/>
              <w:left w:val="nil"/>
              <w:bottom w:val="single" w:color="auto" w:sz="4" w:space="0"/>
              <w:right w:val="single" w:color="auto" w:sz="4" w:space="0"/>
            </w:tcBorders>
            <w:vAlign w:val="bottom"/>
          </w:tcPr>
          <w:p w14:paraId="73486C82">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2.50 x 1.50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3C779A6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1078" w:type="dxa"/>
            <w:tcBorders>
              <w:top w:val="nil"/>
              <w:left w:val="nil"/>
              <w:bottom w:val="single" w:color="auto" w:sz="4" w:space="0"/>
              <w:right w:val="single" w:color="auto" w:sz="4" w:space="0"/>
            </w:tcBorders>
            <w:vAlign w:val="center"/>
          </w:tcPr>
          <w:p w14:paraId="536C5AA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7EDFB48D">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R$ 1.330,00 </w:t>
            </w:r>
          </w:p>
        </w:tc>
        <w:tc>
          <w:tcPr>
            <w:tcW w:w="1276" w:type="dxa"/>
            <w:tcBorders>
              <w:top w:val="nil"/>
              <w:left w:val="nil"/>
              <w:bottom w:val="single" w:color="auto" w:sz="4" w:space="0"/>
              <w:right w:val="single" w:color="auto" w:sz="8" w:space="0"/>
            </w:tcBorders>
            <w:vAlign w:val="center"/>
          </w:tcPr>
          <w:p w14:paraId="671E824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R$ 13.300,00 </w:t>
            </w:r>
          </w:p>
        </w:tc>
      </w:tr>
      <w:tr w14:paraId="3860CFA3">
        <w:tblPrEx>
          <w:tblCellMar>
            <w:top w:w="0" w:type="dxa"/>
            <w:left w:w="70" w:type="dxa"/>
            <w:bottom w:w="0" w:type="dxa"/>
            <w:right w:w="70" w:type="dxa"/>
          </w:tblCellMar>
        </w:tblPrEx>
        <w:trPr>
          <w:trHeight w:val="985" w:hRule="atLeast"/>
        </w:trPr>
        <w:tc>
          <w:tcPr>
            <w:tcW w:w="779" w:type="dxa"/>
            <w:tcBorders>
              <w:top w:val="nil"/>
              <w:left w:val="single" w:color="auto" w:sz="8" w:space="0"/>
              <w:bottom w:val="single" w:color="auto" w:sz="4" w:space="0"/>
              <w:right w:val="single" w:color="auto" w:sz="4" w:space="0"/>
            </w:tcBorders>
            <w:vAlign w:val="center"/>
          </w:tcPr>
          <w:p w14:paraId="6B1548E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27</w:t>
            </w:r>
          </w:p>
        </w:tc>
        <w:tc>
          <w:tcPr>
            <w:tcW w:w="879" w:type="dxa"/>
            <w:tcBorders>
              <w:top w:val="nil"/>
              <w:left w:val="nil"/>
              <w:bottom w:val="single" w:color="auto" w:sz="4" w:space="0"/>
              <w:right w:val="single" w:color="auto" w:sz="4" w:space="0"/>
            </w:tcBorders>
            <w:vAlign w:val="center"/>
          </w:tcPr>
          <w:p w14:paraId="2A9B401B">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34266</w:t>
            </w:r>
          </w:p>
        </w:tc>
        <w:tc>
          <w:tcPr>
            <w:tcW w:w="3639" w:type="dxa"/>
            <w:tcBorders>
              <w:top w:val="nil"/>
              <w:left w:val="nil"/>
              <w:bottom w:val="single" w:color="auto" w:sz="4" w:space="0"/>
              <w:right w:val="single" w:color="auto" w:sz="4" w:space="0"/>
            </w:tcBorders>
            <w:vAlign w:val="bottom"/>
          </w:tcPr>
          <w:p w14:paraId="20F7127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2,20 M x 2,20 M(ALTURA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418C441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1078" w:type="dxa"/>
            <w:tcBorders>
              <w:top w:val="nil"/>
              <w:left w:val="nil"/>
              <w:bottom w:val="single" w:color="auto" w:sz="4" w:space="0"/>
              <w:right w:val="single" w:color="auto" w:sz="4" w:space="0"/>
            </w:tcBorders>
            <w:vAlign w:val="center"/>
          </w:tcPr>
          <w:p w14:paraId="3D1CC63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13EC73F0">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R$ 1.461,34 </w:t>
            </w:r>
          </w:p>
        </w:tc>
        <w:tc>
          <w:tcPr>
            <w:tcW w:w="1276" w:type="dxa"/>
            <w:tcBorders>
              <w:top w:val="nil"/>
              <w:left w:val="nil"/>
              <w:bottom w:val="single" w:color="auto" w:sz="4" w:space="0"/>
              <w:right w:val="single" w:color="auto" w:sz="8" w:space="0"/>
            </w:tcBorders>
            <w:vAlign w:val="center"/>
          </w:tcPr>
          <w:p w14:paraId="712876C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R$ 14.613,40 </w:t>
            </w:r>
          </w:p>
        </w:tc>
      </w:tr>
      <w:tr w14:paraId="1D2EC0E3">
        <w:tblPrEx>
          <w:tblCellMar>
            <w:top w:w="0" w:type="dxa"/>
            <w:left w:w="70" w:type="dxa"/>
            <w:bottom w:w="0" w:type="dxa"/>
            <w:right w:w="70" w:type="dxa"/>
          </w:tblCellMar>
        </w:tblPrEx>
        <w:trPr>
          <w:trHeight w:val="977" w:hRule="atLeast"/>
        </w:trPr>
        <w:tc>
          <w:tcPr>
            <w:tcW w:w="779" w:type="dxa"/>
            <w:tcBorders>
              <w:top w:val="nil"/>
              <w:left w:val="single" w:color="auto" w:sz="8" w:space="0"/>
              <w:bottom w:val="single" w:color="auto" w:sz="4" w:space="0"/>
              <w:right w:val="single" w:color="auto" w:sz="4" w:space="0"/>
            </w:tcBorders>
            <w:vAlign w:val="center"/>
          </w:tcPr>
          <w:p w14:paraId="750A6E1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28</w:t>
            </w:r>
          </w:p>
        </w:tc>
        <w:tc>
          <w:tcPr>
            <w:tcW w:w="879" w:type="dxa"/>
            <w:tcBorders>
              <w:top w:val="nil"/>
              <w:left w:val="nil"/>
              <w:bottom w:val="single" w:color="auto" w:sz="4" w:space="0"/>
              <w:right w:val="single" w:color="auto" w:sz="4" w:space="0"/>
            </w:tcBorders>
            <w:vAlign w:val="center"/>
          </w:tcPr>
          <w:p w14:paraId="2C2D517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34267</w:t>
            </w:r>
          </w:p>
        </w:tc>
        <w:tc>
          <w:tcPr>
            <w:tcW w:w="3639" w:type="dxa"/>
            <w:tcBorders>
              <w:top w:val="nil"/>
              <w:left w:val="nil"/>
              <w:bottom w:val="single" w:color="auto" w:sz="4" w:space="0"/>
              <w:right w:val="single" w:color="auto" w:sz="4" w:space="0"/>
            </w:tcBorders>
            <w:vAlign w:val="bottom"/>
          </w:tcPr>
          <w:p w14:paraId="619A8982">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2.00 x 3.00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009A2D2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color="auto" w:sz="4" w:space="0"/>
              <w:right w:val="single" w:color="auto" w:sz="4" w:space="0"/>
            </w:tcBorders>
            <w:vAlign w:val="center"/>
          </w:tcPr>
          <w:p w14:paraId="35C3CED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33E40B5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R$ 1.504,79 </w:t>
            </w:r>
          </w:p>
        </w:tc>
        <w:tc>
          <w:tcPr>
            <w:tcW w:w="1276" w:type="dxa"/>
            <w:tcBorders>
              <w:top w:val="nil"/>
              <w:left w:val="nil"/>
              <w:bottom w:val="single" w:color="auto" w:sz="4" w:space="0"/>
              <w:right w:val="single" w:color="auto" w:sz="8" w:space="0"/>
            </w:tcBorders>
            <w:vAlign w:val="center"/>
          </w:tcPr>
          <w:p w14:paraId="4E93F51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1.504,79 </w:t>
            </w:r>
          </w:p>
        </w:tc>
      </w:tr>
      <w:tr w14:paraId="1F8A32F6">
        <w:tblPrEx>
          <w:tblCellMar>
            <w:top w:w="0" w:type="dxa"/>
            <w:left w:w="70" w:type="dxa"/>
            <w:bottom w:w="0" w:type="dxa"/>
            <w:right w:w="70" w:type="dxa"/>
          </w:tblCellMar>
        </w:tblPrEx>
        <w:trPr>
          <w:trHeight w:val="60" w:hRule="atLeast"/>
        </w:trPr>
        <w:tc>
          <w:tcPr>
            <w:tcW w:w="779" w:type="dxa"/>
            <w:tcBorders>
              <w:top w:val="nil"/>
              <w:left w:val="single" w:color="auto" w:sz="8" w:space="0"/>
              <w:bottom w:val="single" w:color="auto" w:sz="4" w:space="0"/>
              <w:right w:val="single" w:color="auto" w:sz="4" w:space="0"/>
            </w:tcBorders>
            <w:vAlign w:val="center"/>
          </w:tcPr>
          <w:p w14:paraId="25AA812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29</w:t>
            </w:r>
          </w:p>
        </w:tc>
        <w:tc>
          <w:tcPr>
            <w:tcW w:w="879" w:type="dxa"/>
            <w:tcBorders>
              <w:top w:val="nil"/>
              <w:left w:val="nil"/>
              <w:bottom w:val="single" w:color="auto" w:sz="4" w:space="0"/>
              <w:right w:val="single" w:color="auto" w:sz="4" w:space="0"/>
            </w:tcBorders>
            <w:vAlign w:val="center"/>
          </w:tcPr>
          <w:p w14:paraId="1929BA5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34268</w:t>
            </w:r>
          </w:p>
        </w:tc>
        <w:tc>
          <w:tcPr>
            <w:tcW w:w="3639" w:type="dxa"/>
            <w:tcBorders>
              <w:top w:val="nil"/>
              <w:left w:val="nil"/>
              <w:bottom w:val="single" w:color="auto" w:sz="4" w:space="0"/>
              <w:right w:val="single" w:color="auto" w:sz="4" w:space="0"/>
            </w:tcBorders>
            <w:vAlign w:val="bottom"/>
          </w:tcPr>
          <w:p w14:paraId="70DD86A5">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1.00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7D83643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1078" w:type="dxa"/>
            <w:tcBorders>
              <w:top w:val="nil"/>
              <w:left w:val="nil"/>
              <w:bottom w:val="single" w:color="auto" w:sz="4" w:space="0"/>
              <w:right w:val="single" w:color="auto" w:sz="4" w:space="0"/>
            </w:tcBorders>
            <w:vAlign w:val="center"/>
          </w:tcPr>
          <w:p w14:paraId="34A9ABE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6C35008E">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R$ 1.083,33 </w:t>
            </w:r>
          </w:p>
        </w:tc>
        <w:tc>
          <w:tcPr>
            <w:tcW w:w="1276" w:type="dxa"/>
            <w:tcBorders>
              <w:top w:val="nil"/>
              <w:left w:val="nil"/>
              <w:bottom w:val="single" w:color="auto" w:sz="4" w:space="0"/>
              <w:right w:val="single" w:color="auto" w:sz="8" w:space="0"/>
            </w:tcBorders>
            <w:vAlign w:val="center"/>
          </w:tcPr>
          <w:p w14:paraId="48632B8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8.666,64 </w:t>
            </w:r>
          </w:p>
        </w:tc>
      </w:tr>
      <w:tr w14:paraId="4272DE8C">
        <w:tblPrEx>
          <w:tblCellMar>
            <w:top w:w="0" w:type="dxa"/>
            <w:left w:w="70" w:type="dxa"/>
            <w:bottom w:w="0" w:type="dxa"/>
            <w:right w:w="70" w:type="dxa"/>
          </w:tblCellMar>
        </w:tblPrEx>
        <w:trPr>
          <w:trHeight w:val="2819" w:hRule="atLeast"/>
        </w:trPr>
        <w:tc>
          <w:tcPr>
            <w:tcW w:w="779" w:type="dxa"/>
            <w:tcBorders>
              <w:top w:val="nil"/>
              <w:left w:val="single" w:color="auto" w:sz="8" w:space="0"/>
              <w:bottom w:val="single" w:color="auto" w:sz="4" w:space="0"/>
              <w:right w:val="single" w:color="auto" w:sz="4" w:space="0"/>
            </w:tcBorders>
            <w:vAlign w:val="center"/>
          </w:tcPr>
          <w:p w14:paraId="13D1DB7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30</w:t>
            </w:r>
          </w:p>
        </w:tc>
        <w:tc>
          <w:tcPr>
            <w:tcW w:w="879" w:type="dxa"/>
            <w:tcBorders>
              <w:top w:val="nil"/>
              <w:left w:val="nil"/>
              <w:bottom w:val="single" w:color="auto" w:sz="4" w:space="0"/>
              <w:right w:val="single" w:color="auto" w:sz="4" w:space="0"/>
            </w:tcBorders>
            <w:vAlign w:val="center"/>
          </w:tcPr>
          <w:p w14:paraId="74DC29E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34269</w:t>
            </w:r>
          </w:p>
        </w:tc>
        <w:tc>
          <w:tcPr>
            <w:tcW w:w="3639" w:type="dxa"/>
            <w:tcBorders>
              <w:top w:val="nil"/>
              <w:left w:val="nil"/>
              <w:bottom w:val="single" w:color="auto" w:sz="4" w:space="0"/>
              <w:right w:val="single" w:color="auto" w:sz="4" w:space="0"/>
            </w:tcBorders>
            <w:vAlign w:val="bottom"/>
          </w:tcPr>
          <w:p w14:paraId="3D3FA6E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1.80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4DF2EA0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078" w:type="dxa"/>
            <w:tcBorders>
              <w:top w:val="nil"/>
              <w:left w:val="nil"/>
              <w:bottom w:val="single" w:color="auto" w:sz="4" w:space="0"/>
              <w:right w:val="single" w:color="auto" w:sz="4" w:space="0"/>
            </w:tcBorders>
            <w:vAlign w:val="center"/>
          </w:tcPr>
          <w:p w14:paraId="7B08B68D">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18503F47">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908,66 </w:t>
            </w:r>
          </w:p>
        </w:tc>
        <w:tc>
          <w:tcPr>
            <w:tcW w:w="1276" w:type="dxa"/>
            <w:tcBorders>
              <w:top w:val="nil"/>
              <w:left w:val="nil"/>
              <w:bottom w:val="single" w:color="auto" w:sz="4" w:space="0"/>
              <w:right w:val="single" w:color="auto" w:sz="8" w:space="0"/>
            </w:tcBorders>
            <w:vAlign w:val="center"/>
          </w:tcPr>
          <w:p w14:paraId="59984A9A">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3.634,64 </w:t>
            </w:r>
          </w:p>
        </w:tc>
      </w:tr>
      <w:tr w14:paraId="6AEEE001">
        <w:tblPrEx>
          <w:tblCellMar>
            <w:top w:w="0" w:type="dxa"/>
            <w:left w:w="70" w:type="dxa"/>
            <w:bottom w:w="0" w:type="dxa"/>
            <w:right w:w="70" w:type="dxa"/>
          </w:tblCellMar>
        </w:tblPrEx>
        <w:trPr>
          <w:trHeight w:val="3667" w:hRule="atLeast"/>
        </w:trPr>
        <w:tc>
          <w:tcPr>
            <w:tcW w:w="779" w:type="dxa"/>
            <w:tcBorders>
              <w:top w:val="nil"/>
              <w:left w:val="single" w:color="auto" w:sz="8" w:space="0"/>
              <w:bottom w:val="single" w:color="auto" w:sz="4" w:space="0"/>
              <w:right w:val="single" w:color="auto" w:sz="4" w:space="0"/>
            </w:tcBorders>
            <w:vAlign w:val="center"/>
          </w:tcPr>
          <w:p w14:paraId="4BD06A3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31</w:t>
            </w:r>
          </w:p>
        </w:tc>
        <w:tc>
          <w:tcPr>
            <w:tcW w:w="879" w:type="dxa"/>
            <w:tcBorders>
              <w:top w:val="nil"/>
              <w:left w:val="nil"/>
              <w:bottom w:val="single" w:color="auto" w:sz="4" w:space="0"/>
              <w:right w:val="single" w:color="auto" w:sz="4" w:space="0"/>
            </w:tcBorders>
            <w:vAlign w:val="center"/>
          </w:tcPr>
          <w:p w14:paraId="1587932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34270</w:t>
            </w:r>
          </w:p>
        </w:tc>
        <w:tc>
          <w:tcPr>
            <w:tcW w:w="3639" w:type="dxa"/>
            <w:tcBorders>
              <w:top w:val="nil"/>
              <w:left w:val="nil"/>
              <w:bottom w:val="single" w:color="auto" w:sz="4" w:space="0"/>
              <w:right w:val="single" w:color="auto" w:sz="4" w:space="0"/>
            </w:tcBorders>
            <w:vAlign w:val="bottom"/>
          </w:tcPr>
          <w:p w14:paraId="0D250A79">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0.80 x 1.60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4" w:space="0"/>
              <w:right w:val="single" w:color="auto" w:sz="4" w:space="0"/>
            </w:tcBorders>
            <w:vAlign w:val="center"/>
          </w:tcPr>
          <w:p w14:paraId="610F8C7C">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078" w:type="dxa"/>
            <w:tcBorders>
              <w:top w:val="nil"/>
              <w:left w:val="nil"/>
              <w:bottom w:val="single" w:color="auto" w:sz="4" w:space="0"/>
              <w:right w:val="single" w:color="auto" w:sz="4" w:space="0"/>
            </w:tcBorders>
            <w:vAlign w:val="center"/>
          </w:tcPr>
          <w:p w14:paraId="2C8D6AA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4" w:space="0"/>
              <w:right w:val="single" w:color="auto" w:sz="4" w:space="0"/>
            </w:tcBorders>
            <w:vAlign w:val="center"/>
          </w:tcPr>
          <w:p w14:paraId="4841814D">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857,33 </w:t>
            </w:r>
          </w:p>
        </w:tc>
        <w:tc>
          <w:tcPr>
            <w:tcW w:w="1276" w:type="dxa"/>
            <w:tcBorders>
              <w:top w:val="nil"/>
              <w:left w:val="nil"/>
              <w:bottom w:val="single" w:color="auto" w:sz="4" w:space="0"/>
              <w:right w:val="single" w:color="auto" w:sz="8" w:space="0"/>
            </w:tcBorders>
            <w:vAlign w:val="center"/>
          </w:tcPr>
          <w:p w14:paraId="140A51C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3.429,32 </w:t>
            </w:r>
          </w:p>
        </w:tc>
      </w:tr>
      <w:tr w14:paraId="68E267D4">
        <w:tblPrEx>
          <w:tblCellMar>
            <w:top w:w="0" w:type="dxa"/>
            <w:left w:w="70" w:type="dxa"/>
            <w:bottom w:w="0" w:type="dxa"/>
            <w:right w:w="70" w:type="dxa"/>
          </w:tblCellMar>
        </w:tblPrEx>
        <w:trPr>
          <w:trHeight w:val="278" w:hRule="atLeast"/>
        </w:trPr>
        <w:tc>
          <w:tcPr>
            <w:tcW w:w="779" w:type="dxa"/>
            <w:tcBorders>
              <w:top w:val="nil"/>
              <w:left w:val="single" w:color="auto" w:sz="8" w:space="0"/>
              <w:bottom w:val="single" w:color="auto" w:sz="8" w:space="0"/>
              <w:right w:val="single" w:color="auto" w:sz="4" w:space="0"/>
            </w:tcBorders>
            <w:vAlign w:val="center"/>
          </w:tcPr>
          <w:p w14:paraId="69147B7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32</w:t>
            </w:r>
          </w:p>
        </w:tc>
        <w:tc>
          <w:tcPr>
            <w:tcW w:w="879" w:type="dxa"/>
            <w:tcBorders>
              <w:top w:val="nil"/>
              <w:left w:val="nil"/>
              <w:bottom w:val="single" w:color="auto" w:sz="8" w:space="0"/>
              <w:right w:val="single" w:color="auto" w:sz="4" w:space="0"/>
            </w:tcBorders>
            <w:vAlign w:val="center"/>
          </w:tcPr>
          <w:p w14:paraId="51D1CD9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34271</w:t>
            </w:r>
          </w:p>
        </w:tc>
        <w:tc>
          <w:tcPr>
            <w:tcW w:w="3639" w:type="dxa"/>
            <w:tcBorders>
              <w:top w:val="nil"/>
              <w:left w:val="nil"/>
              <w:bottom w:val="single" w:color="auto" w:sz="8" w:space="0"/>
              <w:right w:val="single" w:color="auto" w:sz="4" w:space="0"/>
            </w:tcBorders>
            <w:vAlign w:val="bottom"/>
          </w:tcPr>
          <w:p w14:paraId="78C7E9C5">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w:t>
            </w:r>
          </w:p>
          <w:p w14:paraId="28603051">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color="auto" w:sz="8" w:space="0"/>
              <w:right w:val="single" w:color="auto" w:sz="4" w:space="0"/>
            </w:tcBorders>
            <w:vAlign w:val="center"/>
          </w:tcPr>
          <w:p w14:paraId="0D2A4FB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color="auto" w:sz="8" w:space="0"/>
              <w:right w:val="single" w:color="auto" w:sz="4" w:space="0"/>
            </w:tcBorders>
            <w:vAlign w:val="center"/>
          </w:tcPr>
          <w:p w14:paraId="2B420E5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color="auto" w:sz="8" w:space="0"/>
              <w:right w:val="single" w:color="auto" w:sz="4" w:space="0"/>
            </w:tcBorders>
            <w:vAlign w:val="center"/>
          </w:tcPr>
          <w:p w14:paraId="202C925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R$ 1.164,80 </w:t>
            </w:r>
          </w:p>
        </w:tc>
        <w:tc>
          <w:tcPr>
            <w:tcW w:w="1276" w:type="dxa"/>
            <w:tcBorders>
              <w:top w:val="nil"/>
              <w:left w:val="nil"/>
              <w:bottom w:val="single" w:color="auto" w:sz="8" w:space="0"/>
              <w:right w:val="single" w:color="auto" w:sz="8" w:space="0"/>
            </w:tcBorders>
            <w:vAlign w:val="center"/>
          </w:tcPr>
          <w:p w14:paraId="68F70E09">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2.329,60 </w:t>
            </w:r>
          </w:p>
        </w:tc>
      </w:tr>
    </w:tbl>
    <w:p w14:paraId="50B613D2">
      <w:pPr>
        <w:suppressAutoHyphens w:val="0"/>
        <w:autoSpaceDE w:val="0"/>
        <w:autoSpaceDN w:val="0"/>
        <w:adjustRightInd w:val="0"/>
        <w:spacing w:line="360" w:lineRule="auto"/>
        <w:ind w:right="-1"/>
        <w:jc w:val="both"/>
        <w:rPr>
          <w:rFonts w:eastAsia="Calibri"/>
          <w:color w:val="000000"/>
          <w:szCs w:val="24"/>
          <w:lang w:eastAsia="pt-BR"/>
        </w:rPr>
      </w:pPr>
    </w:p>
    <w:p w14:paraId="74233707">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A metodologia utilizada para chegar aos valores referenciais acima foram: Contratações similares, painel de preços, licitanet, portal de compras públicas, BLL, portal nacional de contratações públicas, Portal da transparência CGU-NFE, licitar digital, bolsa nacional de compras e compras BR.</w:t>
      </w:r>
    </w:p>
    <w:p w14:paraId="0602FC49">
      <w:pPr>
        <w:suppressAutoHyphens w:val="0"/>
        <w:autoSpaceDE w:val="0"/>
        <w:autoSpaceDN w:val="0"/>
        <w:adjustRightInd w:val="0"/>
        <w:spacing w:line="360" w:lineRule="auto"/>
        <w:ind w:right="-1"/>
        <w:jc w:val="both"/>
        <w:rPr>
          <w:rFonts w:eastAsia="Calibri"/>
          <w:szCs w:val="24"/>
          <w:lang w:eastAsia="pt-BR"/>
        </w:rPr>
      </w:pPr>
    </w:p>
    <w:p w14:paraId="3B952FFF">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VII - Descrição da solução como um todo, inclusive das exigências relacionadas à manutenção e à assistência técnica, quando for o caso.</w:t>
      </w:r>
    </w:p>
    <w:p w14:paraId="655F1B4E">
      <w:pPr>
        <w:widowControl w:val="0"/>
        <w:suppressAutoHyphens w:val="0"/>
        <w:autoSpaceDE w:val="0"/>
        <w:autoSpaceDN w:val="0"/>
        <w:adjustRightInd w:val="0"/>
        <w:spacing w:before="200" w:after="200" w:line="360" w:lineRule="auto"/>
        <w:jc w:val="both"/>
        <w:rPr>
          <w:rFonts w:eastAsia="Calibri"/>
          <w:szCs w:val="24"/>
          <w:lang w:val="pt-PT" w:eastAsia="pt-BR"/>
        </w:rPr>
      </w:pPr>
      <w:r>
        <w:rPr>
          <w:rFonts w:eastAsia="Calibri"/>
          <w:szCs w:val="24"/>
          <w:lang w:val="pt-PT" w:eastAsia="pt-BR"/>
        </w:rPr>
        <w:t xml:space="preserve">        A presente solução abrange a aquisição, instalação ou manutenção dos sistemas de cobertura de janelas ou portas que permitem o controle de entrada de luz e privacidade no ambiente, atendendo às necessidades da Prefeitura Municipal de Caracol/MS, a qual desempenha um papel crucial no ambiente de trabalho, trazendo maior conforto, produtividade e atenção na saúde dos servidores e municipes.</w:t>
      </w:r>
    </w:p>
    <w:p w14:paraId="0CA77F1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VIII - justificativas para o parcelamento ou não da contratação.</w:t>
      </w:r>
    </w:p>
    <w:p w14:paraId="10C36395">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A futura licitação será realizada por um único lote.(global)</w:t>
      </w:r>
    </w:p>
    <w:p w14:paraId="32D016E2">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 reunião dos itens em único lote busca dar máxima eficiência às aquisições, agrupando itens de características semelhantes e de mesma natureza, que podem assim ser atendidos pelo mesmo fornecedor, gerando economia de escala. Outrossim, na presente contratação se impõe a necessidade de uniformização dos itens para que não se frustre o gerenciamento do contrato e comprometa a padronização do produto. </w:t>
      </w:r>
    </w:p>
    <w:p w14:paraId="740AA813">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Ademais, há que se manter a compatibilidade das especificações técnicas e de desempenho entre itens, de maneira uniforme, observadas as condições de atendimento à legislação e garantia oferecidas.</w:t>
      </w:r>
    </w:p>
    <w:p w14:paraId="57DEE826">
      <w:pPr>
        <w:suppressAutoHyphens w:val="0"/>
        <w:autoSpaceDE w:val="0"/>
        <w:autoSpaceDN w:val="0"/>
        <w:adjustRightInd w:val="0"/>
        <w:spacing w:line="360" w:lineRule="auto"/>
        <w:ind w:right="-1"/>
        <w:jc w:val="both"/>
        <w:rPr>
          <w:rFonts w:eastAsia="Calibri"/>
          <w:b/>
          <w:bCs/>
          <w:szCs w:val="24"/>
          <w:lang w:eastAsia="pt-BR"/>
        </w:rPr>
      </w:pPr>
      <w:r>
        <w:rPr>
          <w:rFonts w:eastAsia="Calibri"/>
          <w:szCs w:val="24"/>
          <w:lang w:eastAsia="pt-BR"/>
        </w:rPr>
        <w:t xml:space="preserve">        Portanto, a contratação de uma solução unificada, em lote único, funciona como medida mitigadora de riscos, busca dar máxima eficiência às aquisições pretendidas e ainda racionaliza a gestão e a fiscalização do contrato sob a perspectiva do emprego de recursos humanos e do controle, conforme Segunda Câmara do TCU no informativo 167 de Licitações e Contratos – 2013.</w:t>
      </w:r>
    </w:p>
    <w:p w14:paraId="1D7CCE67">
      <w:pPr>
        <w:suppressAutoHyphens w:val="0"/>
        <w:autoSpaceDE w:val="0"/>
        <w:autoSpaceDN w:val="0"/>
        <w:adjustRightInd w:val="0"/>
        <w:spacing w:line="360" w:lineRule="auto"/>
        <w:ind w:right="-1"/>
        <w:jc w:val="both"/>
        <w:rPr>
          <w:rFonts w:eastAsia="Calibri"/>
          <w:b/>
          <w:bCs/>
          <w:szCs w:val="24"/>
          <w:lang w:eastAsia="pt-BR"/>
        </w:rPr>
      </w:pPr>
    </w:p>
    <w:p w14:paraId="5806FBAA">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IX - Demonstrativo dos resultados pretendidos em termos de economicidade e de melhor aproveitamento dos recursos humanos, materiais e financeiros disponíveis </w:t>
      </w:r>
    </w:p>
    <w:p w14:paraId="1EF19615">
      <w:pPr>
        <w:suppressAutoHyphens w:val="0"/>
        <w:autoSpaceDE w:val="0"/>
        <w:autoSpaceDN w:val="0"/>
        <w:adjustRightInd w:val="0"/>
        <w:spacing w:line="360" w:lineRule="auto"/>
        <w:ind w:left="-426" w:right="-568" w:firstLine="426"/>
        <w:jc w:val="both"/>
        <w:rPr>
          <w:rFonts w:eastAsia="Calibri"/>
          <w:szCs w:val="24"/>
          <w:lang w:eastAsia="pt-BR"/>
        </w:rPr>
      </w:pPr>
      <w:r>
        <w:rPr>
          <w:rFonts w:eastAsia="Calibri"/>
          <w:b/>
          <w:bCs/>
          <w:szCs w:val="24"/>
          <w:lang w:eastAsia="pt-BR"/>
        </w:rPr>
        <w:t>1</w:t>
      </w:r>
      <w:r>
        <w:rPr>
          <w:rFonts w:eastAsia="Calibri"/>
          <w:szCs w:val="24"/>
          <w:lang w:eastAsia="pt-BR"/>
        </w:rPr>
        <w:t xml:space="preserve">. Economicidade na aquisição das persianas; </w:t>
      </w:r>
    </w:p>
    <w:p w14:paraId="351757A1">
      <w:pPr>
        <w:suppressAutoHyphens w:val="0"/>
        <w:autoSpaceDE w:val="0"/>
        <w:autoSpaceDN w:val="0"/>
        <w:adjustRightInd w:val="0"/>
        <w:spacing w:line="360" w:lineRule="auto"/>
        <w:ind w:left="-426" w:right="-568" w:firstLine="426"/>
        <w:jc w:val="both"/>
        <w:rPr>
          <w:rFonts w:eastAsia="Calibri"/>
          <w:szCs w:val="24"/>
          <w:lang w:eastAsia="pt-BR"/>
        </w:rPr>
      </w:pPr>
      <w:r>
        <w:rPr>
          <w:rFonts w:eastAsia="Calibri"/>
          <w:b/>
          <w:bCs/>
          <w:szCs w:val="24"/>
          <w:lang w:eastAsia="pt-BR"/>
        </w:rPr>
        <w:t>2.</w:t>
      </w:r>
      <w:r>
        <w:rPr>
          <w:rFonts w:eastAsia="Calibri"/>
          <w:szCs w:val="24"/>
          <w:lang w:eastAsia="pt-BR"/>
        </w:rPr>
        <w:t xml:space="preserve"> Atendimento eficaz das necessidades dos munícipes; </w:t>
      </w:r>
    </w:p>
    <w:p w14:paraId="5B899793">
      <w:pPr>
        <w:suppressAutoHyphens w:val="0"/>
        <w:autoSpaceDE w:val="0"/>
        <w:autoSpaceDN w:val="0"/>
        <w:adjustRightInd w:val="0"/>
        <w:spacing w:line="360" w:lineRule="auto"/>
        <w:ind w:right="-568"/>
        <w:jc w:val="both"/>
        <w:rPr>
          <w:rFonts w:eastAsia="Calibri"/>
          <w:szCs w:val="24"/>
          <w:lang w:eastAsia="pt-BR"/>
        </w:rPr>
      </w:pPr>
      <w:r>
        <w:rPr>
          <w:rFonts w:eastAsia="Calibri"/>
          <w:b/>
          <w:bCs/>
          <w:szCs w:val="24"/>
          <w:lang w:eastAsia="pt-BR"/>
        </w:rPr>
        <w:t>3</w:t>
      </w:r>
      <w:r>
        <w:rPr>
          <w:rFonts w:eastAsia="Calibri"/>
          <w:szCs w:val="24"/>
          <w:lang w:eastAsia="pt-BR"/>
        </w:rPr>
        <w:t>. Manutenção dos serviços públicos, sempre embasados nos princípios de eficiência, e sustentabilidade;</w:t>
      </w:r>
    </w:p>
    <w:p w14:paraId="4888C54F">
      <w:pPr>
        <w:suppressAutoHyphens w:val="0"/>
        <w:autoSpaceDE w:val="0"/>
        <w:autoSpaceDN w:val="0"/>
        <w:adjustRightInd w:val="0"/>
        <w:spacing w:line="360" w:lineRule="auto"/>
        <w:ind w:right="-1"/>
        <w:jc w:val="both"/>
        <w:rPr>
          <w:rFonts w:eastAsia="Calibri"/>
          <w:szCs w:val="24"/>
          <w:lang w:eastAsia="pt-BR"/>
        </w:rPr>
      </w:pPr>
      <w:r>
        <w:rPr>
          <w:rFonts w:eastAsia="Calibri"/>
          <w:b/>
          <w:bCs/>
          <w:szCs w:val="24"/>
          <w:lang w:eastAsia="pt-BR"/>
        </w:rPr>
        <w:t>4.</w:t>
      </w:r>
      <w:r>
        <w:rPr>
          <w:rFonts w:eastAsia="Calibri"/>
          <w:szCs w:val="24"/>
          <w:lang w:eastAsia="pt-BR"/>
        </w:rPr>
        <w:t>Redução de uso de recursos; controla não só a iluminação de um determinado ambiente, como também a sua temperatura, diminuindo a irradiação solar direta e, eventualmente o por meio do bloqueio da entrada de calor.</w:t>
      </w:r>
    </w:p>
    <w:p w14:paraId="4206388C">
      <w:pPr>
        <w:suppressAutoHyphens w:val="0"/>
        <w:autoSpaceDE w:val="0"/>
        <w:autoSpaceDN w:val="0"/>
        <w:adjustRightInd w:val="0"/>
        <w:spacing w:line="360" w:lineRule="auto"/>
        <w:ind w:right="-1"/>
        <w:jc w:val="both"/>
        <w:rPr>
          <w:rFonts w:eastAsia="Calibri"/>
          <w:szCs w:val="24"/>
          <w:lang w:eastAsia="pt-BR"/>
        </w:rPr>
      </w:pPr>
      <w:r>
        <w:rPr>
          <w:rFonts w:eastAsia="Calibri"/>
          <w:b/>
          <w:bCs/>
          <w:szCs w:val="24"/>
          <w:lang w:eastAsia="pt-BR"/>
        </w:rPr>
        <w:t>5.</w:t>
      </w:r>
      <w:r>
        <w:rPr>
          <w:rFonts w:eastAsia="Calibri"/>
          <w:szCs w:val="24"/>
          <w:lang w:eastAsia="pt-BR"/>
        </w:rPr>
        <w:t>Melhoria/adequação nas instalações físicas; O objeto (persianas) é versáteis e fáceis de limpar, de baixo custo de aquisição e manutenção, e promove a preservação da privacidade em algumas situações, como em audiências.</w:t>
      </w:r>
    </w:p>
    <w:p w14:paraId="03B42C54">
      <w:pPr>
        <w:suppressAutoHyphens w:val="0"/>
        <w:autoSpaceDE w:val="0"/>
        <w:autoSpaceDN w:val="0"/>
        <w:adjustRightInd w:val="0"/>
        <w:spacing w:line="360" w:lineRule="auto"/>
        <w:ind w:right="-1"/>
        <w:jc w:val="both"/>
        <w:rPr>
          <w:rFonts w:eastAsia="Calibri"/>
          <w:color w:val="000000"/>
          <w:szCs w:val="24"/>
          <w:lang w:eastAsia="pt-BR"/>
        </w:rPr>
      </w:pPr>
    </w:p>
    <w:p w14:paraId="32154159">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X - Providências a serem adotadas pela administração previamente à celebração do contrato, inclusive quanto à capacitação de servidores para fiscalização e gestão contratual </w:t>
      </w:r>
    </w:p>
    <w:p w14:paraId="7478BAF6">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Não há nenhuma providência a ser adotada pela Prefeitura Municipal o previamente à celebração do contrato. </w:t>
      </w:r>
    </w:p>
    <w:p w14:paraId="56A96215">
      <w:pPr>
        <w:suppressAutoHyphens w:val="0"/>
        <w:autoSpaceDE w:val="0"/>
        <w:autoSpaceDN w:val="0"/>
        <w:adjustRightInd w:val="0"/>
        <w:spacing w:line="360" w:lineRule="auto"/>
        <w:ind w:right="-1"/>
        <w:jc w:val="both"/>
        <w:rPr>
          <w:rFonts w:eastAsia="Calibri"/>
          <w:b/>
          <w:bCs/>
          <w:szCs w:val="24"/>
          <w:lang w:eastAsia="pt-BR"/>
        </w:rPr>
      </w:pPr>
    </w:p>
    <w:p w14:paraId="3B249D1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 - contratações correlatas e/ou interdependentes</w:t>
      </w:r>
    </w:p>
    <w:p w14:paraId="06AA5C10">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Na presente contratação não haverá necessidade de contratações correlatas e/ou interdependentes, ou seja, os serviços em apreço serão contratados de forma independente.</w:t>
      </w:r>
    </w:p>
    <w:p w14:paraId="509A7ED8">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szCs w:val="24"/>
          <w:lang w:eastAsia="pt-BR"/>
        </w:rPr>
        <w:t xml:space="preserve">XII- </w:t>
      </w:r>
      <w:r>
        <w:rPr>
          <w:rFonts w:eastAsia="Calibri"/>
          <w:b/>
          <w:bCs/>
          <w:color w:val="000000"/>
          <w:szCs w:val="24"/>
          <w:lang w:eastAsia="pt-BR"/>
        </w:rPr>
        <w:t>Participação de Consórcios</w:t>
      </w:r>
    </w:p>
    <w:p w14:paraId="520104AD">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Não é permitida a participação de consórcios, por conta de que a licitação é de pequeno vulto e não comporta contratação de várias empresas constituídas em consórcio. </w:t>
      </w:r>
    </w:p>
    <w:p w14:paraId="0C1D4362">
      <w:pPr>
        <w:suppressAutoHyphens w:val="0"/>
        <w:autoSpaceDE w:val="0"/>
        <w:autoSpaceDN w:val="0"/>
        <w:adjustRightInd w:val="0"/>
        <w:spacing w:line="360" w:lineRule="auto"/>
        <w:ind w:right="-1"/>
        <w:jc w:val="both"/>
        <w:rPr>
          <w:rFonts w:eastAsia="Calibri"/>
          <w:b/>
          <w:bCs/>
          <w:szCs w:val="24"/>
          <w:lang w:eastAsia="pt-BR"/>
        </w:rPr>
      </w:pPr>
    </w:p>
    <w:p w14:paraId="59AEB49B">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1E538C61">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A utilização dos equipamentos objeto desta contratação pode gerar os seguintes impactos:</w:t>
      </w:r>
    </w:p>
    <w:p w14:paraId="063D3890">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 falta de responsabilidade no ciclo de vida dos insumos pode acarretar prejuízos ambientais, como a poluição de plásticos ou fragmentos metais, componentes que possuem tempo de decomposição notavelmente lento, prejudicando a vida na fauna e flora do planeta. </w:t>
      </w:r>
    </w:p>
    <w:p w14:paraId="75AF9F30">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Pelo fato dos produtos eventualmente adquiridos apresentarem muitos resíduos em conformidade com a Política Nacional de Resíduos Sólidos, a Administração obedecerá ao disposto na legislação específica para, após o fim da vida útil dos materiais promover a sua adequada destinação.</w:t>
      </w:r>
    </w:p>
    <w:p w14:paraId="6D7ADB16">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XIV – Gerenciamento de risco</w:t>
      </w:r>
    </w:p>
    <w:tbl>
      <w:tblPr>
        <w:tblStyle w:val="8"/>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45"/>
        <w:gridCol w:w="6647"/>
        <w:gridCol w:w="8"/>
      </w:tblGrid>
      <w:tr w14:paraId="53C901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Pr>
        <w:tc>
          <w:tcPr>
            <w:tcW w:w="2045" w:type="dxa"/>
            <w:tcBorders>
              <w:top w:val="single" w:color="auto" w:sz="4" w:space="0"/>
              <w:bottom w:val="single" w:color="auto" w:sz="4" w:space="0"/>
              <w:right w:val="single" w:color="auto" w:sz="4" w:space="0"/>
            </w:tcBorders>
          </w:tcPr>
          <w:p w14:paraId="1D33D581">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RISCO 1</w:t>
            </w:r>
          </w:p>
        </w:tc>
        <w:tc>
          <w:tcPr>
            <w:tcW w:w="6647" w:type="dxa"/>
            <w:tcBorders>
              <w:top w:val="single" w:color="auto" w:sz="4" w:space="0"/>
              <w:left w:val="single" w:color="auto" w:sz="4" w:space="0"/>
              <w:bottom w:val="single" w:color="auto" w:sz="4" w:space="0"/>
            </w:tcBorders>
          </w:tcPr>
          <w:p w14:paraId="689268BD">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Falta de conhecimento dos agentes públicos responsáveis pela contratação sobre o Plano Anual de Contratação</w:t>
            </w:r>
          </w:p>
        </w:tc>
      </w:tr>
      <w:tr w14:paraId="1F3347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61442E0E">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color="auto" w:sz="4" w:space="0"/>
              <w:left w:val="single" w:color="auto" w:sz="4" w:space="0"/>
              <w:bottom w:val="single" w:color="auto" w:sz="4" w:space="0"/>
            </w:tcBorders>
          </w:tcPr>
          <w:p w14:paraId="0FA7C0AE">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 x )Planejamento             (   ) Seleção do fornecedor </w:t>
            </w:r>
          </w:p>
          <w:p w14:paraId="319794C6">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 Execução do Contrato</w:t>
            </w:r>
          </w:p>
        </w:tc>
      </w:tr>
      <w:tr w14:paraId="744608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0D430082">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color="auto" w:sz="4" w:space="0"/>
              <w:left w:val="single" w:color="auto" w:sz="4" w:space="0"/>
              <w:bottom w:val="single" w:color="auto" w:sz="4" w:space="0"/>
            </w:tcBorders>
          </w:tcPr>
          <w:p w14:paraId="5E774328">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 x ) Muito baixo (   ) baixo (   ) médio </w:t>
            </w:r>
          </w:p>
          <w:p w14:paraId="20583DC2">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 alto (   ) muito alto</w:t>
            </w:r>
          </w:p>
        </w:tc>
      </w:tr>
      <w:tr w14:paraId="1E542B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3DBB4C79">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color="auto" w:sz="4" w:space="0"/>
              <w:left w:val="single" w:color="auto" w:sz="4" w:space="0"/>
              <w:bottom w:val="single" w:color="auto" w:sz="4" w:space="0"/>
            </w:tcBorders>
          </w:tcPr>
          <w:p w14:paraId="55718776">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   ) Muito baixo (   ) baixo (   ) médio </w:t>
            </w:r>
          </w:p>
          <w:p w14:paraId="7F669AF9">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(x) alto (   ) muito alto</w:t>
            </w:r>
          </w:p>
        </w:tc>
      </w:tr>
      <w:tr w14:paraId="22D8BD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1E244675">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color="auto" w:sz="4" w:space="0"/>
              <w:left w:val="single" w:color="auto" w:sz="4" w:space="0"/>
              <w:bottom w:val="single" w:color="auto" w:sz="4" w:space="0"/>
            </w:tcBorders>
          </w:tcPr>
          <w:p w14:paraId="70AFC9AC">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Contratação emergencial para atendimento da necessidade pública, com eventual apuração de responsabilidade em razão da descontinuidade do serviço.</w:t>
            </w:r>
          </w:p>
        </w:tc>
      </w:tr>
      <w:tr w14:paraId="740C58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6FDD49C5">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color="auto" w:sz="4" w:space="0"/>
              <w:left w:val="single" w:color="auto" w:sz="4" w:space="0"/>
              <w:bottom w:val="single" w:color="auto" w:sz="4" w:space="0"/>
            </w:tcBorders>
          </w:tcPr>
          <w:p w14:paraId="17640B25">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Equipe de planejamento </w:t>
            </w:r>
          </w:p>
        </w:tc>
      </w:tr>
      <w:tr w14:paraId="4DA051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Pr>
        <w:tc>
          <w:tcPr>
            <w:tcW w:w="2045" w:type="dxa"/>
            <w:tcBorders>
              <w:top w:val="single" w:color="auto" w:sz="4" w:space="0"/>
              <w:bottom w:val="single" w:color="auto" w:sz="4" w:space="0"/>
              <w:right w:val="single" w:color="auto" w:sz="4" w:space="0"/>
            </w:tcBorders>
          </w:tcPr>
          <w:p w14:paraId="18AF8401">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RISCO 2</w:t>
            </w:r>
          </w:p>
        </w:tc>
        <w:tc>
          <w:tcPr>
            <w:tcW w:w="6647" w:type="dxa"/>
            <w:tcBorders>
              <w:top w:val="single" w:color="auto" w:sz="4" w:space="0"/>
              <w:left w:val="single" w:color="auto" w:sz="4" w:space="0"/>
              <w:bottom w:val="single" w:color="auto" w:sz="4" w:space="0"/>
            </w:tcBorders>
          </w:tcPr>
          <w:p w14:paraId="2067EA9D">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 xml:space="preserve">Fornecedor não atender aos requisitos de documentação pré-estabelecidos </w:t>
            </w:r>
          </w:p>
        </w:tc>
      </w:tr>
      <w:tr w14:paraId="3125C5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1A54BBB3">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color="auto" w:sz="4" w:space="0"/>
              <w:left w:val="single" w:color="auto" w:sz="4" w:space="0"/>
              <w:bottom w:val="single" w:color="auto" w:sz="4" w:space="0"/>
            </w:tcBorders>
          </w:tcPr>
          <w:p w14:paraId="3FB186A9">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   )Planejamento             (x ) Seleção do fornecedor </w:t>
            </w:r>
          </w:p>
          <w:p w14:paraId="1887E9EC">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 Execução do Contrato</w:t>
            </w:r>
          </w:p>
        </w:tc>
      </w:tr>
      <w:tr w14:paraId="053535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11080D8E">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color="auto" w:sz="4" w:space="0"/>
              <w:left w:val="single" w:color="auto" w:sz="4" w:space="0"/>
              <w:bottom w:val="single" w:color="auto" w:sz="4" w:space="0"/>
            </w:tcBorders>
          </w:tcPr>
          <w:p w14:paraId="7CFCCB83">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   ) Muito baixo ( x ) baixo (   ) médio </w:t>
            </w:r>
          </w:p>
          <w:p w14:paraId="09185302">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 alto (   ) muito alto</w:t>
            </w:r>
          </w:p>
        </w:tc>
      </w:tr>
      <w:tr w14:paraId="021D65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654A2F3F">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color="auto" w:sz="4" w:space="0"/>
              <w:left w:val="single" w:color="auto" w:sz="4" w:space="0"/>
              <w:bottom w:val="single" w:color="auto" w:sz="4" w:space="0"/>
            </w:tcBorders>
          </w:tcPr>
          <w:p w14:paraId="6A037C25">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   ) Muito baixo (   ) baixo ( x ) médio </w:t>
            </w:r>
          </w:p>
          <w:p w14:paraId="22BE85BD">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 alto (   ) muito alto</w:t>
            </w:r>
          </w:p>
        </w:tc>
      </w:tr>
      <w:tr w14:paraId="3BE885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3CCC928E">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color="auto" w:sz="4" w:space="0"/>
              <w:left w:val="single" w:color="auto" w:sz="4" w:space="0"/>
              <w:bottom w:val="single" w:color="auto" w:sz="4" w:space="0"/>
            </w:tcBorders>
          </w:tcPr>
          <w:p w14:paraId="0F1F395E">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Solicitar ao fornecedor regulamentação das documentações, caso não atenda aos prazos, realizar troca de fornecedor </w:t>
            </w:r>
          </w:p>
        </w:tc>
      </w:tr>
      <w:tr w14:paraId="24C046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624B866A">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color="auto" w:sz="4" w:space="0"/>
              <w:left w:val="single" w:color="auto" w:sz="4" w:space="0"/>
              <w:bottom w:val="single" w:color="auto" w:sz="4" w:space="0"/>
            </w:tcBorders>
          </w:tcPr>
          <w:p w14:paraId="06707EE2">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Agente de contratação </w:t>
            </w:r>
          </w:p>
        </w:tc>
      </w:tr>
      <w:tr w14:paraId="04AB73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Pr>
        <w:tc>
          <w:tcPr>
            <w:tcW w:w="2045" w:type="dxa"/>
            <w:tcBorders>
              <w:top w:val="single" w:color="auto" w:sz="4" w:space="0"/>
              <w:bottom w:val="single" w:color="auto" w:sz="4" w:space="0"/>
              <w:right w:val="single" w:color="auto" w:sz="4" w:space="0"/>
            </w:tcBorders>
          </w:tcPr>
          <w:p w14:paraId="7F6017CA">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RISCO 3</w:t>
            </w:r>
          </w:p>
        </w:tc>
        <w:tc>
          <w:tcPr>
            <w:tcW w:w="6647" w:type="dxa"/>
            <w:tcBorders>
              <w:top w:val="single" w:color="auto" w:sz="4" w:space="0"/>
              <w:left w:val="single" w:color="auto" w:sz="4" w:space="0"/>
              <w:bottom w:val="single" w:color="auto" w:sz="4" w:space="0"/>
            </w:tcBorders>
          </w:tcPr>
          <w:p w14:paraId="247DAEE6">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Dados de NF com  produtos  divergentes dos contratados (quantidade e qualidade)</w:t>
            </w:r>
          </w:p>
        </w:tc>
      </w:tr>
      <w:tr w14:paraId="351961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407F2181">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color="auto" w:sz="4" w:space="0"/>
              <w:left w:val="single" w:color="auto" w:sz="4" w:space="0"/>
              <w:bottom w:val="single" w:color="auto" w:sz="4" w:space="0"/>
            </w:tcBorders>
          </w:tcPr>
          <w:p w14:paraId="6835390A">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   )Planejamento             (   ) Seleção do fornecedor </w:t>
            </w:r>
          </w:p>
          <w:p w14:paraId="5CDA130B">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 ) Execução do Contrato</w:t>
            </w:r>
          </w:p>
        </w:tc>
      </w:tr>
      <w:tr w14:paraId="457828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29C77A3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color="auto" w:sz="4" w:space="0"/>
              <w:left w:val="single" w:color="auto" w:sz="4" w:space="0"/>
              <w:bottom w:val="single" w:color="auto" w:sz="4" w:space="0"/>
            </w:tcBorders>
          </w:tcPr>
          <w:p w14:paraId="64A82855">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   ) Muito baixo (   ) baixo ( x ) médio </w:t>
            </w:r>
          </w:p>
          <w:p w14:paraId="22201FFE">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 alto (   ) muito alto</w:t>
            </w:r>
          </w:p>
        </w:tc>
      </w:tr>
      <w:tr w14:paraId="7381F6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2DAF8B7C">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color="auto" w:sz="4" w:space="0"/>
              <w:left w:val="single" w:color="auto" w:sz="4" w:space="0"/>
              <w:bottom w:val="single" w:color="auto" w:sz="4" w:space="0"/>
            </w:tcBorders>
          </w:tcPr>
          <w:p w14:paraId="4286E8A4">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   ) Muito baixo (   ) baixo (   ) médio </w:t>
            </w:r>
          </w:p>
          <w:p w14:paraId="4C97B830">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 alto (x) muito alto</w:t>
            </w:r>
          </w:p>
        </w:tc>
      </w:tr>
      <w:tr w14:paraId="7C17FC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5BE44AD7">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color="auto" w:sz="4" w:space="0"/>
              <w:left w:val="single" w:color="auto" w:sz="4" w:space="0"/>
              <w:bottom w:val="single" w:color="auto" w:sz="4" w:space="0"/>
            </w:tcBorders>
          </w:tcPr>
          <w:p w14:paraId="6017F657">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Suspensão do processo de pagamento até a comprovação da entrega do produto de acordo com a quantidade e qualidade contratadas</w:t>
            </w:r>
          </w:p>
          <w:p w14:paraId="12525873">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Apuração da responsabilidade dos servidores e da empresa contratada</w:t>
            </w:r>
          </w:p>
        </w:tc>
      </w:tr>
      <w:tr w14:paraId="37F2E1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3F3A15D1">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color="auto" w:sz="4" w:space="0"/>
              <w:left w:val="single" w:color="auto" w:sz="4" w:space="0"/>
              <w:bottom w:val="single" w:color="auto" w:sz="4" w:space="0"/>
            </w:tcBorders>
          </w:tcPr>
          <w:p w14:paraId="3263C114">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Fiscal do contrato </w:t>
            </w:r>
          </w:p>
        </w:tc>
      </w:tr>
      <w:tr w14:paraId="3BAE19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Pr>
        <w:tc>
          <w:tcPr>
            <w:tcW w:w="2045" w:type="dxa"/>
            <w:tcBorders>
              <w:top w:val="single" w:color="auto" w:sz="4" w:space="0"/>
              <w:bottom w:val="single" w:color="auto" w:sz="4" w:space="0"/>
              <w:right w:val="single" w:color="auto" w:sz="4" w:space="0"/>
            </w:tcBorders>
          </w:tcPr>
          <w:p w14:paraId="7BB07FD1">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 xml:space="preserve">RISCO 4 </w:t>
            </w:r>
          </w:p>
        </w:tc>
        <w:tc>
          <w:tcPr>
            <w:tcW w:w="6647" w:type="dxa"/>
            <w:tcBorders>
              <w:top w:val="single" w:color="auto" w:sz="4" w:space="0"/>
              <w:left w:val="single" w:color="auto" w:sz="4" w:space="0"/>
              <w:bottom w:val="single" w:color="auto" w:sz="4" w:space="0"/>
            </w:tcBorders>
          </w:tcPr>
          <w:p w14:paraId="3D247BCC">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 xml:space="preserve">Atraso na entrega dos produtos  </w:t>
            </w:r>
          </w:p>
        </w:tc>
      </w:tr>
      <w:tr w14:paraId="671BE3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2107B10E">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color="auto" w:sz="4" w:space="0"/>
              <w:left w:val="single" w:color="auto" w:sz="4" w:space="0"/>
              <w:bottom w:val="single" w:color="auto" w:sz="4" w:space="0"/>
            </w:tcBorders>
          </w:tcPr>
          <w:p w14:paraId="3F202F4B">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   )Planejamento             (   ) Seleção do fornecedor </w:t>
            </w:r>
          </w:p>
          <w:p w14:paraId="50C3157B">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 ) Execução do Contrato</w:t>
            </w:r>
          </w:p>
        </w:tc>
      </w:tr>
      <w:tr w14:paraId="600C34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33E91637">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color="auto" w:sz="4" w:space="0"/>
              <w:left w:val="single" w:color="auto" w:sz="4" w:space="0"/>
              <w:bottom w:val="single" w:color="auto" w:sz="4" w:space="0"/>
            </w:tcBorders>
          </w:tcPr>
          <w:p w14:paraId="10061646">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   ) Muito baixo (   ) baixo (  ) médio </w:t>
            </w:r>
          </w:p>
          <w:p w14:paraId="54912A2F">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 ) alto (   ) muito alto</w:t>
            </w:r>
          </w:p>
        </w:tc>
      </w:tr>
      <w:tr w14:paraId="3EBC4A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4F3799EB">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color="auto" w:sz="4" w:space="0"/>
              <w:left w:val="single" w:color="auto" w:sz="4" w:space="0"/>
              <w:bottom w:val="single" w:color="auto" w:sz="4" w:space="0"/>
            </w:tcBorders>
          </w:tcPr>
          <w:p w14:paraId="2318A95C">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   ) Muito baixo (   ) baixo (   ) médio </w:t>
            </w:r>
          </w:p>
          <w:p w14:paraId="0425F1DC">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  ) alto () muito alto</w:t>
            </w:r>
          </w:p>
        </w:tc>
      </w:tr>
      <w:tr w14:paraId="600153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5889D32B">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color="auto" w:sz="4" w:space="0"/>
              <w:left w:val="single" w:color="auto" w:sz="4" w:space="0"/>
              <w:bottom w:val="single" w:color="auto" w:sz="4" w:space="0"/>
            </w:tcBorders>
          </w:tcPr>
          <w:tbl>
            <w:tblPr>
              <w:tblStyle w:val="8"/>
              <w:tblW w:w="0" w:type="auto"/>
              <w:tblInd w:w="0" w:type="dxa"/>
              <w:tblLayout w:type="fixed"/>
              <w:tblCellMar>
                <w:top w:w="0" w:type="dxa"/>
                <w:left w:w="108" w:type="dxa"/>
                <w:bottom w:w="0" w:type="dxa"/>
                <w:right w:w="108" w:type="dxa"/>
              </w:tblCellMar>
            </w:tblPr>
            <w:tblGrid>
              <w:gridCol w:w="4536"/>
            </w:tblGrid>
            <w:tr w14:paraId="1ECC8FE5">
              <w:trPr>
                <w:trHeight w:val="266" w:hRule="atLeast"/>
              </w:trPr>
              <w:tc>
                <w:tcPr>
                  <w:tcW w:w="4536" w:type="dxa"/>
                </w:tcPr>
                <w:p w14:paraId="3A771048">
                  <w:pPr>
                    <w:suppressAutoHyphens w:val="0"/>
                    <w:autoSpaceDE w:val="0"/>
                    <w:autoSpaceDN w:val="0"/>
                    <w:adjustRightInd w:val="0"/>
                    <w:spacing w:line="276" w:lineRule="auto"/>
                    <w:jc w:val="both"/>
                    <w:rPr>
                      <w:rFonts w:eastAsia="Calibri"/>
                      <w:szCs w:val="24"/>
                      <w:lang w:eastAsia="pt-BR"/>
                    </w:rPr>
                  </w:pPr>
                </w:p>
                <w:p w14:paraId="04B87712">
                  <w:pPr>
                    <w:suppressAutoHyphens w:val="0"/>
                    <w:autoSpaceDE w:val="0"/>
                    <w:autoSpaceDN w:val="0"/>
                    <w:adjustRightInd w:val="0"/>
                    <w:spacing w:line="276" w:lineRule="auto"/>
                    <w:jc w:val="both"/>
                    <w:rPr>
                      <w:rFonts w:eastAsia="Calibri"/>
                      <w:color w:val="000000"/>
                      <w:szCs w:val="24"/>
                      <w:lang w:eastAsia="pt-BR"/>
                    </w:rPr>
                  </w:pPr>
                  <w:r>
                    <w:rPr>
                      <w:rFonts w:eastAsia="Calibri"/>
                      <w:color w:val="000000"/>
                      <w:szCs w:val="24"/>
                      <w:lang w:eastAsia="pt-BR"/>
                    </w:rPr>
                    <w:t xml:space="preserve">1. Inserir cláusula de penalidade no Contrato. </w:t>
                  </w:r>
                </w:p>
                <w:p w14:paraId="33BCAA02">
                  <w:pPr>
                    <w:suppressAutoHyphens w:val="0"/>
                    <w:autoSpaceDE w:val="0"/>
                    <w:autoSpaceDN w:val="0"/>
                    <w:adjustRightInd w:val="0"/>
                    <w:spacing w:line="276" w:lineRule="auto"/>
                    <w:jc w:val="both"/>
                    <w:rPr>
                      <w:rFonts w:eastAsia="Calibri"/>
                      <w:color w:val="000000"/>
                      <w:szCs w:val="24"/>
                      <w:lang w:eastAsia="pt-BR"/>
                    </w:rPr>
                  </w:pPr>
                  <w:r>
                    <w:rPr>
                      <w:rFonts w:eastAsia="Calibri"/>
                      <w:color w:val="000000"/>
                      <w:szCs w:val="24"/>
                      <w:lang w:eastAsia="pt-BR"/>
                    </w:rPr>
                    <w:t xml:space="preserve">2. Aplicar penalidade ao fornecedor inadimplente. </w:t>
                  </w:r>
                </w:p>
                <w:p w14:paraId="67D2D89B">
                  <w:pPr>
                    <w:suppressAutoHyphens w:val="0"/>
                    <w:autoSpaceDE w:val="0"/>
                    <w:autoSpaceDN w:val="0"/>
                    <w:adjustRightInd w:val="0"/>
                    <w:spacing w:line="276" w:lineRule="auto"/>
                    <w:jc w:val="both"/>
                    <w:rPr>
                      <w:rFonts w:eastAsia="Calibri"/>
                      <w:color w:val="000000"/>
                      <w:szCs w:val="24"/>
                      <w:lang w:eastAsia="pt-BR"/>
                    </w:rPr>
                  </w:pPr>
                </w:p>
              </w:tc>
            </w:tr>
          </w:tbl>
          <w:p w14:paraId="28B91903">
            <w:pPr>
              <w:suppressAutoHyphens w:val="0"/>
              <w:autoSpaceDE w:val="0"/>
              <w:autoSpaceDN w:val="0"/>
              <w:adjustRightInd w:val="0"/>
              <w:spacing w:line="276" w:lineRule="auto"/>
              <w:jc w:val="both"/>
              <w:rPr>
                <w:rFonts w:eastAsia="Calibri"/>
                <w:szCs w:val="24"/>
                <w:lang w:eastAsia="pt-BR"/>
              </w:rPr>
            </w:pPr>
          </w:p>
        </w:tc>
      </w:tr>
      <w:tr w14:paraId="2372AD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45" w:type="dxa"/>
            <w:tcBorders>
              <w:top w:val="single" w:color="auto" w:sz="4" w:space="0"/>
              <w:bottom w:val="single" w:color="auto" w:sz="4" w:space="0"/>
              <w:right w:val="single" w:color="auto" w:sz="4" w:space="0"/>
            </w:tcBorders>
          </w:tcPr>
          <w:p w14:paraId="2DE3527B">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color="auto" w:sz="4" w:space="0"/>
              <w:left w:val="single" w:color="auto" w:sz="4" w:space="0"/>
              <w:bottom w:val="single" w:color="auto" w:sz="4" w:space="0"/>
            </w:tcBorders>
          </w:tcPr>
          <w:p w14:paraId="04E0142D">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Fiscal do contrato e Gestor do contrato </w:t>
            </w:r>
          </w:p>
        </w:tc>
      </w:tr>
    </w:tbl>
    <w:p w14:paraId="01771FAF">
      <w:pPr>
        <w:suppressAutoHyphens w:val="0"/>
        <w:autoSpaceDE w:val="0"/>
        <w:autoSpaceDN w:val="0"/>
        <w:adjustRightInd w:val="0"/>
        <w:spacing w:after="200" w:line="360" w:lineRule="auto"/>
        <w:ind w:right="-1"/>
        <w:jc w:val="both"/>
        <w:rPr>
          <w:rFonts w:eastAsia="Calibri"/>
          <w:b/>
          <w:bCs/>
          <w:szCs w:val="24"/>
          <w:lang w:eastAsia="pt-BR"/>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
        <w:gridCol w:w="1786"/>
        <w:gridCol w:w="1269"/>
        <w:gridCol w:w="1253"/>
        <w:gridCol w:w="1281"/>
        <w:gridCol w:w="1198"/>
        <w:gridCol w:w="1270"/>
      </w:tblGrid>
      <w:tr w14:paraId="0075C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dxa"/>
            <w:vMerge w:val="restart"/>
            <w:tcBorders>
              <w:top w:val="single" w:color="auto" w:sz="4" w:space="0"/>
              <w:left w:val="single" w:color="auto" w:sz="4" w:space="0"/>
              <w:bottom w:val="single" w:color="auto" w:sz="4" w:space="0"/>
              <w:right w:val="single" w:color="auto" w:sz="4" w:space="0"/>
            </w:tcBorders>
            <w:shd w:val="clear" w:color="auto" w:fill="auto"/>
          </w:tcPr>
          <w:p w14:paraId="64A41807">
            <w:pPr>
              <w:spacing w:before="100" w:beforeAutospacing="1" w:after="100" w:afterAutospacing="1" w:line="360" w:lineRule="auto"/>
              <w:jc w:val="both"/>
              <w:rPr>
                <w:rFonts w:ascii="Arial" w:hAnsi="Arial" w:cs="Arial"/>
                <w:szCs w:val="24"/>
              </w:rPr>
            </w:pPr>
            <w:bookmarkStart w:id="3" w:name="_Hlk157430661"/>
            <w:r>
              <w:rPr>
                <w:rFonts w:ascii="Arial" w:hAnsi="Arial" w:cs="Arial"/>
                <w:szCs w:val="24"/>
              </w:rPr>
              <w:t>I</w:t>
            </w:r>
          </w:p>
          <w:p w14:paraId="063AA44E">
            <w:pPr>
              <w:spacing w:before="100" w:beforeAutospacing="1" w:after="100" w:afterAutospacing="1" w:line="360" w:lineRule="auto"/>
              <w:jc w:val="both"/>
              <w:rPr>
                <w:rFonts w:ascii="Arial" w:hAnsi="Arial" w:cs="Arial"/>
                <w:szCs w:val="24"/>
              </w:rPr>
            </w:pPr>
            <w:r>
              <w:rPr>
                <w:rFonts w:ascii="Arial" w:hAnsi="Arial" w:cs="Arial"/>
                <w:szCs w:val="24"/>
              </w:rPr>
              <w:t>M</w:t>
            </w:r>
          </w:p>
          <w:p w14:paraId="12BDFD0F">
            <w:pPr>
              <w:spacing w:before="100" w:beforeAutospacing="1" w:after="100" w:afterAutospacing="1" w:line="360" w:lineRule="auto"/>
              <w:jc w:val="both"/>
              <w:rPr>
                <w:rFonts w:ascii="Arial" w:hAnsi="Arial" w:cs="Arial"/>
                <w:szCs w:val="24"/>
              </w:rPr>
            </w:pPr>
            <w:r>
              <w:rPr>
                <w:rFonts w:ascii="Arial" w:hAnsi="Arial" w:cs="Arial"/>
                <w:szCs w:val="24"/>
              </w:rPr>
              <w:t>P</w:t>
            </w:r>
          </w:p>
          <w:p w14:paraId="1DA1EF2F">
            <w:pPr>
              <w:spacing w:before="100" w:beforeAutospacing="1" w:after="100" w:afterAutospacing="1" w:line="360" w:lineRule="auto"/>
              <w:jc w:val="both"/>
              <w:rPr>
                <w:rFonts w:ascii="Arial" w:hAnsi="Arial" w:cs="Arial"/>
                <w:szCs w:val="24"/>
              </w:rPr>
            </w:pPr>
            <w:r>
              <w:rPr>
                <w:rFonts w:ascii="Arial" w:hAnsi="Arial" w:cs="Arial"/>
                <w:szCs w:val="24"/>
              </w:rPr>
              <w:t>A</w:t>
            </w:r>
          </w:p>
          <w:p w14:paraId="6861A388">
            <w:pPr>
              <w:spacing w:before="100" w:beforeAutospacing="1" w:after="100" w:afterAutospacing="1" w:line="360" w:lineRule="auto"/>
              <w:jc w:val="both"/>
              <w:rPr>
                <w:rFonts w:ascii="Arial" w:hAnsi="Arial" w:cs="Arial"/>
                <w:szCs w:val="24"/>
              </w:rPr>
            </w:pPr>
            <w:r>
              <w:rPr>
                <w:rFonts w:ascii="Arial" w:hAnsi="Arial" w:cs="Arial"/>
                <w:szCs w:val="24"/>
              </w:rPr>
              <w:t>C</w:t>
            </w:r>
          </w:p>
          <w:p w14:paraId="04CB80DC">
            <w:pPr>
              <w:spacing w:before="100" w:beforeAutospacing="1" w:after="100" w:afterAutospacing="1" w:line="360" w:lineRule="auto"/>
              <w:jc w:val="both"/>
              <w:rPr>
                <w:rFonts w:ascii="Arial" w:hAnsi="Arial" w:cs="Arial"/>
                <w:szCs w:val="24"/>
              </w:rPr>
            </w:pPr>
            <w:r>
              <w:rPr>
                <w:rFonts w:ascii="Arial" w:hAnsi="Arial" w:cs="Arial"/>
                <w:szCs w:val="24"/>
              </w:rPr>
              <w:t>T</w:t>
            </w:r>
          </w:p>
          <w:p w14:paraId="0E1B3358">
            <w:pPr>
              <w:spacing w:before="100" w:beforeAutospacing="1" w:after="100" w:afterAutospacing="1" w:line="360" w:lineRule="auto"/>
              <w:jc w:val="both"/>
              <w:rPr>
                <w:rFonts w:ascii="Arial" w:hAnsi="Arial" w:cs="Arial"/>
                <w:szCs w:val="24"/>
              </w:rPr>
            </w:pPr>
            <w:r>
              <w:rPr>
                <w:rFonts w:ascii="Arial" w:hAnsi="Arial" w:cs="Arial"/>
                <w:szCs w:val="24"/>
              </w:rPr>
              <w:t>O</w:t>
            </w:r>
          </w:p>
        </w:tc>
        <w:tc>
          <w:tcPr>
            <w:tcW w:w="8057" w:type="dxa"/>
            <w:gridSpan w:val="6"/>
            <w:tcBorders>
              <w:top w:val="single" w:color="auto" w:sz="4" w:space="0"/>
              <w:left w:val="single" w:color="auto" w:sz="4" w:space="0"/>
              <w:bottom w:val="single" w:color="auto" w:sz="4" w:space="0"/>
              <w:right w:val="single" w:color="auto" w:sz="4" w:space="0"/>
            </w:tcBorders>
            <w:shd w:val="clear" w:color="auto" w:fill="auto"/>
          </w:tcPr>
          <w:p w14:paraId="448D6C05">
            <w:pPr>
              <w:spacing w:before="100" w:beforeAutospacing="1" w:after="100" w:afterAutospacing="1" w:line="360" w:lineRule="auto"/>
              <w:jc w:val="both"/>
              <w:rPr>
                <w:rFonts w:ascii="Arial" w:hAnsi="Arial" w:cs="Arial"/>
                <w:szCs w:val="24"/>
              </w:rPr>
            </w:pPr>
            <w:r>
              <w:rPr>
                <w:rFonts w:ascii="Arial" w:hAnsi="Arial" w:cs="Arial"/>
                <w:szCs w:val="24"/>
              </w:rPr>
              <w:t>P  R  O  B  A  B  I  L  I  D  A   D  E</w:t>
            </w:r>
          </w:p>
        </w:tc>
      </w:tr>
      <w:tr w14:paraId="1786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147FA16">
            <w:pPr>
              <w:spacing w:line="360" w:lineRule="auto"/>
              <w:jc w:val="both"/>
              <w:rPr>
                <w:rFonts w:ascii="Arial" w:hAnsi="Arial" w:cs="Arial"/>
                <w:szCs w:val="24"/>
              </w:rPr>
            </w:pPr>
          </w:p>
        </w:tc>
        <w:tc>
          <w:tcPr>
            <w:tcW w:w="1786" w:type="dxa"/>
            <w:tcBorders>
              <w:top w:val="single" w:color="auto" w:sz="4" w:space="0"/>
              <w:left w:val="single" w:color="auto" w:sz="4" w:space="0"/>
              <w:bottom w:val="single" w:color="auto" w:sz="4" w:space="0"/>
              <w:right w:val="single" w:color="auto" w:sz="4" w:space="0"/>
            </w:tcBorders>
            <w:shd w:val="clear" w:color="auto" w:fill="auto"/>
          </w:tcPr>
          <w:p w14:paraId="0151F417">
            <w:pPr>
              <w:spacing w:before="100" w:beforeAutospacing="1" w:after="100" w:afterAutospacing="1" w:line="360" w:lineRule="auto"/>
              <w:jc w:val="both"/>
              <w:rPr>
                <w:rFonts w:ascii="Arial" w:hAnsi="Arial" w:cs="Arial"/>
                <w:szCs w:val="24"/>
              </w:rPr>
            </w:pPr>
          </w:p>
        </w:tc>
        <w:tc>
          <w:tcPr>
            <w:tcW w:w="1269" w:type="dxa"/>
            <w:tcBorders>
              <w:top w:val="single" w:color="auto" w:sz="4" w:space="0"/>
              <w:left w:val="single" w:color="auto" w:sz="4" w:space="0"/>
              <w:bottom w:val="single" w:color="auto" w:sz="4" w:space="0"/>
              <w:right w:val="single" w:color="auto" w:sz="4" w:space="0"/>
            </w:tcBorders>
            <w:shd w:val="clear" w:color="auto" w:fill="auto"/>
          </w:tcPr>
          <w:p w14:paraId="400DC9FB">
            <w:pPr>
              <w:spacing w:before="100" w:beforeAutospacing="1" w:after="100" w:afterAutospacing="1" w:line="360" w:lineRule="auto"/>
              <w:jc w:val="both"/>
              <w:rPr>
                <w:rFonts w:ascii="Arial" w:hAnsi="Arial" w:cs="Arial"/>
                <w:szCs w:val="24"/>
              </w:rPr>
            </w:pPr>
            <w:r>
              <w:rPr>
                <w:rFonts w:ascii="Arial" w:hAnsi="Arial" w:cs="Arial"/>
                <w:szCs w:val="24"/>
              </w:rPr>
              <w:t>MUITO BAIXO</w:t>
            </w:r>
          </w:p>
        </w:tc>
        <w:tc>
          <w:tcPr>
            <w:tcW w:w="1253" w:type="dxa"/>
            <w:tcBorders>
              <w:top w:val="single" w:color="auto" w:sz="4" w:space="0"/>
              <w:left w:val="single" w:color="auto" w:sz="4" w:space="0"/>
              <w:bottom w:val="single" w:color="auto" w:sz="4" w:space="0"/>
              <w:right w:val="single" w:color="auto" w:sz="4" w:space="0"/>
            </w:tcBorders>
            <w:shd w:val="clear" w:color="auto" w:fill="auto"/>
          </w:tcPr>
          <w:p w14:paraId="6C0A81CA">
            <w:pPr>
              <w:spacing w:before="100" w:beforeAutospacing="1" w:after="100" w:afterAutospacing="1" w:line="360" w:lineRule="auto"/>
              <w:jc w:val="both"/>
              <w:rPr>
                <w:rFonts w:ascii="Arial" w:hAnsi="Arial" w:cs="Arial"/>
                <w:szCs w:val="24"/>
              </w:rPr>
            </w:pPr>
            <w:r>
              <w:rPr>
                <w:rFonts w:ascii="Arial" w:hAnsi="Arial" w:cs="Arial"/>
                <w:szCs w:val="24"/>
              </w:rPr>
              <w:t>BAIXO</w:t>
            </w:r>
          </w:p>
        </w:tc>
        <w:tc>
          <w:tcPr>
            <w:tcW w:w="1281" w:type="dxa"/>
            <w:tcBorders>
              <w:top w:val="single" w:color="auto" w:sz="4" w:space="0"/>
              <w:left w:val="single" w:color="auto" w:sz="4" w:space="0"/>
              <w:bottom w:val="single" w:color="auto" w:sz="4" w:space="0"/>
              <w:right w:val="single" w:color="auto" w:sz="4" w:space="0"/>
            </w:tcBorders>
            <w:shd w:val="clear" w:color="auto" w:fill="auto"/>
          </w:tcPr>
          <w:p w14:paraId="6A22255B">
            <w:pPr>
              <w:spacing w:before="100" w:beforeAutospacing="1" w:after="100" w:afterAutospacing="1" w:line="360" w:lineRule="auto"/>
              <w:jc w:val="both"/>
              <w:rPr>
                <w:rFonts w:ascii="Arial" w:hAnsi="Arial" w:cs="Arial"/>
                <w:szCs w:val="24"/>
              </w:rPr>
            </w:pPr>
            <w:r>
              <w:rPr>
                <w:rFonts w:ascii="Arial" w:hAnsi="Arial" w:cs="Arial"/>
                <w:szCs w:val="24"/>
              </w:rPr>
              <w:t>MÉDIO</w:t>
            </w:r>
          </w:p>
        </w:tc>
        <w:tc>
          <w:tcPr>
            <w:tcW w:w="1198" w:type="dxa"/>
            <w:tcBorders>
              <w:top w:val="single" w:color="auto" w:sz="4" w:space="0"/>
              <w:left w:val="single" w:color="auto" w:sz="4" w:space="0"/>
              <w:bottom w:val="single" w:color="auto" w:sz="4" w:space="0"/>
              <w:right w:val="single" w:color="auto" w:sz="4" w:space="0"/>
            </w:tcBorders>
            <w:shd w:val="clear" w:color="auto" w:fill="auto"/>
          </w:tcPr>
          <w:p w14:paraId="3B000161">
            <w:pPr>
              <w:spacing w:before="100" w:beforeAutospacing="1" w:after="100" w:afterAutospacing="1" w:line="360" w:lineRule="auto"/>
              <w:jc w:val="both"/>
              <w:rPr>
                <w:rFonts w:ascii="Arial" w:hAnsi="Arial" w:cs="Arial"/>
                <w:szCs w:val="24"/>
              </w:rPr>
            </w:pPr>
            <w:r>
              <w:rPr>
                <w:rFonts w:ascii="Arial" w:hAnsi="Arial" w:cs="Arial"/>
                <w:szCs w:val="24"/>
              </w:rPr>
              <w:t>ALTO</w:t>
            </w:r>
          </w:p>
        </w:tc>
        <w:tc>
          <w:tcPr>
            <w:tcW w:w="1270" w:type="dxa"/>
            <w:tcBorders>
              <w:top w:val="single" w:color="auto" w:sz="4" w:space="0"/>
              <w:left w:val="single" w:color="auto" w:sz="4" w:space="0"/>
              <w:bottom w:val="single" w:color="auto" w:sz="4" w:space="0"/>
              <w:right w:val="single" w:color="auto" w:sz="4" w:space="0"/>
            </w:tcBorders>
            <w:shd w:val="clear" w:color="auto" w:fill="auto"/>
          </w:tcPr>
          <w:p w14:paraId="0A41C09B">
            <w:pPr>
              <w:spacing w:before="100" w:beforeAutospacing="1" w:after="100" w:afterAutospacing="1" w:line="360" w:lineRule="auto"/>
              <w:jc w:val="both"/>
              <w:rPr>
                <w:rFonts w:ascii="Arial" w:hAnsi="Arial" w:cs="Arial"/>
                <w:szCs w:val="24"/>
              </w:rPr>
            </w:pPr>
            <w:r>
              <w:rPr>
                <w:rFonts w:ascii="Arial" w:hAnsi="Arial" w:cs="Arial"/>
                <w:szCs w:val="24"/>
              </w:rPr>
              <w:t>MUITO ALTO</w:t>
            </w:r>
          </w:p>
        </w:tc>
      </w:tr>
      <w:tr w14:paraId="65357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51C05D0">
            <w:pPr>
              <w:spacing w:line="360" w:lineRule="auto"/>
              <w:jc w:val="both"/>
              <w:rPr>
                <w:rFonts w:ascii="Arial" w:hAnsi="Arial" w:cs="Arial"/>
                <w:szCs w:val="24"/>
              </w:rPr>
            </w:pPr>
          </w:p>
        </w:tc>
        <w:tc>
          <w:tcPr>
            <w:tcW w:w="1786" w:type="dxa"/>
            <w:tcBorders>
              <w:top w:val="single" w:color="auto" w:sz="4" w:space="0"/>
              <w:left w:val="single" w:color="auto" w:sz="4" w:space="0"/>
              <w:bottom w:val="single" w:color="auto" w:sz="4" w:space="0"/>
              <w:right w:val="single" w:color="auto" w:sz="4" w:space="0"/>
            </w:tcBorders>
            <w:shd w:val="clear" w:color="auto" w:fill="auto"/>
          </w:tcPr>
          <w:p w14:paraId="3F17CD69">
            <w:pPr>
              <w:spacing w:before="100" w:beforeAutospacing="1" w:after="100" w:afterAutospacing="1" w:line="360" w:lineRule="auto"/>
              <w:jc w:val="both"/>
              <w:rPr>
                <w:rFonts w:ascii="Arial" w:hAnsi="Arial" w:cs="Arial"/>
                <w:szCs w:val="24"/>
              </w:rPr>
            </w:pPr>
            <w:r>
              <w:rPr>
                <w:rFonts w:ascii="Arial" w:hAnsi="Arial" w:cs="Arial"/>
                <w:szCs w:val="24"/>
              </w:rPr>
              <w:t xml:space="preserve">MUITO </w:t>
            </w:r>
          </w:p>
          <w:p w14:paraId="0F300E9D">
            <w:pPr>
              <w:spacing w:before="100" w:beforeAutospacing="1" w:after="100" w:afterAutospacing="1" w:line="360" w:lineRule="auto"/>
              <w:jc w:val="both"/>
              <w:rPr>
                <w:rFonts w:ascii="Arial" w:hAnsi="Arial" w:cs="Arial"/>
                <w:szCs w:val="24"/>
              </w:rPr>
            </w:pPr>
            <w:r>
              <w:rPr>
                <w:rFonts w:ascii="Arial" w:hAnsi="Arial" w:cs="Arial"/>
                <w:szCs w:val="24"/>
              </w:rPr>
              <w:t>ALTO</w:t>
            </w:r>
          </w:p>
        </w:tc>
        <w:tc>
          <w:tcPr>
            <w:tcW w:w="1269" w:type="dxa"/>
            <w:tcBorders>
              <w:top w:val="single" w:color="auto" w:sz="4" w:space="0"/>
              <w:left w:val="single" w:color="auto" w:sz="4" w:space="0"/>
              <w:bottom w:val="single" w:color="auto" w:sz="4" w:space="0"/>
              <w:right w:val="single" w:color="auto" w:sz="4" w:space="0"/>
            </w:tcBorders>
            <w:shd w:val="clear" w:color="auto" w:fill="auto"/>
          </w:tcPr>
          <w:p w14:paraId="41AD4BDE">
            <w:pPr>
              <w:spacing w:before="100" w:beforeAutospacing="1" w:after="100" w:afterAutospacing="1" w:line="360" w:lineRule="auto"/>
              <w:jc w:val="both"/>
              <w:rPr>
                <w:rFonts w:ascii="Arial" w:hAnsi="Arial" w:cs="Arial"/>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FFFF00"/>
          </w:tcPr>
          <w:p w14:paraId="30444B48">
            <w:pPr>
              <w:spacing w:before="100" w:beforeAutospacing="1" w:after="100" w:afterAutospacing="1" w:line="360" w:lineRule="auto"/>
              <w:jc w:val="both"/>
              <w:rPr>
                <w:rFonts w:ascii="Arial" w:hAnsi="Arial" w:cs="Arial"/>
                <w:szCs w:val="24"/>
              </w:rPr>
            </w:pPr>
          </w:p>
        </w:tc>
        <w:tc>
          <w:tcPr>
            <w:tcW w:w="1281" w:type="dxa"/>
            <w:tcBorders>
              <w:top w:val="single" w:color="auto" w:sz="4" w:space="0"/>
              <w:left w:val="single" w:color="auto" w:sz="4" w:space="0"/>
              <w:bottom w:val="single" w:color="auto" w:sz="4" w:space="0"/>
              <w:right w:val="single" w:color="auto" w:sz="4" w:space="0"/>
            </w:tcBorders>
            <w:shd w:val="clear" w:color="auto" w:fill="FF0000"/>
          </w:tcPr>
          <w:p w14:paraId="4708D582">
            <w:pPr>
              <w:spacing w:before="100" w:beforeAutospacing="1" w:after="100" w:afterAutospacing="1" w:line="360" w:lineRule="auto"/>
              <w:jc w:val="both"/>
              <w:rPr>
                <w:rFonts w:ascii="Arial" w:hAnsi="Arial" w:cs="Arial"/>
                <w:szCs w:val="24"/>
              </w:rPr>
            </w:pPr>
            <w:r>
              <w:rPr>
                <w:rFonts w:ascii="Arial" w:hAnsi="Arial" w:cs="Arial"/>
                <w:szCs w:val="24"/>
              </w:rPr>
              <w:t>Risco 3</w:t>
            </w:r>
          </w:p>
        </w:tc>
        <w:tc>
          <w:tcPr>
            <w:tcW w:w="1198" w:type="dxa"/>
            <w:tcBorders>
              <w:top w:val="single" w:color="auto" w:sz="4" w:space="0"/>
              <w:left w:val="single" w:color="auto" w:sz="4" w:space="0"/>
              <w:bottom w:val="single" w:color="auto" w:sz="4" w:space="0"/>
              <w:right w:val="single" w:color="auto" w:sz="4" w:space="0"/>
            </w:tcBorders>
            <w:shd w:val="clear" w:color="auto" w:fill="FF0000"/>
          </w:tcPr>
          <w:p w14:paraId="38F3B997">
            <w:pPr>
              <w:spacing w:before="100" w:beforeAutospacing="1" w:after="100" w:afterAutospacing="1" w:line="360" w:lineRule="auto"/>
              <w:jc w:val="both"/>
              <w:rPr>
                <w:rFonts w:ascii="Arial" w:hAnsi="Arial" w:cs="Arial"/>
                <w:szCs w:val="24"/>
              </w:rPr>
            </w:pPr>
          </w:p>
        </w:tc>
        <w:tc>
          <w:tcPr>
            <w:tcW w:w="1270" w:type="dxa"/>
            <w:tcBorders>
              <w:top w:val="single" w:color="auto" w:sz="4" w:space="0"/>
              <w:left w:val="single" w:color="auto" w:sz="4" w:space="0"/>
              <w:bottom w:val="single" w:color="auto" w:sz="4" w:space="0"/>
              <w:right w:val="single" w:color="auto" w:sz="4" w:space="0"/>
            </w:tcBorders>
            <w:shd w:val="clear" w:color="auto" w:fill="FF0000"/>
          </w:tcPr>
          <w:p w14:paraId="792395C4">
            <w:pPr>
              <w:spacing w:before="100" w:beforeAutospacing="1" w:after="100" w:afterAutospacing="1" w:line="360" w:lineRule="auto"/>
              <w:jc w:val="both"/>
              <w:rPr>
                <w:rFonts w:ascii="Arial" w:hAnsi="Arial" w:cs="Arial"/>
                <w:szCs w:val="24"/>
              </w:rPr>
            </w:pPr>
          </w:p>
        </w:tc>
      </w:tr>
      <w:tr w14:paraId="03A25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32CB76">
            <w:pPr>
              <w:spacing w:line="360" w:lineRule="auto"/>
              <w:jc w:val="both"/>
              <w:rPr>
                <w:rFonts w:ascii="Arial" w:hAnsi="Arial" w:cs="Arial"/>
                <w:szCs w:val="24"/>
              </w:rPr>
            </w:pPr>
          </w:p>
        </w:tc>
        <w:tc>
          <w:tcPr>
            <w:tcW w:w="1786" w:type="dxa"/>
            <w:tcBorders>
              <w:top w:val="single" w:color="auto" w:sz="4" w:space="0"/>
              <w:left w:val="single" w:color="auto" w:sz="4" w:space="0"/>
              <w:bottom w:val="single" w:color="auto" w:sz="4" w:space="0"/>
              <w:right w:val="single" w:color="auto" w:sz="4" w:space="0"/>
            </w:tcBorders>
            <w:shd w:val="clear" w:color="auto" w:fill="auto"/>
          </w:tcPr>
          <w:p w14:paraId="47B453EB">
            <w:pPr>
              <w:spacing w:before="100" w:beforeAutospacing="1" w:after="100" w:afterAutospacing="1" w:line="360" w:lineRule="auto"/>
              <w:jc w:val="both"/>
              <w:rPr>
                <w:rFonts w:ascii="Arial" w:hAnsi="Arial" w:cs="Arial"/>
                <w:szCs w:val="24"/>
              </w:rPr>
            </w:pPr>
            <w:r>
              <w:rPr>
                <w:rFonts w:ascii="Arial" w:hAnsi="Arial" w:cs="Arial"/>
                <w:szCs w:val="24"/>
              </w:rPr>
              <w:t xml:space="preserve">ALTO </w:t>
            </w:r>
          </w:p>
          <w:p w14:paraId="6C044758">
            <w:pPr>
              <w:spacing w:before="100" w:beforeAutospacing="1" w:after="100" w:afterAutospacing="1" w:line="360" w:lineRule="auto"/>
              <w:jc w:val="both"/>
              <w:rPr>
                <w:rFonts w:ascii="Arial" w:hAnsi="Arial" w:cs="Arial"/>
                <w:szCs w:val="24"/>
              </w:rPr>
            </w:pPr>
          </w:p>
        </w:tc>
        <w:tc>
          <w:tcPr>
            <w:tcW w:w="1269" w:type="dxa"/>
            <w:tcBorders>
              <w:top w:val="single" w:color="auto" w:sz="4" w:space="0"/>
              <w:left w:val="single" w:color="auto" w:sz="4" w:space="0"/>
              <w:bottom w:val="single" w:color="auto" w:sz="4" w:space="0"/>
              <w:right w:val="single" w:color="auto" w:sz="4" w:space="0"/>
            </w:tcBorders>
            <w:shd w:val="clear" w:color="auto" w:fill="auto"/>
          </w:tcPr>
          <w:p w14:paraId="7B31E729">
            <w:pPr>
              <w:spacing w:before="100" w:beforeAutospacing="1" w:after="100" w:afterAutospacing="1" w:line="360" w:lineRule="auto"/>
              <w:jc w:val="both"/>
              <w:rPr>
                <w:rFonts w:ascii="Arial" w:hAnsi="Arial" w:cs="Arial"/>
                <w:szCs w:val="24"/>
              </w:rPr>
            </w:pPr>
            <w:r>
              <w:rPr>
                <w:rFonts w:ascii="Arial" w:hAnsi="Arial" w:cs="Arial"/>
                <w:szCs w:val="24"/>
              </w:rPr>
              <w:t>Risco 1</w:t>
            </w:r>
          </w:p>
        </w:tc>
        <w:tc>
          <w:tcPr>
            <w:tcW w:w="1253" w:type="dxa"/>
            <w:tcBorders>
              <w:top w:val="single" w:color="auto" w:sz="4" w:space="0"/>
              <w:left w:val="single" w:color="auto" w:sz="4" w:space="0"/>
              <w:bottom w:val="single" w:color="auto" w:sz="4" w:space="0"/>
              <w:right w:val="single" w:color="auto" w:sz="4" w:space="0"/>
            </w:tcBorders>
            <w:shd w:val="clear" w:color="auto" w:fill="FFFF00"/>
          </w:tcPr>
          <w:p w14:paraId="447E1B30">
            <w:pPr>
              <w:spacing w:before="100" w:beforeAutospacing="1" w:after="100" w:afterAutospacing="1" w:line="360" w:lineRule="auto"/>
              <w:jc w:val="both"/>
              <w:rPr>
                <w:rFonts w:ascii="Arial" w:hAnsi="Arial" w:cs="Arial"/>
                <w:szCs w:val="24"/>
              </w:rPr>
            </w:pPr>
          </w:p>
        </w:tc>
        <w:tc>
          <w:tcPr>
            <w:tcW w:w="1281" w:type="dxa"/>
            <w:tcBorders>
              <w:top w:val="single" w:color="auto" w:sz="4" w:space="0"/>
              <w:left w:val="single" w:color="auto" w:sz="4" w:space="0"/>
              <w:bottom w:val="single" w:color="auto" w:sz="4" w:space="0"/>
              <w:right w:val="single" w:color="auto" w:sz="4" w:space="0"/>
            </w:tcBorders>
            <w:shd w:val="clear" w:color="auto" w:fill="FFFF00"/>
          </w:tcPr>
          <w:p w14:paraId="34E5CDB1">
            <w:pPr>
              <w:spacing w:before="100" w:beforeAutospacing="1" w:after="100" w:afterAutospacing="1" w:line="360" w:lineRule="auto"/>
              <w:jc w:val="both"/>
              <w:rPr>
                <w:rFonts w:ascii="Arial" w:hAnsi="Arial" w:cs="Arial"/>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FF00"/>
          </w:tcPr>
          <w:p w14:paraId="6F10BD30">
            <w:pPr>
              <w:spacing w:before="100" w:beforeAutospacing="1" w:after="100" w:afterAutospacing="1" w:line="360" w:lineRule="auto"/>
              <w:jc w:val="both"/>
              <w:rPr>
                <w:rFonts w:ascii="Arial" w:hAnsi="Arial" w:cs="Arial"/>
                <w:szCs w:val="24"/>
              </w:rPr>
            </w:pPr>
            <w:r>
              <w:rPr>
                <w:rFonts w:ascii="Arial" w:hAnsi="Arial" w:cs="Arial"/>
                <w:szCs w:val="24"/>
              </w:rPr>
              <w:t xml:space="preserve">Risco 4 </w:t>
            </w:r>
          </w:p>
        </w:tc>
        <w:tc>
          <w:tcPr>
            <w:tcW w:w="1270" w:type="dxa"/>
            <w:tcBorders>
              <w:top w:val="single" w:color="auto" w:sz="4" w:space="0"/>
              <w:left w:val="single" w:color="auto" w:sz="4" w:space="0"/>
              <w:bottom w:val="single" w:color="auto" w:sz="4" w:space="0"/>
              <w:right w:val="single" w:color="auto" w:sz="4" w:space="0"/>
            </w:tcBorders>
            <w:shd w:val="clear" w:color="auto" w:fill="FF0000"/>
          </w:tcPr>
          <w:p w14:paraId="7036DBFC">
            <w:pPr>
              <w:spacing w:before="100" w:beforeAutospacing="1" w:after="100" w:afterAutospacing="1" w:line="360" w:lineRule="auto"/>
              <w:jc w:val="both"/>
              <w:rPr>
                <w:rFonts w:ascii="Arial" w:hAnsi="Arial" w:cs="Arial"/>
                <w:szCs w:val="24"/>
              </w:rPr>
            </w:pPr>
          </w:p>
        </w:tc>
      </w:tr>
      <w:tr w14:paraId="368E4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A39D9F">
            <w:pPr>
              <w:spacing w:line="360" w:lineRule="auto"/>
              <w:jc w:val="both"/>
              <w:rPr>
                <w:rFonts w:ascii="Arial" w:hAnsi="Arial" w:cs="Arial"/>
                <w:szCs w:val="24"/>
              </w:rPr>
            </w:pPr>
          </w:p>
        </w:tc>
        <w:tc>
          <w:tcPr>
            <w:tcW w:w="1786" w:type="dxa"/>
            <w:tcBorders>
              <w:top w:val="single" w:color="auto" w:sz="4" w:space="0"/>
              <w:left w:val="single" w:color="auto" w:sz="4" w:space="0"/>
              <w:bottom w:val="single" w:color="auto" w:sz="4" w:space="0"/>
              <w:right w:val="single" w:color="auto" w:sz="4" w:space="0"/>
            </w:tcBorders>
            <w:shd w:val="clear" w:color="auto" w:fill="auto"/>
          </w:tcPr>
          <w:p w14:paraId="70E28E36">
            <w:pPr>
              <w:spacing w:before="100" w:beforeAutospacing="1" w:after="100" w:afterAutospacing="1" w:line="360" w:lineRule="auto"/>
              <w:jc w:val="both"/>
              <w:rPr>
                <w:rFonts w:ascii="Arial" w:hAnsi="Arial" w:cs="Arial"/>
                <w:szCs w:val="24"/>
              </w:rPr>
            </w:pPr>
            <w:r>
              <w:rPr>
                <w:rFonts w:ascii="Arial" w:hAnsi="Arial" w:cs="Arial"/>
                <w:szCs w:val="24"/>
              </w:rPr>
              <w:t>MÉDIO</w:t>
            </w:r>
          </w:p>
          <w:p w14:paraId="3E76A953">
            <w:pPr>
              <w:spacing w:before="100" w:beforeAutospacing="1" w:after="100" w:afterAutospacing="1" w:line="360" w:lineRule="auto"/>
              <w:jc w:val="both"/>
              <w:rPr>
                <w:rFonts w:ascii="Arial" w:hAnsi="Arial" w:cs="Arial"/>
                <w:szCs w:val="24"/>
              </w:rPr>
            </w:pPr>
          </w:p>
        </w:tc>
        <w:tc>
          <w:tcPr>
            <w:tcW w:w="1269" w:type="dxa"/>
            <w:tcBorders>
              <w:top w:val="single" w:color="auto" w:sz="4" w:space="0"/>
              <w:left w:val="single" w:color="auto" w:sz="4" w:space="0"/>
              <w:bottom w:val="single" w:color="auto" w:sz="4" w:space="0"/>
              <w:right w:val="single" w:color="auto" w:sz="4" w:space="0"/>
            </w:tcBorders>
            <w:shd w:val="clear" w:color="auto" w:fill="auto"/>
          </w:tcPr>
          <w:p w14:paraId="694AAACB">
            <w:pPr>
              <w:spacing w:before="100" w:beforeAutospacing="1" w:after="100" w:afterAutospacing="1" w:line="360" w:lineRule="auto"/>
              <w:jc w:val="both"/>
              <w:rPr>
                <w:rFonts w:ascii="Arial" w:hAnsi="Arial" w:cs="Arial"/>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auto"/>
          </w:tcPr>
          <w:p w14:paraId="70871F2F">
            <w:pPr>
              <w:spacing w:before="100" w:beforeAutospacing="1" w:after="100" w:afterAutospacing="1" w:line="360" w:lineRule="auto"/>
              <w:jc w:val="both"/>
              <w:rPr>
                <w:rFonts w:ascii="Arial" w:hAnsi="Arial" w:cs="Arial"/>
                <w:szCs w:val="24"/>
              </w:rPr>
            </w:pPr>
            <w:r>
              <w:rPr>
                <w:rFonts w:ascii="Arial" w:hAnsi="Arial" w:cs="Arial"/>
                <w:szCs w:val="24"/>
              </w:rPr>
              <w:t>Risco 2</w:t>
            </w:r>
          </w:p>
        </w:tc>
        <w:tc>
          <w:tcPr>
            <w:tcW w:w="1281" w:type="dxa"/>
            <w:tcBorders>
              <w:top w:val="single" w:color="auto" w:sz="4" w:space="0"/>
              <w:left w:val="single" w:color="auto" w:sz="4" w:space="0"/>
              <w:bottom w:val="single" w:color="auto" w:sz="4" w:space="0"/>
              <w:right w:val="single" w:color="auto" w:sz="4" w:space="0"/>
            </w:tcBorders>
            <w:shd w:val="clear" w:color="auto" w:fill="FFFF00"/>
          </w:tcPr>
          <w:p w14:paraId="0AC44E6E">
            <w:pPr>
              <w:spacing w:before="100" w:beforeAutospacing="1" w:after="100" w:afterAutospacing="1" w:line="360" w:lineRule="auto"/>
              <w:jc w:val="both"/>
              <w:rPr>
                <w:rFonts w:ascii="Arial" w:hAnsi="Arial" w:cs="Arial"/>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FF00"/>
          </w:tcPr>
          <w:p w14:paraId="28018B48">
            <w:pPr>
              <w:spacing w:before="100" w:beforeAutospacing="1" w:after="100" w:afterAutospacing="1" w:line="360" w:lineRule="auto"/>
              <w:jc w:val="both"/>
              <w:rPr>
                <w:rFonts w:ascii="Arial" w:hAnsi="Arial" w:cs="Arial"/>
                <w:szCs w:val="24"/>
              </w:rPr>
            </w:pPr>
          </w:p>
        </w:tc>
        <w:tc>
          <w:tcPr>
            <w:tcW w:w="1270" w:type="dxa"/>
            <w:tcBorders>
              <w:top w:val="single" w:color="auto" w:sz="4" w:space="0"/>
              <w:left w:val="single" w:color="auto" w:sz="4" w:space="0"/>
              <w:bottom w:val="single" w:color="auto" w:sz="4" w:space="0"/>
              <w:right w:val="single" w:color="auto" w:sz="4" w:space="0"/>
            </w:tcBorders>
            <w:shd w:val="clear" w:color="auto" w:fill="FF0000"/>
          </w:tcPr>
          <w:p w14:paraId="5E492145">
            <w:pPr>
              <w:spacing w:before="100" w:beforeAutospacing="1" w:after="100" w:afterAutospacing="1" w:line="360" w:lineRule="auto"/>
              <w:jc w:val="both"/>
              <w:rPr>
                <w:rFonts w:ascii="Arial" w:hAnsi="Arial" w:cs="Arial"/>
                <w:szCs w:val="24"/>
              </w:rPr>
            </w:pPr>
          </w:p>
        </w:tc>
      </w:tr>
      <w:tr w14:paraId="7FA5B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B04C69B">
            <w:pPr>
              <w:spacing w:line="360" w:lineRule="auto"/>
              <w:jc w:val="both"/>
              <w:rPr>
                <w:rFonts w:ascii="Arial" w:hAnsi="Arial" w:cs="Arial"/>
                <w:szCs w:val="24"/>
              </w:rPr>
            </w:pPr>
          </w:p>
        </w:tc>
        <w:tc>
          <w:tcPr>
            <w:tcW w:w="1786" w:type="dxa"/>
            <w:tcBorders>
              <w:top w:val="single" w:color="auto" w:sz="4" w:space="0"/>
              <w:left w:val="single" w:color="auto" w:sz="4" w:space="0"/>
              <w:bottom w:val="single" w:color="auto" w:sz="4" w:space="0"/>
              <w:right w:val="single" w:color="auto" w:sz="4" w:space="0"/>
            </w:tcBorders>
            <w:shd w:val="clear" w:color="auto" w:fill="auto"/>
          </w:tcPr>
          <w:p w14:paraId="5143EDEB">
            <w:pPr>
              <w:spacing w:before="100" w:beforeAutospacing="1" w:after="100" w:afterAutospacing="1" w:line="360" w:lineRule="auto"/>
              <w:jc w:val="both"/>
              <w:rPr>
                <w:rFonts w:ascii="Arial" w:hAnsi="Arial" w:cs="Arial"/>
                <w:szCs w:val="24"/>
              </w:rPr>
            </w:pPr>
            <w:r>
              <w:rPr>
                <w:rFonts w:ascii="Arial" w:hAnsi="Arial" w:cs="Arial"/>
                <w:szCs w:val="24"/>
              </w:rPr>
              <w:t>BAIXO</w:t>
            </w:r>
          </w:p>
          <w:p w14:paraId="360B2065">
            <w:pPr>
              <w:spacing w:before="100" w:beforeAutospacing="1" w:after="100" w:afterAutospacing="1" w:line="360" w:lineRule="auto"/>
              <w:jc w:val="both"/>
              <w:rPr>
                <w:rFonts w:ascii="Arial" w:hAnsi="Arial" w:cs="Arial"/>
                <w:szCs w:val="24"/>
              </w:rPr>
            </w:pPr>
          </w:p>
        </w:tc>
        <w:tc>
          <w:tcPr>
            <w:tcW w:w="1269" w:type="dxa"/>
            <w:tcBorders>
              <w:top w:val="single" w:color="auto" w:sz="4" w:space="0"/>
              <w:left w:val="single" w:color="auto" w:sz="4" w:space="0"/>
              <w:bottom w:val="single" w:color="auto" w:sz="4" w:space="0"/>
              <w:right w:val="single" w:color="auto" w:sz="4" w:space="0"/>
            </w:tcBorders>
            <w:shd w:val="clear" w:color="auto" w:fill="00B050"/>
          </w:tcPr>
          <w:p w14:paraId="63E69C3B">
            <w:pPr>
              <w:spacing w:before="100" w:beforeAutospacing="1" w:after="100" w:afterAutospacing="1" w:line="360" w:lineRule="auto"/>
              <w:jc w:val="both"/>
              <w:rPr>
                <w:rFonts w:ascii="Arial" w:hAnsi="Arial" w:cs="Arial"/>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00B050"/>
          </w:tcPr>
          <w:p w14:paraId="21045F99">
            <w:pPr>
              <w:spacing w:before="100" w:beforeAutospacing="1" w:after="100" w:afterAutospacing="1" w:line="360" w:lineRule="auto"/>
              <w:jc w:val="both"/>
              <w:rPr>
                <w:rFonts w:ascii="Arial" w:hAnsi="Arial" w:cs="Arial"/>
                <w:szCs w:val="24"/>
              </w:rPr>
            </w:pPr>
          </w:p>
        </w:tc>
        <w:tc>
          <w:tcPr>
            <w:tcW w:w="1281" w:type="dxa"/>
            <w:tcBorders>
              <w:top w:val="single" w:color="auto" w:sz="4" w:space="0"/>
              <w:left w:val="single" w:color="auto" w:sz="4" w:space="0"/>
              <w:bottom w:val="single" w:color="auto" w:sz="4" w:space="0"/>
              <w:right w:val="single" w:color="auto" w:sz="4" w:space="0"/>
            </w:tcBorders>
            <w:shd w:val="clear" w:color="auto" w:fill="auto"/>
          </w:tcPr>
          <w:p w14:paraId="3FD43418">
            <w:pPr>
              <w:spacing w:before="100" w:beforeAutospacing="1" w:after="100" w:afterAutospacing="1" w:line="360" w:lineRule="auto"/>
              <w:jc w:val="both"/>
              <w:rPr>
                <w:rFonts w:ascii="Arial" w:hAnsi="Arial" w:cs="Arial"/>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FF00"/>
          </w:tcPr>
          <w:p w14:paraId="4ADF4972">
            <w:pPr>
              <w:spacing w:before="100" w:beforeAutospacing="1" w:after="100" w:afterAutospacing="1" w:line="360" w:lineRule="auto"/>
              <w:jc w:val="both"/>
              <w:rPr>
                <w:rFonts w:ascii="Arial" w:hAnsi="Arial" w:cs="Arial"/>
                <w:szCs w:val="24"/>
              </w:rPr>
            </w:pPr>
          </w:p>
        </w:tc>
        <w:tc>
          <w:tcPr>
            <w:tcW w:w="1270" w:type="dxa"/>
            <w:tcBorders>
              <w:top w:val="single" w:color="auto" w:sz="4" w:space="0"/>
              <w:left w:val="single" w:color="auto" w:sz="4" w:space="0"/>
              <w:bottom w:val="single" w:color="auto" w:sz="4" w:space="0"/>
              <w:right w:val="single" w:color="auto" w:sz="4" w:space="0"/>
            </w:tcBorders>
            <w:shd w:val="clear" w:color="auto" w:fill="FFFF00"/>
          </w:tcPr>
          <w:p w14:paraId="73117440">
            <w:pPr>
              <w:spacing w:before="100" w:beforeAutospacing="1" w:after="100" w:afterAutospacing="1" w:line="360" w:lineRule="auto"/>
              <w:jc w:val="both"/>
              <w:rPr>
                <w:rFonts w:ascii="Arial" w:hAnsi="Arial" w:cs="Arial"/>
                <w:szCs w:val="24"/>
              </w:rPr>
            </w:pPr>
          </w:p>
        </w:tc>
      </w:tr>
      <w:tr w14:paraId="7469C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DBD110">
            <w:pPr>
              <w:spacing w:line="360" w:lineRule="auto"/>
              <w:jc w:val="both"/>
              <w:rPr>
                <w:rFonts w:ascii="Arial" w:hAnsi="Arial" w:cs="Arial"/>
                <w:szCs w:val="24"/>
              </w:rPr>
            </w:pPr>
          </w:p>
        </w:tc>
        <w:tc>
          <w:tcPr>
            <w:tcW w:w="1786" w:type="dxa"/>
            <w:tcBorders>
              <w:top w:val="single" w:color="auto" w:sz="4" w:space="0"/>
              <w:left w:val="single" w:color="auto" w:sz="4" w:space="0"/>
              <w:bottom w:val="single" w:color="auto" w:sz="4" w:space="0"/>
              <w:right w:val="single" w:color="auto" w:sz="4" w:space="0"/>
            </w:tcBorders>
            <w:shd w:val="clear" w:color="auto" w:fill="auto"/>
          </w:tcPr>
          <w:p w14:paraId="15F008B0">
            <w:pPr>
              <w:spacing w:before="100" w:beforeAutospacing="1" w:after="100" w:afterAutospacing="1" w:line="360" w:lineRule="auto"/>
              <w:jc w:val="both"/>
              <w:rPr>
                <w:rFonts w:ascii="Arial" w:hAnsi="Arial" w:cs="Arial"/>
                <w:szCs w:val="24"/>
              </w:rPr>
            </w:pPr>
            <w:r>
              <w:rPr>
                <w:rFonts w:ascii="Arial" w:hAnsi="Arial" w:cs="Arial"/>
                <w:szCs w:val="24"/>
              </w:rPr>
              <w:t>MUITO BAIXO</w:t>
            </w:r>
          </w:p>
        </w:tc>
        <w:tc>
          <w:tcPr>
            <w:tcW w:w="1269" w:type="dxa"/>
            <w:tcBorders>
              <w:top w:val="single" w:color="auto" w:sz="4" w:space="0"/>
              <w:left w:val="single" w:color="auto" w:sz="4" w:space="0"/>
              <w:bottom w:val="single" w:color="auto" w:sz="4" w:space="0"/>
              <w:right w:val="single" w:color="auto" w:sz="4" w:space="0"/>
            </w:tcBorders>
            <w:shd w:val="clear" w:color="auto" w:fill="00B050"/>
          </w:tcPr>
          <w:p w14:paraId="348A126B">
            <w:pPr>
              <w:spacing w:before="100" w:beforeAutospacing="1" w:after="100" w:afterAutospacing="1" w:line="360" w:lineRule="auto"/>
              <w:jc w:val="both"/>
              <w:rPr>
                <w:rFonts w:ascii="Arial" w:hAnsi="Arial" w:cs="Arial"/>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00B050"/>
          </w:tcPr>
          <w:p w14:paraId="2FF15B7A">
            <w:pPr>
              <w:spacing w:before="100" w:beforeAutospacing="1" w:after="100" w:afterAutospacing="1" w:line="360" w:lineRule="auto"/>
              <w:jc w:val="both"/>
              <w:rPr>
                <w:rFonts w:ascii="Arial" w:hAnsi="Arial" w:cs="Arial"/>
                <w:szCs w:val="24"/>
              </w:rPr>
            </w:pPr>
          </w:p>
        </w:tc>
        <w:tc>
          <w:tcPr>
            <w:tcW w:w="1281" w:type="dxa"/>
            <w:tcBorders>
              <w:top w:val="single" w:color="auto" w:sz="4" w:space="0"/>
              <w:left w:val="single" w:color="auto" w:sz="4" w:space="0"/>
              <w:bottom w:val="single" w:color="auto" w:sz="4" w:space="0"/>
              <w:right w:val="single" w:color="auto" w:sz="4" w:space="0"/>
            </w:tcBorders>
            <w:shd w:val="clear" w:color="auto" w:fill="auto"/>
          </w:tcPr>
          <w:p w14:paraId="594F3188">
            <w:pPr>
              <w:spacing w:before="100" w:beforeAutospacing="1" w:after="100" w:afterAutospacing="1" w:line="360" w:lineRule="auto"/>
              <w:jc w:val="both"/>
              <w:rPr>
                <w:rFonts w:ascii="Arial" w:hAnsi="Arial" w:cs="Arial"/>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auto"/>
          </w:tcPr>
          <w:p w14:paraId="4E2C22EB">
            <w:pPr>
              <w:spacing w:before="100" w:beforeAutospacing="1" w:after="100" w:afterAutospacing="1" w:line="360" w:lineRule="auto"/>
              <w:jc w:val="both"/>
              <w:rPr>
                <w:rFonts w:ascii="Arial" w:hAnsi="Arial" w:cs="Arial"/>
                <w:szCs w:val="24"/>
              </w:rPr>
            </w:pPr>
          </w:p>
        </w:tc>
        <w:tc>
          <w:tcPr>
            <w:tcW w:w="1270" w:type="dxa"/>
            <w:tcBorders>
              <w:top w:val="single" w:color="auto" w:sz="4" w:space="0"/>
              <w:left w:val="single" w:color="auto" w:sz="4" w:space="0"/>
              <w:bottom w:val="single" w:color="auto" w:sz="4" w:space="0"/>
              <w:right w:val="single" w:color="auto" w:sz="4" w:space="0"/>
            </w:tcBorders>
            <w:shd w:val="clear" w:color="auto" w:fill="auto"/>
          </w:tcPr>
          <w:p w14:paraId="0E447C86">
            <w:pPr>
              <w:spacing w:before="100" w:beforeAutospacing="1" w:after="100" w:afterAutospacing="1" w:line="360" w:lineRule="auto"/>
              <w:jc w:val="both"/>
              <w:rPr>
                <w:rFonts w:ascii="Arial" w:hAnsi="Arial" w:cs="Arial"/>
                <w:szCs w:val="24"/>
              </w:rPr>
            </w:pPr>
          </w:p>
        </w:tc>
      </w:tr>
      <w:bookmarkEnd w:id="3"/>
    </w:tbl>
    <w:p w14:paraId="2806FBBD">
      <w:pPr>
        <w:suppressAutoHyphens w:val="0"/>
        <w:autoSpaceDE w:val="0"/>
        <w:autoSpaceDN w:val="0"/>
        <w:adjustRightInd w:val="0"/>
        <w:spacing w:before="100" w:after="100" w:line="360" w:lineRule="auto"/>
        <w:jc w:val="both"/>
        <w:rPr>
          <w:rFonts w:eastAsia="Calibri"/>
          <w:szCs w:val="24"/>
          <w:lang w:eastAsia="pt-BR"/>
        </w:rPr>
      </w:pPr>
    </w:p>
    <w:p w14:paraId="7B0154BE">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LEGENDA: Vermelho: Risco extremo – Amarelo: Risco alto – Branco: Risco médio e Verde: Risco baixo. </w:t>
      </w:r>
    </w:p>
    <w:p w14:paraId="7D1D01DE">
      <w:pPr>
        <w:suppressAutoHyphens w:val="0"/>
        <w:autoSpaceDE w:val="0"/>
        <w:autoSpaceDN w:val="0"/>
        <w:adjustRightInd w:val="0"/>
        <w:spacing w:line="360" w:lineRule="auto"/>
        <w:ind w:right="-1" w:firstLine="708"/>
        <w:jc w:val="both"/>
        <w:rPr>
          <w:rFonts w:eastAsia="Calibri"/>
          <w:szCs w:val="24"/>
          <w:lang w:eastAsia="pt-BR"/>
        </w:rPr>
      </w:pPr>
    </w:p>
    <w:p w14:paraId="5CDDA3CC">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XV - Posicionamento conclusivo sobre a adequação da contratação para o atendimento da necessidade a que se destina.</w:t>
      </w:r>
    </w:p>
    <w:p w14:paraId="3DE1B694">
      <w:pPr>
        <w:tabs>
          <w:tab w:val="left" w:pos="1134"/>
        </w:tabs>
        <w:suppressAutoHyphens w:val="0"/>
        <w:autoSpaceDE w:val="0"/>
        <w:autoSpaceDN w:val="0"/>
        <w:adjustRightInd w:val="0"/>
        <w:spacing w:after="200" w:line="360" w:lineRule="auto"/>
        <w:ind w:firstLine="708"/>
        <w:jc w:val="both"/>
        <w:rPr>
          <w:rFonts w:eastAsia="Calibri"/>
          <w:szCs w:val="24"/>
          <w:lang w:eastAsia="pt-BR"/>
        </w:rPr>
      </w:pPr>
      <w:r>
        <w:rPr>
          <w:rFonts w:eastAsia="Calibri"/>
          <w:szCs w:val="24"/>
          <w:lang w:eastAsia="pt-BR"/>
        </w:rPr>
        <w:t xml:space="preserve">Baseado na necessidade de suprir as demandas das Secretarias, sendo os produtos disponíveis no mercado comercial, e sendo de responsabilidade do ente municipal suprir esta demanda, buscando a economicidade e melhor vantagem para a Administração Pública Municipal, </w:t>
      </w:r>
      <w:r>
        <w:rPr>
          <w:rFonts w:eastAsia="Calibri"/>
          <w:b/>
          <w:bCs/>
          <w:szCs w:val="24"/>
          <w:lang w:eastAsia="pt-BR"/>
        </w:rPr>
        <w:t>faz-se viável</w:t>
      </w:r>
      <w:r>
        <w:rPr>
          <w:rFonts w:eastAsia="Calibri"/>
          <w:szCs w:val="24"/>
          <w:lang w:eastAsia="pt-BR"/>
        </w:rPr>
        <w:t xml:space="preserve"> </w:t>
      </w:r>
      <w:r>
        <w:rPr>
          <w:rFonts w:eastAsia="Calibri"/>
          <w:b/>
          <w:bCs/>
          <w:szCs w:val="24"/>
          <w:lang w:eastAsia="pt-BR"/>
        </w:rPr>
        <w:t>a aquisição destes produtos</w:t>
      </w:r>
      <w:r>
        <w:rPr>
          <w:rFonts w:eastAsia="Calibri"/>
          <w:szCs w:val="24"/>
          <w:lang w:eastAsia="pt-BR"/>
        </w:rPr>
        <w:t>, observando as orientações técnicas contidas neste estudo.</w:t>
      </w:r>
    </w:p>
    <w:p w14:paraId="17263412">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O presente estudo técnico preliminar foi elaborado pela seguinte equipe de planejamento da contratação:</w:t>
      </w:r>
    </w:p>
    <w:p w14:paraId="2FA84406">
      <w:pPr>
        <w:suppressAutoHyphens w:val="0"/>
        <w:autoSpaceDE w:val="0"/>
        <w:autoSpaceDN w:val="0"/>
        <w:adjustRightInd w:val="0"/>
        <w:spacing w:line="360" w:lineRule="auto"/>
        <w:ind w:right="-1"/>
        <w:jc w:val="both"/>
        <w:rPr>
          <w:rFonts w:eastAsia="Calibri"/>
          <w:szCs w:val="24"/>
          <w:lang w:eastAsia="pt-BR"/>
        </w:rPr>
      </w:pPr>
    </w:p>
    <w:p w14:paraId="65465778">
      <w:pPr>
        <w:suppressAutoHyphens w:val="0"/>
        <w:autoSpaceDE w:val="0"/>
        <w:autoSpaceDN w:val="0"/>
        <w:adjustRightInd w:val="0"/>
        <w:spacing w:line="360" w:lineRule="auto"/>
        <w:ind w:right="-1"/>
        <w:jc w:val="right"/>
        <w:rPr>
          <w:rFonts w:eastAsia="Calibri"/>
          <w:szCs w:val="24"/>
          <w:lang w:eastAsia="pt-BR"/>
        </w:rPr>
      </w:pPr>
      <w:r>
        <w:rPr>
          <w:rFonts w:eastAsia="Calibri"/>
          <w:szCs w:val="24"/>
          <w:lang w:eastAsia="pt-BR"/>
        </w:rPr>
        <w:t>Caracol 11, abril de 2025.</w:t>
      </w:r>
    </w:p>
    <w:tbl>
      <w:tblPr>
        <w:tblStyle w:val="8"/>
        <w:tblW w:w="0" w:type="auto"/>
        <w:tblInd w:w="0" w:type="dxa"/>
        <w:tblLayout w:type="fixed"/>
        <w:tblCellMar>
          <w:top w:w="0" w:type="dxa"/>
          <w:left w:w="10" w:type="dxa"/>
          <w:bottom w:w="0" w:type="dxa"/>
          <w:right w:w="10" w:type="dxa"/>
        </w:tblCellMar>
      </w:tblPr>
      <w:tblGrid>
        <w:gridCol w:w="8720"/>
      </w:tblGrid>
      <w:tr w14:paraId="750AFC97">
        <w:tblPrEx>
          <w:tblCellMar>
            <w:top w:w="0" w:type="dxa"/>
            <w:left w:w="10" w:type="dxa"/>
            <w:bottom w:w="0" w:type="dxa"/>
            <w:right w:w="10" w:type="dxa"/>
          </w:tblCellMar>
        </w:tblPrEx>
        <w:tc>
          <w:tcPr>
            <w:tcW w:w="8720" w:type="dxa"/>
            <w:tcBorders>
              <w:top w:val="nil"/>
              <w:left w:val="nil"/>
              <w:bottom w:val="nil"/>
              <w:right w:val="nil"/>
            </w:tcBorders>
          </w:tcPr>
          <w:p w14:paraId="45468231">
            <w:pPr>
              <w:tabs>
                <w:tab w:val="left" w:pos="1050"/>
                <w:tab w:val="right" w:pos="9200"/>
              </w:tabs>
              <w:suppressAutoHyphens w:val="0"/>
              <w:autoSpaceDE w:val="0"/>
              <w:autoSpaceDN w:val="0"/>
              <w:adjustRightInd w:val="0"/>
              <w:ind w:right="-567"/>
              <w:jc w:val="both"/>
              <w:rPr>
                <w:rFonts w:eastAsia="Calibri"/>
                <w:b/>
                <w:bCs/>
                <w:szCs w:val="24"/>
                <w:lang w:eastAsia="pt-BR"/>
              </w:rPr>
            </w:pPr>
          </w:p>
          <w:p w14:paraId="3CFD7648">
            <w:pPr>
              <w:tabs>
                <w:tab w:val="left" w:pos="1050"/>
                <w:tab w:val="right" w:pos="9200"/>
              </w:tabs>
              <w:suppressAutoHyphens w:val="0"/>
              <w:autoSpaceDE w:val="0"/>
              <w:autoSpaceDN w:val="0"/>
              <w:adjustRightInd w:val="0"/>
              <w:ind w:right="-567"/>
              <w:jc w:val="both"/>
              <w:rPr>
                <w:rFonts w:eastAsia="Calibri"/>
                <w:b/>
                <w:bCs/>
                <w:szCs w:val="24"/>
                <w:lang w:eastAsia="pt-BR"/>
              </w:rPr>
            </w:pPr>
            <w:r>
              <w:rPr>
                <w:rFonts w:eastAsia="Calibri"/>
                <w:b/>
                <w:bCs/>
                <w:szCs w:val="24"/>
                <w:lang w:eastAsia="pt-BR"/>
              </w:rPr>
              <w:t>Elaborado por:</w:t>
            </w:r>
          </w:p>
          <w:p w14:paraId="62AF71E2">
            <w:pPr>
              <w:tabs>
                <w:tab w:val="left" w:pos="1050"/>
                <w:tab w:val="right" w:pos="9200"/>
              </w:tabs>
              <w:suppressAutoHyphens w:val="0"/>
              <w:autoSpaceDE w:val="0"/>
              <w:autoSpaceDN w:val="0"/>
              <w:adjustRightInd w:val="0"/>
              <w:ind w:right="-567"/>
              <w:jc w:val="both"/>
              <w:rPr>
                <w:rFonts w:eastAsia="Calibri"/>
                <w:b/>
                <w:bCs/>
                <w:szCs w:val="24"/>
                <w:lang w:eastAsia="pt-BR"/>
              </w:rPr>
            </w:pPr>
            <w:r>
              <w:rPr>
                <w:rFonts w:eastAsia="Calibri"/>
                <w:b/>
                <w:bCs/>
                <w:szCs w:val="24"/>
                <w:lang w:eastAsia="pt-BR"/>
              </w:rPr>
              <w:t>______________________</w:t>
            </w:r>
          </w:p>
          <w:tbl>
            <w:tblPr>
              <w:tblStyle w:val="8"/>
              <w:tblW w:w="0" w:type="auto"/>
              <w:tblInd w:w="0" w:type="dxa"/>
              <w:tblLayout w:type="fixed"/>
              <w:tblCellMar>
                <w:top w:w="0" w:type="dxa"/>
                <w:left w:w="10" w:type="dxa"/>
                <w:bottom w:w="0" w:type="dxa"/>
                <w:right w:w="10" w:type="dxa"/>
              </w:tblCellMar>
            </w:tblPr>
            <w:tblGrid>
              <w:gridCol w:w="4621"/>
              <w:gridCol w:w="3883"/>
            </w:tblGrid>
            <w:tr w14:paraId="464B34FA">
              <w:tc>
                <w:tcPr>
                  <w:tcW w:w="4621" w:type="dxa"/>
                </w:tcPr>
                <w:p w14:paraId="7FB0E11C">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Mariane Benites Godoy </w:t>
                  </w:r>
                </w:p>
                <w:p w14:paraId="353FA223">
                  <w:pPr>
                    <w:tabs>
                      <w:tab w:val="left" w:pos="176"/>
                    </w:tabs>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Assessora adjunta da Procuradoria Jurídica</w:t>
                  </w:r>
                </w:p>
              </w:tc>
              <w:tc>
                <w:tcPr>
                  <w:tcW w:w="3883" w:type="dxa"/>
                </w:tcPr>
                <w:p w14:paraId="653BE849">
                  <w:pPr>
                    <w:suppressAutoHyphens w:val="0"/>
                    <w:autoSpaceDE w:val="0"/>
                    <w:autoSpaceDN w:val="0"/>
                    <w:adjustRightInd w:val="0"/>
                    <w:ind w:right="-567"/>
                    <w:jc w:val="both"/>
                    <w:rPr>
                      <w:rFonts w:eastAsia="Calibri"/>
                      <w:color w:val="000000"/>
                      <w:szCs w:val="24"/>
                      <w:lang w:eastAsia="pt-BR"/>
                    </w:rPr>
                  </w:pPr>
                </w:p>
              </w:tc>
            </w:tr>
          </w:tbl>
          <w:p w14:paraId="4E3C2958">
            <w:pPr>
              <w:suppressAutoHyphens w:val="0"/>
              <w:autoSpaceDE w:val="0"/>
              <w:autoSpaceDN w:val="0"/>
              <w:adjustRightInd w:val="0"/>
              <w:ind w:right="-567"/>
              <w:jc w:val="both"/>
              <w:rPr>
                <w:rFonts w:eastAsia="Calibri"/>
                <w:color w:val="000000"/>
                <w:szCs w:val="24"/>
                <w:lang w:eastAsia="pt-BR"/>
              </w:rPr>
            </w:pPr>
          </w:p>
        </w:tc>
      </w:tr>
      <w:tr w14:paraId="05A3559F">
        <w:tblPrEx>
          <w:tblCellMar>
            <w:top w:w="0" w:type="dxa"/>
            <w:left w:w="10" w:type="dxa"/>
            <w:bottom w:w="0" w:type="dxa"/>
            <w:right w:w="10" w:type="dxa"/>
          </w:tblCellMar>
        </w:tblPrEx>
        <w:tc>
          <w:tcPr>
            <w:tcW w:w="8720" w:type="dxa"/>
            <w:tcBorders>
              <w:top w:val="nil"/>
              <w:left w:val="nil"/>
              <w:bottom w:val="nil"/>
              <w:right w:val="nil"/>
            </w:tcBorders>
          </w:tcPr>
          <w:p w14:paraId="41893513">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  Matrícula: 2523</w:t>
            </w:r>
          </w:p>
          <w:p w14:paraId="47C5FC6F">
            <w:pPr>
              <w:suppressAutoHyphens w:val="0"/>
              <w:autoSpaceDE w:val="0"/>
              <w:autoSpaceDN w:val="0"/>
              <w:adjustRightInd w:val="0"/>
              <w:ind w:right="-567"/>
              <w:jc w:val="both"/>
              <w:rPr>
                <w:rFonts w:eastAsia="Calibri"/>
                <w:color w:val="000000"/>
                <w:szCs w:val="24"/>
                <w:lang w:eastAsia="pt-BR"/>
              </w:rPr>
            </w:pPr>
          </w:p>
          <w:p w14:paraId="117202B2">
            <w:pPr>
              <w:suppressAutoHyphens w:val="0"/>
              <w:autoSpaceDE w:val="0"/>
              <w:autoSpaceDN w:val="0"/>
              <w:adjustRightInd w:val="0"/>
              <w:ind w:right="-567"/>
              <w:jc w:val="both"/>
              <w:rPr>
                <w:rFonts w:eastAsia="Calibri"/>
                <w:b/>
                <w:bCs/>
                <w:color w:val="000000"/>
                <w:szCs w:val="24"/>
                <w:lang w:eastAsia="pt-BR"/>
              </w:rPr>
            </w:pPr>
            <w:r>
              <w:rPr>
                <w:rFonts w:eastAsia="Calibri"/>
                <w:b/>
                <w:bCs/>
                <w:color w:val="000000"/>
                <w:szCs w:val="24"/>
                <w:lang w:eastAsia="pt-BR"/>
              </w:rPr>
              <w:t>_______________________</w:t>
            </w:r>
          </w:p>
          <w:p w14:paraId="5DDE2E5E">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Carlos Godoy Junior</w:t>
            </w:r>
          </w:p>
          <w:p w14:paraId="2FA5C5D5">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Agente Técnico de ADM/Finanças</w:t>
            </w:r>
          </w:p>
        </w:tc>
      </w:tr>
    </w:tbl>
    <w:p w14:paraId="6618750C">
      <w:pPr>
        <w:suppressAutoHyphens w:val="0"/>
        <w:autoSpaceDE w:val="0"/>
        <w:autoSpaceDN w:val="0"/>
        <w:adjustRightInd w:val="0"/>
        <w:ind w:right="-567"/>
        <w:jc w:val="both"/>
        <w:rPr>
          <w:rFonts w:eastAsia="Calibri"/>
          <w:color w:val="000000"/>
          <w:szCs w:val="24"/>
          <w:lang w:eastAsia="pt-BR"/>
        </w:rPr>
      </w:pPr>
      <w:r>
        <w:rPr>
          <w:rFonts w:eastAsia="Calibri"/>
          <w:b/>
          <w:bCs/>
          <w:color w:val="000000"/>
          <w:szCs w:val="24"/>
          <w:lang w:eastAsia="pt-BR"/>
        </w:rPr>
        <w:t xml:space="preserve">  </w:t>
      </w:r>
      <w:r>
        <w:rPr>
          <w:rFonts w:eastAsia="Calibri"/>
          <w:color w:val="000000"/>
          <w:szCs w:val="24"/>
          <w:lang w:eastAsia="pt-BR"/>
        </w:rPr>
        <w:t>Matrícula: 177</w:t>
      </w:r>
    </w:p>
    <w:p w14:paraId="534F47B7">
      <w:pPr>
        <w:suppressAutoHyphens w:val="0"/>
        <w:autoSpaceDE w:val="0"/>
        <w:autoSpaceDN w:val="0"/>
        <w:adjustRightInd w:val="0"/>
        <w:jc w:val="both"/>
        <w:rPr>
          <w:rFonts w:eastAsia="Calibri"/>
          <w:b/>
          <w:bCs/>
          <w:szCs w:val="24"/>
          <w:lang w:eastAsia="pt-BR"/>
        </w:rPr>
      </w:pPr>
    </w:p>
    <w:p w14:paraId="237F2913">
      <w:pPr>
        <w:suppressAutoHyphens w:val="0"/>
        <w:autoSpaceDE w:val="0"/>
        <w:autoSpaceDN w:val="0"/>
        <w:adjustRightInd w:val="0"/>
        <w:jc w:val="both"/>
        <w:rPr>
          <w:rFonts w:eastAsia="Calibri"/>
          <w:b/>
          <w:bCs/>
          <w:szCs w:val="24"/>
          <w:lang w:eastAsia="pt-BR"/>
        </w:rPr>
      </w:pPr>
    </w:p>
    <w:p w14:paraId="60577F77">
      <w:pPr>
        <w:suppressAutoHyphens w:val="0"/>
        <w:autoSpaceDE w:val="0"/>
        <w:autoSpaceDN w:val="0"/>
        <w:adjustRightInd w:val="0"/>
        <w:jc w:val="both"/>
        <w:rPr>
          <w:rFonts w:eastAsia="Calibri"/>
          <w:b/>
          <w:bCs/>
          <w:szCs w:val="24"/>
          <w:lang w:eastAsia="pt-BR"/>
        </w:rPr>
      </w:pPr>
      <w:r>
        <w:rPr>
          <w:rFonts w:eastAsia="Calibri"/>
          <w:b/>
          <w:bCs/>
          <w:szCs w:val="24"/>
          <w:lang w:eastAsia="pt-BR"/>
        </w:rPr>
        <w:t>_______________________</w:t>
      </w:r>
    </w:p>
    <w:p w14:paraId="17C1CF9A">
      <w:pPr>
        <w:suppressAutoHyphens w:val="0"/>
        <w:autoSpaceDE w:val="0"/>
        <w:autoSpaceDN w:val="0"/>
        <w:adjustRightInd w:val="0"/>
        <w:ind w:left="-210" w:right="-567"/>
        <w:jc w:val="both"/>
        <w:rPr>
          <w:rFonts w:eastAsia="Calibri"/>
          <w:color w:val="000000"/>
          <w:szCs w:val="24"/>
          <w:lang w:eastAsia="pt-BR"/>
        </w:rPr>
      </w:pPr>
      <w:r>
        <w:rPr>
          <w:rFonts w:eastAsia="Calibri"/>
          <w:color w:val="000000"/>
          <w:szCs w:val="24"/>
          <w:lang w:eastAsia="pt-BR"/>
        </w:rPr>
        <w:t xml:space="preserve">    Aliny Leite Serena </w:t>
      </w:r>
    </w:p>
    <w:p w14:paraId="0145F27C">
      <w:pPr>
        <w:suppressAutoHyphens w:val="0"/>
        <w:autoSpaceDE w:val="0"/>
        <w:autoSpaceDN w:val="0"/>
        <w:adjustRightInd w:val="0"/>
        <w:ind w:left="-210" w:right="-567"/>
        <w:jc w:val="both"/>
        <w:rPr>
          <w:rFonts w:eastAsia="Calibri"/>
          <w:color w:val="000000"/>
          <w:szCs w:val="24"/>
          <w:lang w:eastAsia="pt-BR"/>
        </w:rPr>
      </w:pPr>
      <w:r>
        <w:rPr>
          <w:rFonts w:eastAsia="Calibri"/>
          <w:color w:val="000000"/>
          <w:szCs w:val="24"/>
          <w:lang w:eastAsia="pt-BR"/>
        </w:rPr>
        <w:t xml:space="preserve">    Agente Administrativo</w:t>
      </w:r>
    </w:p>
    <w:p w14:paraId="7374209D">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 Matrícula: 3636</w:t>
      </w:r>
    </w:p>
    <w:p w14:paraId="32B14746">
      <w:pPr>
        <w:suppressAutoHyphens w:val="0"/>
        <w:autoSpaceDE w:val="0"/>
        <w:autoSpaceDN w:val="0"/>
        <w:adjustRightInd w:val="0"/>
        <w:spacing w:after="200" w:line="360" w:lineRule="auto"/>
        <w:ind w:right="-1"/>
        <w:rPr>
          <w:rFonts w:eastAsia="Calibri"/>
          <w:b/>
          <w:bCs/>
          <w:szCs w:val="24"/>
          <w:lang w:eastAsia="pt-BR"/>
        </w:rPr>
      </w:pPr>
    </w:p>
    <w:p w14:paraId="2957BE47">
      <w:pPr>
        <w:suppressAutoHyphens w:val="0"/>
        <w:autoSpaceDE w:val="0"/>
        <w:autoSpaceDN w:val="0"/>
        <w:adjustRightInd w:val="0"/>
        <w:spacing w:after="200" w:line="360" w:lineRule="auto"/>
        <w:ind w:right="-1"/>
        <w:rPr>
          <w:rFonts w:eastAsia="Calibri"/>
          <w:b/>
          <w:bCs/>
          <w:szCs w:val="24"/>
          <w:lang w:eastAsia="pt-BR"/>
        </w:rPr>
      </w:pPr>
      <w:r>
        <w:rPr>
          <w:rFonts w:eastAsia="Calibri"/>
          <w:b/>
          <w:bCs/>
          <w:szCs w:val="24"/>
          <w:lang w:eastAsia="pt-BR"/>
        </w:rPr>
        <w:t>Aprovado por:</w:t>
      </w:r>
    </w:p>
    <w:tbl>
      <w:tblPr>
        <w:tblStyle w:val="8"/>
        <w:tblW w:w="0" w:type="auto"/>
        <w:tblInd w:w="0" w:type="dxa"/>
        <w:tblLayout w:type="fixed"/>
        <w:tblCellMar>
          <w:top w:w="0" w:type="dxa"/>
          <w:left w:w="10" w:type="dxa"/>
          <w:bottom w:w="0" w:type="dxa"/>
          <w:right w:w="10" w:type="dxa"/>
        </w:tblCellMar>
      </w:tblPr>
      <w:tblGrid>
        <w:gridCol w:w="4888"/>
        <w:gridCol w:w="3616"/>
      </w:tblGrid>
      <w:tr w14:paraId="09657499">
        <w:tblPrEx>
          <w:tblCellMar>
            <w:top w:w="0" w:type="dxa"/>
            <w:left w:w="10" w:type="dxa"/>
            <w:bottom w:w="0" w:type="dxa"/>
            <w:right w:w="10" w:type="dxa"/>
          </w:tblCellMar>
        </w:tblPrEx>
        <w:tc>
          <w:tcPr>
            <w:tcW w:w="4888" w:type="dxa"/>
            <w:tcBorders>
              <w:top w:val="nil"/>
              <w:left w:val="nil"/>
              <w:bottom w:val="nil"/>
              <w:right w:val="nil"/>
            </w:tcBorders>
          </w:tcPr>
          <w:p w14:paraId="262B68F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_____________________________</w:t>
            </w:r>
          </w:p>
          <w:p w14:paraId="6A665D90">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Cristina Araújo Pezzini </w:t>
            </w:r>
          </w:p>
          <w:p w14:paraId="74203FFD">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Secretária de Saúde </w:t>
            </w:r>
          </w:p>
        </w:tc>
        <w:tc>
          <w:tcPr>
            <w:tcW w:w="3616" w:type="dxa"/>
            <w:tcBorders>
              <w:top w:val="nil"/>
              <w:left w:val="nil"/>
              <w:bottom w:val="nil"/>
              <w:right w:val="nil"/>
            </w:tcBorders>
          </w:tcPr>
          <w:p w14:paraId="1443D595">
            <w:pPr>
              <w:suppressAutoHyphens w:val="0"/>
              <w:autoSpaceDE w:val="0"/>
              <w:autoSpaceDN w:val="0"/>
              <w:adjustRightInd w:val="0"/>
              <w:ind w:right="-567"/>
              <w:jc w:val="both"/>
              <w:rPr>
                <w:rFonts w:eastAsia="Calibri"/>
                <w:color w:val="000000"/>
                <w:szCs w:val="24"/>
                <w:lang w:eastAsia="pt-BR"/>
              </w:rPr>
            </w:pPr>
          </w:p>
        </w:tc>
      </w:tr>
    </w:tbl>
    <w:p w14:paraId="1436BF4B">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_____________________________</w:t>
      </w:r>
    </w:p>
    <w:p w14:paraId="13554C15">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Carlos Roberto Hespporte </w:t>
      </w:r>
    </w:p>
    <w:p w14:paraId="4A547F12">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Secretário Municipal de Agricultura</w:t>
      </w:r>
    </w:p>
    <w:p w14:paraId="269BAD48">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Pecuária e Meio Ambiente </w:t>
      </w:r>
    </w:p>
    <w:p w14:paraId="3D537188">
      <w:pPr>
        <w:suppressAutoHyphens w:val="0"/>
        <w:autoSpaceDE w:val="0"/>
        <w:autoSpaceDN w:val="0"/>
        <w:adjustRightInd w:val="0"/>
        <w:ind w:left="60" w:right="-567"/>
        <w:jc w:val="both"/>
        <w:rPr>
          <w:rFonts w:eastAsia="Calibri"/>
          <w:color w:val="000000"/>
          <w:szCs w:val="24"/>
          <w:lang w:eastAsia="pt-BR"/>
        </w:rPr>
      </w:pPr>
    </w:p>
    <w:p w14:paraId="45374818">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___________________________</w:t>
      </w:r>
    </w:p>
    <w:p w14:paraId="74D5AAD0">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Ogair Garcia Leite </w:t>
      </w:r>
    </w:p>
    <w:p w14:paraId="4406F58F">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Secretária Municipal de Assistência Social </w:t>
      </w:r>
    </w:p>
    <w:p w14:paraId="5A073C80">
      <w:pPr>
        <w:suppressAutoHyphens w:val="0"/>
        <w:autoSpaceDE w:val="0"/>
        <w:autoSpaceDN w:val="0"/>
        <w:adjustRightInd w:val="0"/>
        <w:ind w:right="-567"/>
        <w:jc w:val="both"/>
        <w:rPr>
          <w:rFonts w:eastAsia="Calibri"/>
          <w:color w:val="000000"/>
          <w:szCs w:val="24"/>
          <w:lang w:eastAsia="pt-BR"/>
        </w:rPr>
      </w:pPr>
    </w:p>
    <w:p w14:paraId="62A8D443">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____________________________</w:t>
      </w:r>
    </w:p>
    <w:p w14:paraId="01E3FF69">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Sueli Haut de Oliveira</w:t>
      </w:r>
    </w:p>
    <w:p w14:paraId="22CA164B">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Secretária Municipal de Administração e Finanças</w:t>
      </w:r>
    </w:p>
    <w:p w14:paraId="3DC60919">
      <w:pPr>
        <w:suppressAutoHyphens w:val="0"/>
        <w:autoSpaceDE w:val="0"/>
        <w:autoSpaceDN w:val="0"/>
        <w:adjustRightInd w:val="0"/>
        <w:ind w:right="-567"/>
        <w:jc w:val="both"/>
        <w:rPr>
          <w:rFonts w:eastAsia="Calibri"/>
          <w:szCs w:val="24"/>
          <w:lang w:eastAsia="pt-BR"/>
        </w:rPr>
      </w:pPr>
    </w:p>
    <w:p w14:paraId="7157EA5B">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_____________________________</w:t>
      </w:r>
    </w:p>
    <w:p w14:paraId="54C6A2F0">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Thaiz Leite de Andrade</w:t>
      </w:r>
    </w:p>
    <w:p w14:paraId="6365B105">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Secretária Municipal de Educação </w:t>
      </w:r>
    </w:p>
    <w:p w14:paraId="4F44F2DE">
      <w:pPr>
        <w:suppressAutoHyphens w:val="0"/>
        <w:autoSpaceDE w:val="0"/>
        <w:autoSpaceDN w:val="0"/>
        <w:adjustRightInd w:val="0"/>
        <w:spacing w:line="360" w:lineRule="auto"/>
        <w:ind w:right="-1"/>
        <w:jc w:val="both"/>
        <w:rPr>
          <w:rFonts w:eastAsia="Calibri"/>
          <w:b/>
          <w:bCs/>
          <w:szCs w:val="24"/>
          <w:lang w:eastAsia="pt-BR"/>
        </w:rPr>
      </w:pPr>
    </w:p>
    <w:p w14:paraId="232617A0">
      <w:pPr>
        <w:suppressAutoHyphens w:val="0"/>
        <w:autoSpaceDE w:val="0"/>
        <w:autoSpaceDN w:val="0"/>
        <w:adjustRightInd w:val="0"/>
        <w:spacing w:line="360" w:lineRule="auto"/>
        <w:ind w:right="-1"/>
        <w:jc w:val="both"/>
        <w:rPr>
          <w:rFonts w:eastAsia="Calibri"/>
          <w:b/>
          <w:bCs/>
          <w:szCs w:val="24"/>
          <w:lang w:eastAsia="pt-BR"/>
        </w:rPr>
      </w:pPr>
    </w:p>
    <w:p w14:paraId="07651AF6">
      <w:pPr>
        <w:suppressAutoHyphens w:val="0"/>
        <w:autoSpaceDE w:val="0"/>
        <w:autoSpaceDN w:val="0"/>
        <w:adjustRightInd w:val="0"/>
        <w:spacing w:line="360" w:lineRule="auto"/>
        <w:ind w:right="-1"/>
        <w:jc w:val="both"/>
        <w:rPr>
          <w:rFonts w:eastAsia="Calibri"/>
          <w:b/>
          <w:bCs/>
          <w:szCs w:val="24"/>
          <w:lang w:eastAsia="pt-BR"/>
        </w:rPr>
      </w:pPr>
    </w:p>
    <w:p w14:paraId="4CC80DEF">
      <w:pPr>
        <w:suppressAutoHyphens w:val="0"/>
        <w:autoSpaceDE w:val="0"/>
        <w:autoSpaceDN w:val="0"/>
        <w:adjustRightInd w:val="0"/>
        <w:spacing w:line="360" w:lineRule="auto"/>
        <w:ind w:right="-1"/>
        <w:jc w:val="both"/>
        <w:rPr>
          <w:rFonts w:eastAsia="Calibri"/>
          <w:b/>
          <w:bCs/>
          <w:szCs w:val="24"/>
          <w:lang w:eastAsia="pt-BR"/>
        </w:rPr>
      </w:pPr>
    </w:p>
    <w:p w14:paraId="60D57849">
      <w:pPr>
        <w:suppressAutoHyphens w:val="0"/>
        <w:autoSpaceDE w:val="0"/>
        <w:autoSpaceDN w:val="0"/>
        <w:adjustRightInd w:val="0"/>
        <w:spacing w:line="360" w:lineRule="auto"/>
        <w:ind w:right="-1"/>
        <w:jc w:val="center"/>
        <w:rPr>
          <w:rFonts w:eastAsia="Calibri"/>
          <w:b/>
          <w:bCs/>
          <w:szCs w:val="24"/>
          <w:lang w:eastAsia="pt-BR"/>
        </w:rPr>
      </w:pPr>
      <w:r>
        <w:rPr>
          <w:rFonts w:eastAsia="Calibri"/>
          <w:b/>
          <w:bCs/>
          <w:szCs w:val="24"/>
          <w:lang w:eastAsia="pt-BR"/>
        </w:rPr>
        <w:t>ANEXO I</w:t>
      </w:r>
    </w:p>
    <w:p w14:paraId="787467D3">
      <w:pPr>
        <w:suppressAutoHyphens w:val="0"/>
        <w:autoSpaceDE w:val="0"/>
        <w:autoSpaceDN w:val="0"/>
        <w:adjustRightInd w:val="0"/>
        <w:spacing w:line="360" w:lineRule="auto"/>
        <w:ind w:right="-1"/>
        <w:jc w:val="center"/>
        <w:rPr>
          <w:rFonts w:eastAsia="Calibri"/>
          <w:b/>
          <w:bCs/>
          <w:szCs w:val="24"/>
          <w:lang w:eastAsia="pt-BR"/>
        </w:rPr>
      </w:pPr>
      <w:r>
        <w:rPr>
          <w:rFonts w:eastAsia="Calibri"/>
          <w:b/>
          <w:bCs/>
          <w:szCs w:val="24"/>
          <w:lang w:eastAsia="pt-BR"/>
        </w:rPr>
        <w:t>QUANTIDADES ANTERIORES (2023)</w:t>
      </w:r>
    </w:p>
    <w:p w14:paraId="24C00BA8">
      <w:pPr>
        <w:suppressAutoHyphens w:val="0"/>
        <w:autoSpaceDE w:val="0"/>
        <w:autoSpaceDN w:val="0"/>
        <w:adjustRightInd w:val="0"/>
        <w:spacing w:line="360" w:lineRule="auto"/>
        <w:ind w:right="-1"/>
        <w:jc w:val="center"/>
        <w:rPr>
          <w:rFonts w:eastAsia="Calibri"/>
          <w:b/>
          <w:bCs/>
          <w:szCs w:val="24"/>
          <w:lang w:eastAsia="pt-BR"/>
        </w:rPr>
      </w:pPr>
    </w:p>
    <w:tbl>
      <w:tblPr>
        <w:tblStyle w:val="8"/>
        <w:tblW w:w="0" w:type="auto"/>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709"/>
        <w:gridCol w:w="6883"/>
        <w:gridCol w:w="1134"/>
        <w:gridCol w:w="1134"/>
      </w:tblGrid>
      <w:tr w14:paraId="3656869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768BE533">
            <w:pPr>
              <w:widowControl w:val="0"/>
              <w:autoSpaceDE w:val="0"/>
              <w:autoSpaceDN w:val="0"/>
              <w:adjustRightInd w:val="0"/>
              <w:spacing w:after="200" w:line="276" w:lineRule="auto"/>
              <w:jc w:val="center"/>
              <w:rPr>
                <w:rFonts w:eastAsia="Calibri"/>
                <w:b/>
                <w:bCs/>
                <w:color w:val="000000"/>
                <w:szCs w:val="24"/>
                <w:lang w:eastAsia="pt-BR"/>
              </w:rPr>
            </w:pPr>
            <w:r>
              <w:rPr>
                <w:rFonts w:eastAsia="Calibri"/>
                <w:b/>
                <w:bCs/>
                <w:color w:val="000000"/>
                <w:szCs w:val="24"/>
                <w:lang w:eastAsia="pt-BR"/>
              </w:rPr>
              <w:t>ITEM</w:t>
            </w:r>
          </w:p>
          <w:p w14:paraId="6FE4C611">
            <w:pPr>
              <w:widowControl w:val="0"/>
              <w:autoSpaceDE w:val="0"/>
              <w:autoSpaceDN w:val="0"/>
              <w:adjustRightInd w:val="0"/>
              <w:spacing w:after="200" w:line="276" w:lineRule="auto"/>
              <w:jc w:val="center"/>
              <w:rPr>
                <w:rFonts w:eastAsia="Calibri"/>
                <w:b/>
                <w:bCs/>
                <w:color w:val="000000"/>
                <w:szCs w:val="24"/>
                <w:lang w:eastAsia="pt-BR"/>
              </w:rPr>
            </w:pPr>
          </w:p>
        </w:tc>
        <w:tc>
          <w:tcPr>
            <w:tcW w:w="6883" w:type="dxa"/>
            <w:tcBorders>
              <w:top w:val="single" w:color="000000" w:sz="4" w:space="0"/>
              <w:left w:val="single" w:color="000000" w:sz="4" w:space="0"/>
              <w:bottom w:val="single" w:color="000000" w:sz="4" w:space="0"/>
              <w:right w:val="single" w:color="000000" w:sz="4" w:space="0"/>
            </w:tcBorders>
          </w:tcPr>
          <w:p w14:paraId="368F73C9">
            <w:pPr>
              <w:suppressAutoHyphens w:val="0"/>
              <w:autoSpaceDE w:val="0"/>
              <w:autoSpaceDN w:val="0"/>
              <w:adjustRightInd w:val="0"/>
              <w:spacing w:after="200" w:line="276" w:lineRule="auto"/>
              <w:jc w:val="center"/>
              <w:rPr>
                <w:rFonts w:eastAsia="Calibri"/>
                <w:b/>
                <w:bCs/>
                <w:color w:val="000000"/>
                <w:szCs w:val="24"/>
                <w:lang w:eastAsia="pt-BR"/>
              </w:rPr>
            </w:pPr>
            <w:r>
              <w:rPr>
                <w:rFonts w:eastAsia="Calibri"/>
                <w:b/>
                <w:bCs/>
                <w:color w:val="000000"/>
                <w:szCs w:val="24"/>
                <w:lang w:eastAsia="pt-BR"/>
              </w:rPr>
              <w:t>DESCRIÇÃO/</w:t>
            </w:r>
          </w:p>
          <w:p w14:paraId="3859B85E">
            <w:pPr>
              <w:widowControl w:val="0"/>
              <w:autoSpaceDE w:val="0"/>
              <w:autoSpaceDN w:val="0"/>
              <w:adjustRightInd w:val="0"/>
              <w:spacing w:after="200" w:line="276" w:lineRule="auto"/>
              <w:jc w:val="center"/>
              <w:rPr>
                <w:rFonts w:eastAsia="Calibri"/>
                <w:b/>
                <w:bCs/>
                <w:color w:val="000000"/>
                <w:szCs w:val="24"/>
                <w:lang w:eastAsia="pt-BR"/>
              </w:rPr>
            </w:pPr>
            <w:r>
              <w:rPr>
                <w:rFonts w:eastAsia="Calibri"/>
                <w:b/>
                <w:bCs/>
                <w:color w:val="000000"/>
                <w:szCs w:val="24"/>
                <w:lang w:eastAsia="pt-BR"/>
              </w:rPr>
              <w:t>ESPECIFICAÇÃO</w:t>
            </w:r>
          </w:p>
        </w:tc>
        <w:tc>
          <w:tcPr>
            <w:tcW w:w="1134" w:type="dxa"/>
            <w:tcBorders>
              <w:top w:val="single" w:color="000000" w:sz="4" w:space="0"/>
              <w:left w:val="single" w:color="000000" w:sz="4" w:space="0"/>
              <w:bottom w:val="single" w:color="000000" w:sz="4" w:space="0"/>
              <w:right w:val="single" w:color="000000" w:sz="4" w:space="0"/>
            </w:tcBorders>
          </w:tcPr>
          <w:p w14:paraId="6502B986">
            <w:pPr>
              <w:widowControl w:val="0"/>
              <w:autoSpaceDE w:val="0"/>
              <w:autoSpaceDN w:val="0"/>
              <w:adjustRightInd w:val="0"/>
              <w:spacing w:after="200" w:line="276" w:lineRule="auto"/>
              <w:jc w:val="center"/>
              <w:rPr>
                <w:rFonts w:eastAsia="Calibri"/>
                <w:b/>
                <w:bCs/>
                <w:color w:val="000000"/>
                <w:szCs w:val="24"/>
                <w:lang w:eastAsia="pt-BR"/>
              </w:rPr>
            </w:pPr>
            <w:r>
              <w:rPr>
                <w:rFonts w:eastAsia="Calibri"/>
                <w:b/>
                <w:bCs/>
                <w:color w:val="000000"/>
                <w:szCs w:val="24"/>
                <w:lang w:eastAsia="pt-BR"/>
              </w:rPr>
              <w:t>UNIDADE DE MEDIDA</w:t>
            </w:r>
          </w:p>
        </w:tc>
        <w:tc>
          <w:tcPr>
            <w:tcW w:w="1134" w:type="dxa"/>
            <w:tcBorders>
              <w:top w:val="single" w:color="000000" w:sz="4" w:space="0"/>
              <w:left w:val="single" w:color="000000" w:sz="4" w:space="0"/>
              <w:bottom w:val="single" w:color="000000" w:sz="4" w:space="0"/>
            </w:tcBorders>
          </w:tcPr>
          <w:p w14:paraId="34943F8B">
            <w:pPr>
              <w:widowControl w:val="0"/>
              <w:autoSpaceDE w:val="0"/>
              <w:autoSpaceDN w:val="0"/>
              <w:adjustRightInd w:val="0"/>
              <w:spacing w:after="200" w:line="276" w:lineRule="auto"/>
              <w:jc w:val="center"/>
              <w:rPr>
                <w:rFonts w:eastAsia="Calibri"/>
                <w:b/>
                <w:bCs/>
                <w:color w:val="000000"/>
                <w:szCs w:val="24"/>
                <w:lang w:eastAsia="pt-BR"/>
              </w:rPr>
            </w:pPr>
            <w:r>
              <w:rPr>
                <w:rFonts w:eastAsia="Calibri"/>
                <w:b/>
                <w:bCs/>
                <w:color w:val="000000"/>
                <w:szCs w:val="24"/>
                <w:lang w:eastAsia="pt-BR"/>
              </w:rPr>
              <w:t>QUANT.</w:t>
            </w:r>
          </w:p>
        </w:tc>
      </w:tr>
      <w:tr w14:paraId="6B9329D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30775469">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w:t>
            </w:r>
          </w:p>
        </w:tc>
        <w:tc>
          <w:tcPr>
            <w:tcW w:w="6883" w:type="dxa"/>
            <w:tcBorders>
              <w:top w:val="single" w:color="000000" w:sz="4" w:space="0"/>
              <w:left w:val="single" w:color="000000" w:sz="4" w:space="0"/>
              <w:bottom w:val="single" w:color="000000" w:sz="4" w:space="0"/>
              <w:right w:val="single" w:color="000000" w:sz="4" w:space="0"/>
            </w:tcBorders>
          </w:tcPr>
          <w:p w14:paraId="6CEE010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Persiana Vertical, Tam: 1.00 x 0.80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01AA754A">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03624239">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14:paraId="53F9BF1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07BA4472">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2</w:t>
            </w:r>
          </w:p>
        </w:tc>
        <w:tc>
          <w:tcPr>
            <w:tcW w:w="6883" w:type="dxa"/>
            <w:tcBorders>
              <w:top w:val="single" w:color="000000" w:sz="4" w:space="0"/>
              <w:left w:val="single" w:color="000000" w:sz="4" w:space="0"/>
              <w:bottom w:val="single" w:color="000000" w:sz="4" w:space="0"/>
              <w:right w:val="single" w:color="000000" w:sz="4" w:space="0"/>
            </w:tcBorders>
          </w:tcPr>
          <w:p w14:paraId="0FE07819">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Persiana Vertical, Tam: 1.00 x 1.00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316C10C7">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19CC76E4">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2</w:t>
            </w:r>
          </w:p>
        </w:tc>
      </w:tr>
      <w:tr w14:paraId="43A43CC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2F242939">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3</w:t>
            </w:r>
          </w:p>
        </w:tc>
        <w:tc>
          <w:tcPr>
            <w:tcW w:w="6883" w:type="dxa"/>
            <w:tcBorders>
              <w:top w:val="single" w:color="000000" w:sz="4" w:space="0"/>
              <w:left w:val="single" w:color="000000" w:sz="4" w:space="0"/>
              <w:bottom w:val="single" w:color="000000" w:sz="4" w:space="0"/>
              <w:right w:val="single" w:color="000000" w:sz="4" w:space="0"/>
            </w:tcBorders>
          </w:tcPr>
          <w:p w14:paraId="194E4A13">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Persiana Vertical, Tam: 1.00 x 1.50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6B7C70A0">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1FF98D0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2</w:t>
            </w:r>
          </w:p>
        </w:tc>
      </w:tr>
      <w:tr w14:paraId="168B6E0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0EBB9195">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4</w:t>
            </w:r>
          </w:p>
        </w:tc>
        <w:tc>
          <w:tcPr>
            <w:tcW w:w="6883" w:type="dxa"/>
            <w:tcBorders>
              <w:top w:val="single" w:color="000000" w:sz="4" w:space="0"/>
              <w:left w:val="single" w:color="000000" w:sz="4" w:space="0"/>
              <w:bottom w:val="single" w:color="000000" w:sz="4" w:space="0"/>
              <w:right w:val="single" w:color="000000" w:sz="4" w:space="0"/>
            </w:tcBorders>
          </w:tcPr>
          <w:p w14:paraId="4CCCAFF5">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Persiana Vertical, Tam: 0.40 x 2.00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638737FF">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557C245A">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2</w:t>
            </w:r>
          </w:p>
        </w:tc>
      </w:tr>
      <w:tr w14:paraId="1B8E7A7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7E09F55C">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5</w:t>
            </w:r>
          </w:p>
        </w:tc>
        <w:tc>
          <w:tcPr>
            <w:tcW w:w="6883" w:type="dxa"/>
            <w:tcBorders>
              <w:top w:val="single" w:color="000000" w:sz="4" w:space="0"/>
              <w:left w:val="single" w:color="000000" w:sz="4" w:space="0"/>
              <w:bottom w:val="single" w:color="000000" w:sz="4" w:space="0"/>
              <w:right w:val="single" w:color="000000" w:sz="4" w:space="0"/>
            </w:tcBorders>
          </w:tcPr>
          <w:p w14:paraId="5F16C84D">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Persiana Vertical, Tam: 1.60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w:t>
            </w:r>
          </w:p>
        </w:tc>
        <w:tc>
          <w:tcPr>
            <w:tcW w:w="1134" w:type="dxa"/>
            <w:tcBorders>
              <w:top w:val="single" w:color="000000" w:sz="4" w:space="0"/>
              <w:left w:val="single" w:color="000000" w:sz="4" w:space="0"/>
              <w:bottom w:val="single" w:color="000000" w:sz="4" w:space="0"/>
              <w:right w:val="single" w:color="000000" w:sz="4" w:space="0"/>
            </w:tcBorders>
          </w:tcPr>
          <w:p w14:paraId="080F11CF">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452AF1E3">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7</w:t>
            </w:r>
          </w:p>
        </w:tc>
      </w:tr>
      <w:tr w14:paraId="54B75F5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43FC06E2">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6</w:t>
            </w:r>
          </w:p>
        </w:tc>
        <w:tc>
          <w:tcPr>
            <w:tcW w:w="6883" w:type="dxa"/>
            <w:tcBorders>
              <w:top w:val="single" w:color="000000" w:sz="4" w:space="0"/>
              <w:left w:val="single" w:color="000000" w:sz="4" w:space="0"/>
              <w:bottom w:val="single" w:color="000000" w:sz="4" w:space="0"/>
              <w:right w:val="single" w:color="000000" w:sz="4" w:space="0"/>
            </w:tcBorders>
          </w:tcPr>
          <w:p w14:paraId="36A0F10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Persiana Vertical, Tam: 2.00 x 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574B8D15">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08703BEB">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14:paraId="40BF72F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19D08211">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7</w:t>
            </w:r>
          </w:p>
        </w:tc>
        <w:tc>
          <w:tcPr>
            <w:tcW w:w="6883" w:type="dxa"/>
            <w:tcBorders>
              <w:top w:val="single" w:color="000000" w:sz="4" w:space="0"/>
              <w:left w:val="single" w:color="000000" w:sz="4" w:space="0"/>
              <w:bottom w:val="single" w:color="000000" w:sz="4" w:space="0"/>
              <w:right w:val="single" w:color="000000" w:sz="4" w:space="0"/>
            </w:tcBorders>
          </w:tcPr>
          <w:p w14:paraId="6F1A7F45">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Persiana Vertical, Tam: 1.00 x 1.05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669163A3">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72A861DE">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14:paraId="076EE1B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0BA9539B">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8</w:t>
            </w:r>
          </w:p>
        </w:tc>
        <w:tc>
          <w:tcPr>
            <w:tcW w:w="6883" w:type="dxa"/>
            <w:tcBorders>
              <w:top w:val="single" w:color="000000" w:sz="4" w:space="0"/>
              <w:left w:val="single" w:color="000000" w:sz="4" w:space="0"/>
              <w:bottom w:val="single" w:color="000000" w:sz="4" w:space="0"/>
              <w:right w:val="single" w:color="000000" w:sz="4" w:space="0"/>
            </w:tcBorders>
          </w:tcPr>
          <w:p w14:paraId="79F922CB">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1.05 x 2.00 (ALTURA x LARGURA), em tecido com blackout, com tratamento antichama, largura de lâminas de no mínimo 89 mm, giratórias e retráteis para ambos os lados,</w:t>
            </w:r>
          </w:p>
          <w:p w14:paraId="65B8BC81">
            <w:pPr>
              <w:widowControl w:val="0"/>
              <w:autoSpaceDE w:val="0"/>
              <w:autoSpaceDN w:val="0"/>
              <w:adjustRightInd w:val="0"/>
              <w:spacing w:after="120" w:line="276" w:lineRule="auto"/>
              <w:rPr>
                <w:rFonts w:eastAsia="Calibri"/>
                <w:b/>
                <w:bCs/>
                <w:color w:val="000000"/>
                <w:szCs w:val="24"/>
                <w:lang w:eastAsia="pt-BR"/>
              </w:rPr>
            </w:pPr>
            <w:r>
              <w:rPr>
                <w:rFonts w:eastAsia="Calibri"/>
                <w:color w:val="000000"/>
                <w:szCs w:val="24"/>
                <w:lang w:eastAsia="pt-BR"/>
              </w:rPr>
              <w:t>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7B249D51">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46B42150">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14:paraId="5A15DCB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43D4FECB">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9</w:t>
            </w:r>
          </w:p>
        </w:tc>
        <w:tc>
          <w:tcPr>
            <w:tcW w:w="6883" w:type="dxa"/>
            <w:tcBorders>
              <w:top w:val="single" w:color="000000" w:sz="4" w:space="0"/>
              <w:left w:val="single" w:color="000000" w:sz="4" w:space="0"/>
              <w:bottom w:val="single" w:color="000000" w:sz="4" w:space="0"/>
              <w:right w:val="single" w:color="000000" w:sz="4" w:space="0"/>
            </w:tcBorders>
          </w:tcPr>
          <w:p w14:paraId="5D3F9420">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2.10 x 1.80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6B227C6B">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250C0B2F">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14:paraId="03B2B5A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13C16619">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10</w:t>
            </w:r>
          </w:p>
        </w:tc>
        <w:tc>
          <w:tcPr>
            <w:tcW w:w="6883" w:type="dxa"/>
            <w:tcBorders>
              <w:top w:val="single" w:color="000000" w:sz="4" w:space="0"/>
              <w:left w:val="single" w:color="000000" w:sz="4" w:space="0"/>
              <w:bottom w:val="single" w:color="000000" w:sz="4" w:space="0"/>
              <w:right w:val="single" w:color="000000" w:sz="4" w:space="0"/>
            </w:tcBorders>
          </w:tcPr>
          <w:p w14:paraId="7D768C1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1.10 x 1.60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47E96BB4">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60D5C350">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14:paraId="7CA3835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79EE5B44">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11</w:t>
            </w:r>
          </w:p>
        </w:tc>
        <w:tc>
          <w:tcPr>
            <w:tcW w:w="6883" w:type="dxa"/>
            <w:tcBorders>
              <w:top w:val="single" w:color="000000" w:sz="4" w:space="0"/>
              <w:left w:val="single" w:color="000000" w:sz="4" w:space="0"/>
              <w:bottom w:val="single" w:color="000000" w:sz="4" w:space="0"/>
              <w:right w:val="single" w:color="000000" w:sz="4" w:space="0"/>
            </w:tcBorders>
          </w:tcPr>
          <w:p w14:paraId="48303CFC">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2.70 x 1.60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7DA05DFE">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0C42E04C">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14:paraId="7586517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27F3C375">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12</w:t>
            </w:r>
          </w:p>
        </w:tc>
        <w:tc>
          <w:tcPr>
            <w:tcW w:w="6883" w:type="dxa"/>
            <w:tcBorders>
              <w:top w:val="single" w:color="000000" w:sz="4" w:space="0"/>
              <w:left w:val="single" w:color="000000" w:sz="4" w:space="0"/>
              <w:bottom w:val="single" w:color="000000" w:sz="4" w:space="0"/>
              <w:right w:val="single" w:color="000000" w:sz="4" w:space="0"/>
            </w:tcBorders>
            <w:vAlign w:val="center"/>
          </w:tcPr>
          <w:p w14:paraId="4D9E215E">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1.00 x 2.10 (ALTURA x LARGURA), em tecido com blackout, com tratamento</w:t>
            </w:r>
          </w:p>
          <w:p w14:paraId="4672E006">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40092DF5">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3B34D96F">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2</w:t>
            </w:r>
          </w:p>
        </w:tc>
      </w:tr>
      <w:tr w14:paraId="4B0D9CF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3CF0096A">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13</w:t>
            </w:r>
          </w:p>
        </w:tc>
        <w:tc>
          <w:tcPr>
            <w:tcW w:w="6883" w:type="dxa"/>
            <w:tcBorders>
              <w:top w:val="single" w:color="000000" w:sz="4" w:space="0"/>
              <w:left w:val="single" w:color="000000" w:sz="4" w:space="0"/>
              <w:bottom w:val="single" w:color="000000" w:sz="4" w:space="0"/>
              <w:right w:val="single" w:color="000000" w:sz="4" w:space="0"/>
            </w:tcBorders>
            <w:vAlign w:val="center"/>
          </w:tcPr>
          <w:p w14:paraId="5FA5F090">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0.90 x 1.20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7C0AA1F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3EF4A93F">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14:paraId="5CA8A55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644CA492">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14</w:t>
            </w:r>
          </w:p>
        </w:tc>
        <w:tc>
          <w:tcPr>
            <w:tcW w:w="6883" w:type="dxa"/>
            <w:tcBorders>
              <w:top w:val="single" w:color="000000" w:sz="4" w:space="0"/>
              <w:left w:val="single" w:color="000000" w:sz="4" w:space="0"/>
              <w:bottom w:val="single" w:color="000000" w:sz="4" w:space="0"/>
              <w:right w:val="single" w:color="000000" w:sz="4" w:space="0"/>
            </w:tcBorders>
            <w:vAlign w:val="center"/>
          </w:tcPr>
          <w:p w14:paraId="6B526F3F">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0.90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5482A78A">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33624974">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3</w:t>
            </w:r>
          </w:p>
        </w:tc>
      </w:tr>
      <w:tr w14:paraId="1D8280E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4CDB7E94">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15</w:t>
            </w:r>
          </w:p>
        </w:tc>
        <w:tc>
          <w:tcPr>
            <w:tcW w:w="6883" w:type="dxa"/>
            <w:tcBorders>
              <w:top w:val="single" w:color="000000" w:sz="4" w:space="0"/>
              <w:left w:val="single" w:color="000000" w:sz="4" w:space="0"/>
              <w:bottom w:val="single" w:color="000000" w:sz="4" w:space="0"/>
              <w:right w:val="single" w:color="000000" w:sz="4" w:space="0"/>
            </w:tcBorders>
            <w:vAlign w:val="center"/>
          </w:tcPr>
          <w:p w14:paraId="1B93BF4C">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0.90 x 1.44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0E1E7DAF">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42C86975">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2</w:t>
            </w:r>
          </w:p>
        </w:tc>
      </w:tr>
      <w:tr w14:paraId="0E0D679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3297D7C4">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16</w:t>
            </w:r>
          </w:p>
        </w:tc>
        <w:tc>
          <w:tcPr>
            <w:tcW w:w="6883" w:type="dxa"/>
            <w:tcBorders>
              <w:top w:val="single" w:color="000000" w:sz="4" w:space="0"/>
              <w:left w:val="single" w:color="000000" w:sz="4" w:space="0"/>
              <w:bottom w:val="single" w:color="000000" w:sz="4" w:space="0"/>
              <w:right w:val="single" w:color="000000" w:sz="4" w:space="0"/>
            </w:tcBorders>
            <w:vAlign w:val="center"/>
          </w:tcPr>
          <w:p w14:paraId="063D3660">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1.40 x 1.90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755BAEE1">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5950DBCF">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14:paraId="3F0BB24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334C126E">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17</w:t>
            </w:r>
          </w:p>
        </w:tc>
        <w:tc>
          <w:tcPr>
            <w:tcW w:w="6883" w:type="dxa"/>
            <w:tcBorders>
              <w:top w:val="single" w:color="000000" w:sz="4" w:space="0"/>
              <w:left w:val="single" w:color="000000" w:sz="4" w:space="0"/>
              <w:bottom w:val="single" w:color="000000" w:sz="4" w:space="0"/>
              <w:right w:val="single" w:color="000000" w:sz="4" w:space="0"/>
            </w:tcBorders>
            <w:vAlign w:val="center"/>
          </w:tcPr>
          <w:p w14:paraId="086BC222">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1.40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2903405C">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7CC8D120">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14:paraId="3049046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709" w:type="dxa"/>
            <w:tcBorders>
              <w:top w:val="single" w:color="000000" w:sz="4" w:space="0"/>
              <w:bottom w:val="single" w:color="000000" w:sz="4" w:space="0"/>
              <w:right w:val="single" w:color="000000" w:sz="4" w:space="0"/>
            </w:tcBorders>
          </w:tcPr>
          <w:p w14:paraId="3EC459F0">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18</w:t>
            </w:r>
          </w:p>
        </w:tc>
        <w:tc>
          <w:tcPr>
            <w:tcW w:w="6883" w:type="dxa"/>
            <w:tcBorders>
              <w:top w:val="single" w:color="000000" w:sz="4" w:space="0"/>
              <w:left w:val="single" w:color="000000" w:sz="4" w:space="0"/>
              <w:bottom w:val="single" w:color="000000" w:sz="4" w:space="0"/>
              <w:right w:val="single" w:color="000000" w:sz="4" w:space="0"/>
            </w:tcBorders>
            <w:vAlign w:val="center"/>
          </w:tcPr>
          <w:p w14:paraId="0DBB32D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1.40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color="000000" w:sz="4" w:space="0"/>
              <w:left w:val="single" w:color="000000" w:sz="4" w:space="0"/>
              <w:bottom w:val="single" w:color="000000" w:sz="4" w:space="0"/>
              <w:right w:val="single" w:color="000000" w:sz="4" w:space="0"/>
            </w:tcBorders>
          </w:tcPr>
          <w:p w14:paraId="619A3619">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color="000000" w:sz="4" w:space="0"/>
              <w:left w:val="single" w:color="000000" w:sz="4" w:space="0"/>
              <w:bottom w:val="single" w:color="000000" w:sz="4" w:space="0"/>
            </w:tcBorders>
          </w:tcPr>
          <w:p w14:paraId="741A4EAC">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4</w:t>
            </w:r>
          </w:p>
        </w:tc>
      </w:tr>
    </w:tbl>
    <w:p w14:paraId="7C3B0795">
      <w:pPr>
        <w:suppressAutoHyphens w:val="0"/>
        <w:autoSpaceDE w:val="0"/>
        <w:autoSpaceDN w:val="0"/>
        <w:adjustRightInd w:val="0"/>
        <w:spacing w:line="360" w:lineRule="auto"/>
        <w:ind w:right="-1"/>
        <w:jc w:val="both"/>
        <w:rPr>
          <w:rFonts w:eastAsia="Calibri"/>
          <w:b/>
          <w:bCs/>
          <w:szCs w:val="24"/>
          <w:lang w:eastAsia="pt-BR"/>
        </w:rPr>
      </w:pPr>
    </w:p>
    <w:p w14:paraId="7F9EDE5B">
      <w:pPr>
        <w:suppressAutoHyphens w:val="0"/>
        <w:autoSpaceDE w:val="0"/>
        <w:autoSpaceDN w:val="0"/>
        <w:adjustRightInd w:val="0"/>
        <w:spacing w:after="200" w:line="276" w:lineRule="auto"/>
        <w:rPr>
          <w:rFonts w:eastAsia="Calibri"/>
          <w:szCs w:val="24"/>
          <w:lang w:val="pt" w:eastAsia="pt-BR"/>
        </w:rPr>
      </w:pPr>
    </w:p>
    <w:p w14:paraId="2E7DD07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51E979DA">
      <w:pPr>
        <w:suppressAutoHyphens w:val="0"/>
        <w:autoSpaceDE w:val="0"/>
        <w:autoSpaceDN w:val="0"/>
        <w:adjustRightInd w:val="0"/>
        <w:spacing w:line="360" w:lineRule="auto"/>
        <w:ind w:right="-568"/>
        <w:rPr>
          <w:rFonts w:eastAsia="Calibri"/>
          <w:b/>
          <w:bCs/>
          <w:i/>
          <w:iCs/>
          <w:color w:val="000000"/>
          <w:szCs w:val="24"/>
          <w:u w:val="single"/>
          <w:lang w:eastAsia="pt-BR"/>
        </w:rPr>
      </w:pPr>
    </w:p>
    <w:p w14:paraId="32C87A0C">
      <w:pPr>
        <w:tabs>
          <w:tab w:val="left" w:pos="284"/>
          <w:tab w:val="left" w:pos="709"/>
        </w:tabs>
        <w:autoSpaceDE w:val="0"/>
        <w:snapToGrid w:val="0"/>
        <w:spacing w:before="72" w:beforeLines="30" w:after="72" w:afterLines="30"/>
        <w:ind w:right="-1"/>
        <w:rPr>
          <w:b/>
          <w:szCs w:val="24"/>
        </w:rPr>
      </w:pPr>
      <w:r>
        <w:rPr>
          <w:b/>
          <w:szCs w:val="24"/>
        </w:rPr>
        <w:t xml:space="preserve">ANEXO II </w:t>
      </w:r>
    </w:p>
    <w:p w14:paraId="4FFEF128">
      <w:pPr>
        <w:tabs>
          <w:tab w:val="left" w:pos="284"/>
          <w:tab w:val="left" w:pos="709"/>
        </w:tabs>
        <w:autoSpaceDE w:val="0"/>
        <w:snapToGrid w:val="0"/>
        <w:spacing w:before="72" w:beforeLines="30" w:after="72" w:afterLines="30"/>
        <w:ind w:right="-1"/>
        <w:jc w:val="center"/>
        <w:rPr>
          <w:b/>
          <w:szCs w:val="24"/>
        </w:rPr>
      </w:pPr>
      <w:r>
        <w:rPr>
          <w:b/>
          <w:szCs w:val="24"/>
        </w:rPr>
        <w:t>Minuta do Termo de Contrato</w:t>
      </w:r>
    </w:p>
    <w:p w14:paraId="02765A5C">
      <w:pPr>
        <w:spacing w:before="72" w:beforeLines="30" w:after="72" w:afterLines="30"/>
        <w:jc w:val="center"/>
        <w:rPr>
          <w:b/>
          <w:bCs/>
          <w:szCs w:val="24"/>
        </w:rPr>
      </w:pPr>
    </w:p>
    <w:p w14:paraId="11753233">
      <w:pPr>
        <w:spacing w:before="72" w:beforeLines="30" w:after="72" w:afterLines="30"/>
        <w:ind w:left="4962"/>
        <w:jc w:val="both"/>
        <w:rPr>
          <w:b/>
          <w:szCs w:val="24"/>
        </w:rPr>
      </w:pPr>
      <w:r>
        <w:rPr>
          <w:b/>
          <w:szCs w:val="24"/>
        </w:rPr>
        <w:t xml:space="preserve">CONTRATO ADMINISTRATIVO Nº ......../...., QUE FAZEM ENTRE SI O xxxxxxxxxxxxxxxxxxxxxxxxxxxxxxxxxxxx, E A EMPRESA .........................................................  </w:t>
      </w:r>
    </w:p>
    <w:p w14:paraId="5813798A">
      <w:pPr>
        <w:spacing w:before="72" w:beforeLines="30" w:after="72" w:afterLines="30"/>
        <w:jc w:val="both"/>
        <w:rPr>
          <w:b/>
          <w:szCs w:val="24"/>
        </w:rPr>
      </w:pPr>
    </w:p>
    <w:p w14:paraId="7E2A77A6">
      <w:pPr>
        <w:spacing w:before="72" w:beforeLines="30" w:after="72" w:afterLines="30"/>
        <w:jc w:val="both"/>
        <w:rPr>
          <w:b/>
          <w:szCs w:val="24"/>
        </w:rPr>
      </w:pPr>
      <w:r>
        <w:rPr>
          <w:szCs w:val="24"/>
        </w:rPr>
        <w:t>O Municipio de Caracol Estado de Mato Grosso do Sul</w:t>
      </w:r>
      <w:r>
        <w:rPr>
          <w:b/>
          <w:bCs/>
          <w:szCs w:val="24"/>
        </w:rPr>
        <w:t xml:space="preserve">, </w:t>
      </w:r>
      <w:r>
        <w:rPr>
          <w:bCs/>
          <w:szCs w:val="24"/>
        </w:rPr>
        <w:t>pessoa jurídica de direito público,</w:t>
      </w:r>
      <w:r>
        <w:rPr>
          <w:szCs w:val="24"/>
        </w:rPr>
        <w:t xml:space="preserve"> inscrito no CNPJ/MF sob o nº </w:t>
      </w:r>
      <w:r>
        <w:rPr>
          <w:b/>
          <w:bCs/>
          <w:szCs w:val="24"/>
        </w:rPr>
        <w:t>xxxxxxxxxxxxxxxxxxxx</w:t>
      </w:r>
      <w:r>
        <w:rPr>
          <w:szCs w:val="24"/>
        </w:rPr>
        <w:t xml:space="preserve">, com sede administrativa localizada na Avenida Libindo Ferreira Leite, 251, Centro, CEP 79.2700-000, neste ato representado pelo Secretário xxxxxxxxxxxxxxxxxxxxxxxxxx, , Sr.. Xxxxxxxxxxxxxxxxx, matricula Funcional nº xxxxxx, doravante denominado CONTRATANTE, e a empresa  XXXXXXXXXXXXXXXX, com sede na Rua xxxxxxxxxxxxx n. Xxxxxxxxxx, bairro xxxxxxxxxxxxxx cidade xxxxxxxxxxxxxxxxx, inscrita no CNPJ/MF sob o nº ............................, doravante designado CONTRATADO, neste ato representada por .................................. conforme atos constitutivos da empresa </w:t>
      </w:r>
      <w:r>
        <w:rPr>
          <w:b/>
          <w:szCs w:val="24"/>
        </w:rPr>
        <w:t>OU</w:t>
      </w:r>
      <w:r>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pPr>
        <w:pStyle w:val="60"/>
        <w:numPr>
          <w:ilvl w:val="0"/>
          <w:numId w:val="0"/>
        </w:numPr>
        <w:tabs>
          <w:tab w:val="left" w:pos="284"/>
          <w:tab w:val="clear" w:pos="567"/>
        </w:tabs>
        <w:spacing w:before="72" w:beforeLines="30" w:after="72" w:afterLines="30"/>
        <w:rPr>
          <w:rFonts w:ascii="Times New Roman" w:hAnsi="Times New Roman" w:eastAsia="Times New Roman" w:cs="Times New Roman"/>
          <w:b w:val="0"/>
          <w:bCs w:val="0"/>
          <w:color w:val="auto"/>
          <w:sz w:val="24"/>
          <w:szCs w:val="24"/>
        </w:rPr>
      </w:pPr>
    </w:p>
    <w:p w14:paraId="48B42337">
      <w:pPr>
        <w:pStyle w:val="60"/>
        <w:numPr>
          <w:ilvl w:val="0"/>
          <w:numId w:val="0"/>
        </w:numPr>
        <w:tabs>
          <w:tab w:val="left" w:pos="284"/>
          <w:tab w:val="clear" w:pos="567"/>
        </w:tabs>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41B7D5F0">
      <w:pPr>
        <w:ind w:right="-1"/>
        <w:jc w:val="both"/>
        <w:rPr>
          <w:color w:val="000000"/>
          <w:szCs w:val="24"/>
          <w:lang w:eastAsia="pt-BR"/>
        </w:rPr>
      </w:pPr>
      <w:r>
        <w:rPr>
          <w:szCs w:val="24"/>
        </w:rPr>
        <w:t>1.1 O objeto do presente instrumento é a</w:t>
      </w:r>
      <w:bookmarkStart w:id="4" w:name="_Hlk190878281"/>
      <w:r>
        <w:rPr>
          <w:szCs w:val="24"/>
        </w:rPr>
        <w:t xml:space="preserve"> </w:t>
      </w:r>
      <w:r>
        <w:rPr>
          <w:szCs w:val="24"/>
          <w:highlight w:val="yellow"/>
        </w:rPr>
        <w:t>XXXXXX</w:t>
      </w:r>
      <w:r>
        <w:rPr>
          <w:b/>
          <w:bCs/>
          <w:szCs w:val="24"/>
        </w:rPr>
        <w:t>.</w:t>
      </w:r>
      <w:bookmarkEnd w:id="4"/>
      <w:r>
        <w:rPr>
          <w:b/>
          <w:bCs/>
          <w:szCs w:val="24"/>
        </w:rPr>
        <w:t xml:space="preserve"> </w:t>
      </w:r>
      <w:r>
        <w:rPr>
          <w:szCs w:val="24"/>
        </w:rPr>
        <w:t>nas condições estabelecidas no Termo de Referência.</w:t>
      </w:r>
    </w:p>
    <w:p w14:paraId="449733AD">
      <w:pPr>
        <w:numPr>
          <w:ilvl w:val="1"/>
          <w:numId w:val="0"/>
        </w:numPr>
        <w:suppressAutoHyphens w:val="0"/>
        <w:spacing w:before="72" w:beforeLines="30" w:after="72" w:afterLines="30"/>
        <w:jc w:val="both"/>
        <w:rPr>
          <w:szCs w:val="24"/>
        </w:rPr>
      </w:pPr>
      <w:r>
        <w:rPr>
          <w:szCs w:val="24"/>
        </w:rPr>
        <w:t>1.2 São anexos a este instrumento e vinculam esta contratação, independentemente de transcrição:</w:t>
      </w:r>
    </w:p>
    <w:p w14:paraId="77A6455E">
      <w:pPr>
        <w:numPr>
          <w:ilvl w:val="2"/>
          <w:numId w:val="0"/>
        </w:numPr>
        <w:suppressAutoHyphens w:val="0"/>
        <w:spacing w:before="72" w:beforeLines="30" w:after="72" w:afterLines="30"/>
        <w:jc w:val="both"/>
        <w:rPr>
          <w:szCs w:val="24"/>
        </w:rPr>
      </w:pPr>
      <w:r>
        <w:rPr>
          <w:szCs w:val="24"/>
        </w:rPr>
        <w:t>a) O Termo de Referência e seus anexos que embasou a contratação;</w:t>
      </w:r>
    </w:p>
    <w:p w14:paraId="40C018F7">
      <w:pPr>
        <w:numPr>
          <w:ilvl w:val="2"/>
          <w:numId w:val="0"/>
        </w:numPr>
        <w:suppressAutoHyphens w:val="0"/>
        <w:spacing w:before="72" w:beforeLines="30" w:after="72" w:afterLines="30"/>
        <w:jc w:val="both"/>
        <w:rPr>
          <w:strike/>
          <w:szCs w:val="24"/>
        </w:rPr>
      </w:pPr>
      <w:r>
        <w:rPr>
          <w:szCs w:val="24"/>
        </w:rPr>
        <w:t>b) O Edital de Licitação;</w:t>
      </w:r>
    </w:p>
    <w:p w14:paraId="248A9246">
      <w:pPr>
        <w:numPr>
          <w:ilvl w:val="2"/>
          <w:numId w:val="0"/>
        </w:numPr>
        <w:suppressAutoHyphens w:val="0"/>
        <w:spacing w:before="72" w:beforeLines="30" w:after="72" w:afterLines="30"/>
        <w:jc w:val="both"/>
        <w:rPr>
          <w:szCs w:val="24"/>
        </w:rPr>
      </w:pPr>
      <w:r>
        <w:rPr>
          <w:szCs w:val="24"/>
        </w:rPr>
        <w:t>c) A Proposta do Contratado;</w:t>
      </w:r>
    </w:p>
    <w:p w14:paraId="731A5966">
      <w:pPr>
        <w:numPr>
          <w:ilvl w:val="2"/>
          <w:numId w:val="0"/>
        </w:numPr>
        <w:suppressAutoHyphens w:val="0"/>
        <w:spacing w:before="72" w:beforeLines="30" w:after="72" w:afterLines="30"/>
        <w:jc w:val="both"/>
        <w:rPr>
          <w:szCs w:val="24"/>
        </w:rPr>
      </w:pPr>
      <w:r>
        <w:rPr>
          <w:szCs w:val="24"/>
        </w:rPr>
        <w:t>d) Eventuais anexos dos documentos supracitados.</w:t>
      </w:r>
    </w:p>
    <w:p w14:paraId="54E49351">
      <w:pPr>
        <w:spacing w:before="72" w:beforeLines="30" w:after="72" w:afterLines="30"/>
        <w:jc w:val="both"/>
        <w:rPr>
          <w:szCs w:val="24"/>
        </w:rPr>
      </w:pPr>
    </w:p>
    <w:p w14:paraId="5FF46E9A">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3F440487">
      <w:pPr>
        <w:numPr>
          <w:ilvl w:val="1"/>
          <w:numId w:val="0"/>
        </w:numPr>
        <w:suppressAutoHyphens w:val="0"/>
        <w:spacing w:before="72" w:beforeLines="30" w:after="72" w:afterLines="30"/>
        <w:jc w:val="both"/>
        <w:rPr>
          <w:bCs/>
          <w:szCs w:val="24"/>
        </w:rPr>
      </w:pPr>
      <w:r>
        <w:rPr>
          <w:bCs/>
          <w:szCs w:val="24"/>
        </w:rPr>
        <w:t xml:space="preserve">2.1 O prazo de vigência da contratação é de </w:t>
      </w:r>
      <w:r>
        <w:rPr>
          <w:b/>
          <w:bCs/>
          <w:szCs w:val="24"/>
        </w:rPr>
        <w:t>12 (doze) meses</w:t>
      </w:r>
      <w:r>
        <w:rPr>
          <w:bCs/>
          <w:szCs w:val="24"/>
        </w:rPr>
        <w:t xml:space="preserve"> contados do dia util subsequente a publicação do contrato na forma do artigo 105 da Lei n° 14.133/2021 e prorrogável nos termos da lei.</w:t>
      </w:r>
    </w:p>
    <w:p w14:paraId="2F6E8F2D">
      <w:pPr>
        <w:numPr>
          <w:ilvl w:val="1"/>
          <w:numId w:val="0"/>
        </w:numPr>
        <w:suppressAutoHyphens w:val="0"/>
        <w:spacing w:before="72" w:beforeLines="30" w:after="72" w:afterLines="30"/>
        <w:jc w:val="both"/>
        <w:rPr>
          <w:b/>
          <w:szCs w:val="24"/>
        </w:rPr>
      </w:pPr>
    </w:p>
    <w:p w14:paraId="3F778CE9">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TERCEIRA – MODELOS DE EXECUÇÃO E GESTÃO CONTRATUAIS (art. 92, IV, VII e XVIII)</w:t>
      </w:r>
    </w:p>
    <w:p w14:paraId="68659F22">
      <w:pPr>
        <w:numPr>
          <w:ilvl w:val="1"/>
          <w:numId w:val="0"/>
        </w:numPr>
        <w:suppressAutoHyphens w:val="0"/>
        <w:spacing w:before="72" w:beforeLines="30" w:after="72" w:afterLines="30"/>
        <w:jc w:val="both"/>
        <w:rPr>
          <w:szCs w:val="24"/>
        </w:rPr>
      </w:pPr>
      <w:r>
        <w:rPr>
          <w:szCs w:val="24"/>
        </w:rPr>
        <w:t>3.1 O regime de execução contratual, o modelo de gestão, assim como os prazos e condições de conclusão, entrega, observação e recebimento definitivo constam no Termo de Referência, anexo a este Contrato.</w:t>
      </w:r>
    </w:p>
    <w:p w14:paraId="1D96C90D">
      <w:pPr>
        <w:numPr>
          <w:ilvl w:val="1"/>
          <w:numId w:val="0"/>
        </w:numPr>
        <w:suppressAutoHyphens w:val="0"/>
        <w:spacing w:before="72" w:beforeLines="30" w:after="72" w:afterLines="30"/>
        <w:jc w:val="both"/>
        <w:rPr>
          <w:szCs w:val="24"/>
        </w:rPr>
      </w:pPr>
    </w:p>
    <w:p w14:paraId="3CABA834">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20609A60">
      <w:pPr>
        <w:numPr>
          <w:ilvl w:val="1"/>
          <w:numId w:val="0"/>
        </w:numPr>
        <w:suppressAutoHyphens w:val="0"/>
        <w:spacing w:before="72" w:beforeLines="30" w:after="72" w:afterLines="30"/>
        <w:jc w:val="both"/>
        <w:rPr>
          <w:szCs w:val="24"/>
        </w:rPr>
      </w:pPr>
      <w:r>
        <w:rPr>
          <w:szCs w:val="24"/>
        </w:rPr>
        <w:t>4.1 Não será admitida a subcontratação do objeto contratual.</w:t>
      </w:r>
    </w:p>
    <w:p w14:paraId="350F134B">
      <w:pPr>
        <w:spacing w:before="72" w:beforeLines="30" w:after="72" w:afterLines="30"/>
        <w:jc w:val="both"/>
        <w:rPr>
          <w:szCs w:val="24"/>
        </w:rPr>
      </w:pPr>
    </w:p>
    <w:p w14:paraId="1E63E37D">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QUINTA - PAGAMENTO (art. 92, V e VI)</w:t>
      </w:r>
    </w:p>
    <w:p w14:paraId="791AF192">
      <w:pPr>
        <w:numPr>
          <w:ilvl w:val="1"/>
          <w:numId w:val="0"/>
        </w:numPr>
        <w:suppressAutoHyphens w:val="0"/>
        <w:spacing w:before="72" w:beforeLines="30" w:after="72" w:afterLines="30"/>
        <w:jc w:val="both"/>
        <w:rPr>
          <w:b/>
          <w:szCs w:val="24"/>
        </w:rPr>
      </w:pPr>
      <w:r>
        <w:rPr>
          <w:b/>
          <w:szCs w:val="24"/>
        </w:rPr>
        <w:t>PREÇO</w:t>
      </w:r>
    </w:p>
    <w:p w14:paraId="19B272F7">
      <w:pPr>
        <w:numPr>
          <w:ilvl w:val="2"/>
          <w:numId w:val="0"/>
        </w:numPr>
        <w:suppressAutoHyphens w:val="0"/>
        <w:spacing w:before="72" w:beforeLines="30" w:after="72" w:afterLines="30"/>
        <w:jc w:val="both"/>
        <w:rPr>
          <w:bCs/>
          <w:szCs w:val="24"/>
        </w:rPr>
      </w:pPr>
      <w:r>
        <w:rPr>
          <w:bCs/>
          <w:szCs w:val="24"/>
        </w:rPr>
        <w:t>5.1 O valor total da contratação é de R$.......... (.....)</w:t>
      </w:r>
    </w:p>
    <w:p w14:paraId="6DF12A32">
      <w:pPr>
        <w:numPr>
          <w:ilvl w:val="2"/>
          <w:numId w:val="0"/>
        </w:numPr>
        <w:suppressAutoHyphens w:val="0"/>
        <w:spacing w:before="72" w:beforeLines="30" w:after="72" w:afterLines="30"/>
        <w:jc w:val="both"/>
        <w:rPr>
          <w:szCs w:val="24"/>
        </w:rPr>
      </w:pPr>
      <w:r>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7ECB068">
      <w:pPr>
        <w:numPr>
          <w:ilvl w:val="1"/>
          <w:numId w:val="0"/>
        </w:numPr>
        <w:suppressAutoHyphens w:val="0"/>
        <w:spacing w:before="72" w:beforeLines="30" w:after="72" w:afterLines="30"/>
        <w:jc w:val="both"/>
        <w:rPr>
          <w:b/>
          <w:szCs w:val="24"/>
        </w:rPr>
      </w:pPr>
      <w:r>
        <w:rPr>
          <w:b/>
          <w:szCs w:val="24"/>
        </w:rPr>
        <w:t>FORMA DE PAGAMENTO</w:t>
      </w:r>
    </w:p>
    <w:p w14:paraId="2E386385">
      <w:pPr>
        <w:numPr>
          <w:ilvl w:val="2"/>
          <w:numId w:val="0"/>
        </w:numPr>
        <w:suppressAutoHyphens w:val="0"/>
        <w:spacing w:before="72" w:beforeLines="30" w:after="72" w:afterLines="30"/>
        <w:jc w:val="both"/>
        <w:rPr>
          <w:szCs w:val="24"/>
        </w:rPr>
      </w:pPr>
      <w:r>
        <w:rPr>
          <w:szCs w:val="24"/>
        </w:rPr>
        <w:t>5.3 O pagamento será realizado através de ordem bancária, para crédito em banco, agência e conta corrente indicados pelo contratado.</w:t>
      </w:r>
    </w:p>
    <w:p w14:paraId="444EA1B5">
      <w:pPr>
        <w:numPr>
          <w:ilvl w:val="2"/>
          <w:numId w:val="0"/>
        </w:numPr>
        <w:suppressAutoHyphens w:val="0"/>
        <w:spacing w:before="72" w:beforeLines="30" w:after="72" w:afterLines="30"/>
        <w:jc w:val="both"/>
        <w:rPr>
          <w:szCs w:val="24"/>
        </w:rPr>
      </w:pPr>
      <w:r>
        <w:rPr>
          <w:szCs w:val="24"/>
        </w:rPr>
        <w:t>5.4 Será considerada data do pagamento o dia em que constar como emitida a ordem bancária para pagamento.</w:t>
      </w:r>
    </w:p>
    <w:p w14:paraId="179E8608">
      <w:pPr>
        <w:numPr>
          <w:ilvl w:val="1"/>
          <w:numId w:val="0"/>
        </w:numPr>
        <w:suppressAutoHyphens w:val="0"/>
        <w:spacing w:before="72" w:beforeLines="30" w:after="72" w:afterLines="30"/>
        <w:jc w:val="both"/>
        <w:rPr>
          <w:b/>
          <w:szCs w:val="24"/>
        </w:rPr>
      </w:pPr>
      <w:r>
        <w:rPr>
          <w:b/>
          <w:szCs w:val="24"/>
        </w:rPr>
        <w:t>PRAZO DE PAGAMENTO</w:t>
      </w:r>
    </w:p>
    <w:p w14:paraId="37889C40">
      <w:pPr>
        <w:numPr>
          <w:ilvl w:val="2"/>
          <w:numId w:val="0"/>
        </w:numPr>
        <w:suppressAutoHyphens w:val="0"/>
        <w:spacing w:before="72" w:beforeLines="30" w:after="72" w:afterLines="30"/>
        <w:jc w:val="both"/>
        <w:rPr>
          <w:szCs w:val="24"/>
        </w:rPr>
      </w:pPr>
      <w:r>
        <w:rPr>
          <w:szCs w:val="24"/>
        </w:rPr>
        <w:t>5.5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0EDF17B3">
      <w:pPr>
        <w:numPr>
          <w:ilvl w:val="2"/>
          <w:numId w:val="0"/>
        </w:numPr>
        <w:suppressAutoHyphens w:val="0"/>
        <w:spacing w:before="72" w:beforeLines="30" w:after="72" w:afterLines="30"/>
        <w:jc w:val="both"/>
        <w:rPr>
          <w:szCs w:val="24"/>
        </w:rPr>
      </w:pPr>
      <w:r>
        <w:rPr>
          <w:szCs w:val="24"/>
        </w:rPr>
        <w:t>5.6 Considera-se ocorrido o recebimento da nota fiscal ou fatura quando o órgão contratante atestar a execução do objeto do contrato.</w:t>
      </w:r>
    </w:p>
    <w:p w14:paraId="1F9CD657">
      <w:pPr>
        <w:numPr>
          <w:ilvl w:val="2"/>
          <w:numId w:val="0"/>
        </w:numPr>
        <w:suppressAutoHyphens w:val="0"/>
        <w:spacing w:before="72" w:beforeLines="30" w:after="72" w:afterLines="30"/>
        <w:jc w:val="both"/>
        <w:rPr>
          <w:szCs w:val="24"/>
        </w:rPr>
      </w:pPr>
      <w:r>
        <w:rPr>
          <w:szCs w:val="24"/>
        </w:rPr>
        <w:t>5.7 No caso de atraso pelo Contratante, os valores devidos ao contratado serão atualizados monetariamente entre o termo final do prazo de pagamento até a data de sua efetiva realização, mediante aplicação do índice IPCA de correção monetária.</w:t>
      </w:r>
    </w:p>
    <w:p w14:paraId="5ED796CE">
      <w:pPr>
        <w:numPr>
          <w:ilvl w:val="1"/>
          <w:numId w:val="0"/>
        </w:numPr>
        <w:suppressAutoHyphens w:val="0"/>
        <w:spacing w:before="72" w:beforeLines="30" w:after="72" w:afterLines="30"/>
        <w:jc w:val="both"/>
        <w:rPr>
          <w:b/>
          <w:szCs w:val="24"/>
        </w:rPr>
      </w:pPr>
      <w:r>
        <w:rPr>
          <w:b/>
          <w:szCs w:val="24"/>
        </w:rPr>
        <w:t>CONDIÇÕES DE PAGAMENTO</w:t>
      </w:r>
    </w:p>
    <w:p w14:paraId="0FC13674">
      <w:pPr>
        <w:numPr>
          <w:ilvl w:val="2"/>
          <w:numId w:val="0"/>
        </w:numPr>
        <w:suppressAutoHyphens w:val="0"/>
        <w:spacing w:before="72" w:beforeLines="30" w:after="72" w:afterLines="30"/>
        <w:jc w:val="both"/>
        <w:rPr>
          <w:szCs w:val="24"/>
        </w:rPr>
      </w:pPr>
      <w:r>
        <w:rPr>
          <w:szCs w:val="24"/>
        </w:rPr>
        <w:t>5.8 A emissão da Nota Fiscal/Fatura será precedida do recebimento definitivo do objeto da contratação, conforme disposto neste instrumento e/ou no Termo de Referência.</w:t>
      </w:r>
    </w:p>
    <w:p w14:paraId="0252BCE9">
      <w:pPr>
        <w:numPr>
          <w:ilvl w:val="2"/>
          <w:numId w:val="0"/>
        </w:numPr>
        <w:suppressAutoHyphens w:val="0"/>
        <w:spacing w:before="72" w:beforeLines="30" w:after="72" w:afterLines="30"/>
        <w:jc w:val="both"/>
        <w:rPr>
          <w:szCs w:val="24"/>
        </w:rPr>
      </w:pPr>
      <w:r>
        <w:rPr>
          <w:szCs w:val="24"/>
        </w:rPr>
        <w:t>5.9 Quando houver glosa parcial do objeto, o contratante deverá comunicar a empresa para que emita a nota fiscal ou fatura com o valor exato dimensionado.</w:t>
      </w:r>
    </w:p>
    <w:p w14:paraId="3B25F609">
      <w:pPr>
        <w:numPr>
          <w:ilvl w:val="2"/>
          <w:numId w:val="0"/>
        </w:numPr>
        <w:suppressAutoHyphens w:val="0"/>
        <w:spacing w:before="72" w:beforeLines="30" w:after="72" w:afterLines="30"/>
        <w:jc w:val="both"/>
        <w:rPr>
          <w:szCs w:val="24"/>
        </w:rPr>
      </w:pPr>
      <w:r>
        <w:rPr>
          <w:szCs w:val="24"/>
        </w:rPr>
        <w:t xml:space="preserve">5.10 O setor competente para proceder o pagamento deve verificar se a Nota Fiscal ou Fatura apresentada expressa os elementos necessários e essenciais do documento, tais como: </w:t>
      </w:r>
    </w:p>
    <w:p w14:paraId="3A5C8460">
      <w:pPr>
        <w:pStyle w:val="44"/>
        <w:numPr>
          <w:ilvl w:val="0"/>
          <w:numId w:val="6"/>
        </w:numPr>
        <w:suppressAutoHyphens w:val="0"/>
        <w:spacing w:before="72" w:beforeLines="30" w:after="72" w:afterLines="30"/>
        <w:ind w:left="0" w:firstLine="0"/>
        <w:jc w:val="both"/>
        <w:rPr>
          <w:szCs w:val="24"/>
        </w:rPr>
      </w:pPr>
      <w:r>
        <w:rPr>
          <w:szCs w:val="24"/>
        </w:rPr>
        <w:t xml:space="preserve">o prazo de validade; </w:t>
      </w:r>
    </w:p>
    <w:p w14:paraId="0A4F1DD6">
      <w:pPr>
        <w:pStyle w:val="44"/>
        <w:numPr>
          <w:ilvl w:val="0"/>
          <w:numId w:val="6"/>
        </w:numPr>
        <w:suppressAutoHyphens w:val="0"/>
        <w:spacing w:before="72" w:beforeLines="30" w:after="72" w:afterLines="30"/>
        <w:ind w:left="0" w:firstLine="0"/>
        <w:jc w:val="both"/>
        <w:rPr>
          <w:szCs w:val="24"/>
        </w:rPr>
      </w:pPr>
      <w:r>
        <w:rPr>
          <w:szCs w:val="24"/>
        </w:rPr>
        <w:t xml:space="preserve">a data da emissão; </w:t>
      </w:r>
    </w:p>
    <w:p w14:paraId="18384EBF">
      <w:pPr>
        <w:pStyle w:val="44"/>
        <w:numPr>
          <w:ilvl w:val="0"/>
          <w:numId w:val="6"/>
        </w:numPr>
        <w:suppressAutoHyphens w:val="0"/>
        <w:spacing w:before="72" w:beforeLines="30" w:after="72" w:afterLines="30"/>
        <w:ind w:left="0" w:firstLine="0"/>
        <w:jc w:val="both"/>
        <w:rPr>
          <w:szCs w:val="24"/>
        </w:rPr>
      </w:pPr>
      <w:r>
        <w:rPr>
          <w:szCs w:val="24"/>
        </w:rPr>
        <w:t xml:space="preserve">os dados do contrato e do órgão contratante; </w:t>
      </w:r>
    </w:p>
    <w:p w14:paraId="4331AB1C">
      <w:pPr>
        <w:pStyle w:val="44"/>
        <w:numPr>
          <w:ilvl w:val="0"/>
          <w:numId w:val="6"/>
        </w:numPr>
        <w:suppressAutoHyphens w:val="0"/>
        <w:spacing w:before="72" w:beforeLines="30" w:after="72" w:afterLines="30"/>
        <w:ind w:left="0" w:firstLine="0"/>
        <w:jc w:val="both"/>
        <w:rPr>
          <w:szCs w:val="24"/>
        </w:rPr>
      </w:pPr>
      <w:r>
        <w:rPr>
          <w:szCs w:val="24"/>
        </w:rPr>
        <w:t>o período respectivo de execução do contrato;</w:t>
      </w:r>
    </w:p>
    <w:p w14:paraId="637E3413">
      <w:pPr>
        <w:pStyle w:val="44"/>
        <w:numPr>
          <w:ilvl w:val="0"/>
          <w:numId w:val="6"/>
        </w:numPr>
        <w:suppressAutoHyphens w:val="0"/>
        <w:spacing w:before="72" w:beforeLines="30" w:after="72" w:afterLines="30"/>
        <w:ind w:left="0" w:firstLine="0"/>
        <w:jc w:val="both"/>
        <w:rPr>
          <w:szCs w:val="24"/>
        </w:rPr>
      </w:pPr>
      <w:r>
        <w:rPr>
          <w:szCs w:val="24"/>
        </w:rPr>
        <w:t xml:space="preserve">o valor a pagar; e </w:t>
      </w:r>
    </w:p>
    <w:p w14:paraId="7BA0B41C">
      <w:pPr>
        <w:pStyle w:val="44"/>
        <w:numPr>
          <w:ilvl w:val="0"/>
          <w:numId w:val="6"/>
        </w:numPr>
        <w:suppressAutoHyphens w:val="0"/>
        <w:spacing w:before="72" w:beforeLines="30" w:after="72" w:afterLines="30"/>
        <w:ind w:left="0" w:firstLine="0"/>
        <w:jc w:val="both"/>
        <w:rPr>
          <w:szCs w:val="24"/>
        </w:rPr>
      </w:pPr>
      <w:r>
        <w:rPr>
          <w:szCs w:val="24"/>
        </w:rPr>
        <w:t>eventual destaque do valor de retenções tributárias cabíveis.</w:t>
      </w:r>
    </w:p>
    <w:p w14:paraId="5F2A95FF">
      <w:pPr>
        <w:numPr>
          <w:ilvl w:val="2"/>
          <w:numId w:val="0"/>
        </w:numPr>
        <w:suppressAutoHyphens w:val="0"/>
        <w:spacing w:before="72" w:beforeLines="30" w:after="72" w:afterLines="30"/>
        <w:jc w:val="both"/>
        <w:rPr>
          <w:szCs w:val="24"/>
        </w:rPr>
      </w:pPr>
      <w:r>
        <w:rPr>
          <w:szCs w:val="24"/>
        </w:rPr>
        <w:t>5.11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pPr>
        <w:numPr>
          <w:ilvl w:val="2"/>
          <w:numId w:val="0"/>
        </w:numPr>
        <w:suppressAutoHyphens w:val="0"/>
        <w:spacing w:before="72" w:beforeLines="30" w:after="72" w:afterLines="30"/>
        <w:jc w:val="both"/>
        <w:rPr>
          <w:szCs w:val="24"/>
        </w:rPr>
      </w:pPr>
      <w:r>
        <w:rPr>
          <w:szCs w:val="24"/>
        </w:rPr>
        <w:t xml:space="preserve">5.12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pPr>
        <w:numPr>
          <w:ilvl w:val="2"/>
          <w:numId w:val="0"/>
        </w:numPr>
        <w:suppressAutoHyphens w:val="0"/>
        <w:spacing w:before="72" w:beforeLines="30" w:after="72" w:afterLines="30"/>
        <w:jc w:val="both"/>
        <w:rPr>
          <w:szCs w:val="24"/>
        </w:rPr>
      </w:pPr>
      <w:r>
        <w:rPr>
          <w:szCs w:val="24"/>
        </w:rPr>
        <w:t>5.13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pPr>
        <w:numPr>
          <w:ilvl w:val="2"/>
          <w:numId w:val="0"/>
        </w:numPr>
        <w:suppressAutoHyphens w:val="0"/>
        <w:spacing w:before="72" w:beforeLines="30" w:after="72" w:afterLines="30"/>
        <w:jc w:val="both"/>
        <w:rPr>
          <w:szCs w:val="24"/>
        </w:rPr>
      </w:pPr>
      <w:r>
        <w:rPr>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pPr>
        <w:numPr>
          <w:ilvl w:val="2"/>
          <w:numId w:val="0"/>
        </w:numPr>
        <w:suppressAutoHyphens w:val="0"/>
        <w:spacing w:before="72" w:beforeLines="30" w:after="72" w:afterLines="30"/>
        <w:jc w:val="both"/>
        <w:rPr>
          <w:szCs w:val="24"/>
        </w:rPr>
      </w:pPr>
      <w:r>
        <w:rPr>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pPr>
        <w:numPr>
          <w:ilvl w:val="2"/>
          <w:numId w:val="0"/>
        </w:numPr>
        <w:suppressAutoHyphens w:val="0"/>
        <w:spacing w:before="72" w:beforeLines="30" w:after="72" w:afterLines="30"/>
        <w:jc w:val="both"/>
        <w:rPr>
          <w:szCs w:val="24"/>
        </w:rPr>
      </w:pPr>
      <w:r>
        <w:rPr>
          <w:szCs w:val="24"/>
        </w:rPr>
        <w:t xml:space="preserve">5.16 Persistindo a irregularidade, o contratante deverá adotar as medidas necessárias à rescisão contratual nos autos do processo administrativo correspondente, assegurada ao contratado a ampla defesa. </w:t>
      </w:r>
    </w:p>
    <w:p w14:paraId="61071D11">
      <w:pPr>
        <w:numPr>
          <w:ilvl w:val="2"/>
          <w:numId w:val="0"/>
        </w:numPr>
        <w:suppressAutoHyphens w:val="0"/>
        <w:spacing w:before="72" w:beforeLines="30" w:after="72" w:afterLines="30"/>
        <w:jc w:val="both"/>
        <w:rPr>
          <w:szCs w:val="24"/>
        </w:rPr>
      </w:pPr>
      <w:r>
        <w:rPr>
          <w:szCs w:val="24"/>
        </w:rPr>
        <w:t xml:space="preserve">5.17 Havendo a efetiva execução do objeto, os pagamentos serão realizados normalmente, até que se decida pela rescisão do contrato, caso o contratado não regularize sua situação junto ao SICAF.  </w:t>
      </w:r>
    </w:p>
    <w:p w14:paraId="68F2F1B6">
      <w:pPr>
        <w:numPr>
          <w:ilvl w:val="2"/>
          <w:numId w:val="0"/>
        </w:numPr>
        <w:suppressAutoHyphens w:val="0"/>
        <w:spacing w:before="72" w:beforeLines="30" w:after="72" w:afterLines="30"/>
        <w:jc w:val="both"/>
        <w:rPr>
          <w:szCs w:val="24"/>
        </w:rPr>
      </w:pPr>
      <w:r>
        <w:rPr>
          <w:szCs w:val="24"/>
        </w:rPr>
        <w:t>5.18 Quando do pagamento, será efetuada a retenção tributária prevista na legislação aplicável.</w:t>
      </w:r>
    </w:p>
    <w:p w14:paraId="4B2FB978">
      <w:pPr>
        <w:numPr>
          <w:ilvl w:val="3"/>
          <w:numId w:val="0"/>
        </w:numPr>
        <w:suppressAutoHyphens w:val="0"/>
        <w:spacing w:before="72" w:beforeLines="30" w:after="72" w:afterLines="30"/>
        <w:jc w:val="both"/>
        <w:rPr>
          <w:szCs w:val="24"/>
        </w:rPr>
      </w:pPr>
      <w:r>
        <w:rPr>
          <w:szCs w:val="24"/>
        </w:rPr>
        <w:t>5.19 Independentemente do percentual de tributo inserido na planilha, no pagamento serão retidos na fonte os percentuais estabelecidos na legislação vigente.</w:t>
      </w:r>
    </w:p>
    <w:p w14:paraId="00EB0F15">
      <w:pPr>
        <w:numPr>
          <w:ilvl w:val="2"/>
          <w:numId w:val="0"/>
        </w:numPr>
        <w:suppressAutoHyphens w:val="0"/>
        <w:spacing w:before="72" w:beforeLines="30" w:after="72" w:afterLines="30"/>
        <w:jc w:val="both"/>
        <w:rPr>
          <w:szCs w:val="24"/>
        </w:rPr>
      </w:pPr>
      <w:r>
        <w:rPr>
          <w:szCs w:val="24"/>
        </w:rPr>
        <w:t>5.20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pPr>
        <w:spacing w:before="72" w:beforeLines="30" w:after="72" w:afterLines="30"/>
        <w:jc w:val="both"/>
        <w:rPr>
          <w:szCs w:val="24"/>
        </w:rPr>
      </w:pPr>
    </w:p>
    <w:p w14:paraId="3DF25640">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SEXTA – REAJUSTE E REVISÃO DE PREÇOS (REALINHAMENTO) (art. 92)</w:t>
      </w:r>
    </w:p>
    <w:p w14:paraId="14E39FCE">
      <w:pPr>
        <w:pStyle w:val="60"/>
        <w:numPr>
          <w:ilvl w:val="0"/>
          <w:numId w:val="0"/>
        </w:numPr>
        <w:spacing w:before="72" w:beforeLines="30" w:after="72" w:afterLines="30"/>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7B767168">
      <w:pPr>
        <w:numPr>
          <w:ilvl w:val="1"/>
          <w:numId w:val="0"/>
        </w:numPr>
        <w:suppressAutoHyphens w:val="0"/>
        <w:spacing w:before="72" w:beforeLines="30" w:after="72" w:afterLines="30"/>
        <w:jc w:val="both"/>
        <w:rPr>
          <w:szCs w:val="24"/>
        </w:rPr>
      </w:pPr>
      <w:r>
        <w:rPr>
          <w:szCs w:val="24"/>
        </w:rPr>
        <w:t>6.1.1 Os preços inicialmente contratados são fixos e irreajustáveis no prazo de um ano contado da data de aceite da proposta pela Administração.</w:t>
      </w:r>
    </w:p>
    <w:p w14:paraId="09E99F3E">
      <w:pPr>
        <w:numPr>
          <w:ilvl w:val="1"/>
          <w:numId w:val="0"/>
        </w:numPr>
        <w:suppressAutoHyphens w:val="0"/>
        <w:spacing w:before="72" w:beforeLines="30" w:after="72" w:afterLines="30"/>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pPr>
        <w:numPr>
          <w:ilvl w:val="1"/>
          <w:numId w:val="0"/>
        </w:numPr>
        <w:suppressAutoHyphens w:val="0"/>
        <w:spacing w:before="72" w:beforeLines="30" w:after="72" w:afterLines="30"/>
        <w:jc w:val="both"/>
        <w:rPr>
          <w:szCs w:val="24"/>
        </w:rPr>
      </w:pPr>
      <w:r>
        <w:rPr>
          <w:szCs w:val="24"/>
        </w:rPr>
        <w:t>6.1.3 Nos reajustes subsequentes ao primeiro, o interregno mínimo de um ano será contado a partir dos efeitos financeiros do último reajuste.</w:t>
      </w:r>
    </w:p>
    <w:p w14:paraId="17DFC213">
      <w:pPr>
        <w:numPr>
          <w:ilvl w:val="1"/>
          <w:numId w:val="0"/>
        </w:numPr>
        <w:suppressAutoHyphens w:val="0"/>
        <w:spacing w:before="72" w:beforeLines="30" w:after="72" w:afterLines="30"/>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pPr>
        <w:numPr>
          <w:ilvl w:val="1"/>
          <w:numId w:val="0"/>
        </w:numPr>
        <w:suppressAutoHyphens w:val="0"/>
        <w:spacing w:before="72" w:beforeLines="30" w:after="72" w:afterLines="30"/>
        <w:jc w:val="both"/>
        <w:rPr>
          <w:szCs w:val="24"/>
        </w:rPr>
      </w:pPr>
      <w:r>
        <w:rPr>
          <w:szCs w:val="24"/>
        </w:rPr>
        <w:t>6.1.5 Nas aferições finais, o(s) índice(s) utilizado(s) para reajuste será(ão), obrigatoriamente, o(s) definitivo(s).</w:t>
      </w:r>
    </w:p>
    <w:p w14:paraId="6E08022F">
      <w:pPr>
        <w:numPr>
          <w:ilvl w:val="1"/>
          <w:numId w:val="0"/>
        </w:numPr>
        <w:suppressAutoHyphens w:val="0"/>
        <w:spacing w:before="72" w:beforeLines="30" w:after="72" w:afterLines="30"/>
        <w:jc w:val="both"/>
        <w:rPr>
          <w:szCs w:val="24"/>
        </w:rPr>
      </w:pPr>
      <w:r>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pPr>
        <w:numPr>
          <w:ilvl w:val="1"/>
          <w:numId w:val="0"/>
        </w:numPr>
        <w:suppressAutoHyphens w:val="0"/>
        <w:spacing w:before="72" w:beforeLines="30" w:after="72" w:afterLines="30"/>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335B2DDB">
      <w:pPr>
        <w:suppressAutoHyphens w:val="0"/>
        <w:spacing w:before="72" w:beforeLines="30" w:after="72" w:afterLines="30"/>
        <w:jc w:val="both"/>
        <w:rPr>
          <w:szCs w:val="24"/>
          <w:lang w:eastAsia="pt-BR"/>
        </w:rPr>
      </w:pPr>
      <w:r>
        <w:rPr>
          <w:szCs w:val="24"/>
        </w:rPr>
        <w:t>6.1.8 O reajuste será realizado por apostilamento.</w:t>
      </w:r>
    </w:p>
    <w:p w14:paraId="4BFAFDBB">
      <w:pPr>
        <w:pStyle w:val="44"/>
        <w:suppressAutoHyphens w:val="0"/>
        <w:spacing w:before="72" w:beforeLines="30" w:after="72" w:afterLines="30"/>
        <w:ind w:left="0"/>
        <w:jc w:val="both"/>
        <w:rPr>
          <w:b/>
          <w:szCs w:val="24"/>
        </w:rPr>
      </w:pPr>
      <w:r>
        <w:rPr>
          <w:b/>
          <w:szCs w:val="24"/>
        </w:rPr>
        <w:t>6.2 Da revisão de preços (realinhamento).</w:t>
      </w:r>
    </w:p>
    <w:p w14:paraId="76E4BA3C">
      <w:pPr>
        <w:pStyle w:val="44"/>
        <w:suppressAutoHyphens w:val="0"/>
        <w:spacing w:before="72" w:beforeLines="30" w:after="72" w:afterLines="30"/>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3FC97EB1">
      <w:pPr>
        <w:jc w:val="both"/>
        <w:rPr>
          <w:szCs w:val="24"/>
        </w:rPr>
      </w:pPr>
      <w:r>
        <w:rPr>
          <w:szCs w:val="24"/>
        </w:rPr>
        <w:t xml:space="preserve">6.2.2 O pedido de realinhamento deverá ser feito por escrito e protocolado de forma física ou digital – email: </w:t>
      </w:r>
      <w:r>
        <w:rPr>
          <w:b/>
          <w:szCs w:val="24"/>
        </w:rPr>
        <w:t>licitacao@pmcaracol.ms.gov.br</w:t>
      </w:r>
      <w:r>
        <w:rPr>
          <w:szCs w:val="24"/>
        </w:rPr>
        <w:t>).</w:t>
      </w:r>
    </w:p>
    <w:p w14:paraId="300E1F8C">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28DD1022">
      <w:pPr>
        <w:jc w:val="both"/>
        <w:rPr>
          <w:szCs w:val="24"/>
        </w:rPr>
      </w:pPr>
      <w:r>
        <w:rPr>
          <w:szCs w:val="24"/>
        </w:rPr>
        <w:t xml:space="preserve">6.2.4 O realinhamento de preços será analisado em até 05 (cinco) dias, contados da data de seu protocolo (físico ou digital-email: </w:t>
      </w:r>
      <w:r>
        <w:rPr>
          <w:b/>
          <w:szCs w:val="24"/>
        </w:rPr>
        <w:t>licitacao@pmcaracol.ms.gov.br</w:t>
      </w:r>
      <w:r>
        <w:rPr>
          <w:szCs w:val="24"/>
        </w:rPr>
        <w:t>).</w:t>
      </w:r>
    </w:p>
    <w:p w14:paraId="43C0ACC3">
      <w:pPr>
        <w:numPr>
          <w:ilvl w:val="2"/>
          <w:numId w:val="0"/>
        </w:numPr>
        <w:suppressAutoHyphens w:val="0"/>
        <w:spacing w:before="72" w:beforeLines="30" w:after="72" w:afterLines="30"/>
        <w:jc w:val="both"/>
        <w:rPr>
          <w:szCs w:val="24"/>
        </w:rPr>
      </w:pPr>
      <w:r>
        <w:rPr>
          <w:szCs w:val="24"/>
        </w:rPr>
        <w:t>6.2.4.1 Havendo erro na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51B08876">
      <w:pPr>
        <w:jc w:val="both"/>
        <w:rPr>
          <w:szCs w:val="24"/>
        </w:rPr>
      </w:pPr>
      <w:r>
        <w:rPr>
          <w:szCs w:val="24"/>
        </w:rPr>
        <w:t>6.2.4.2 o prazo de análise do realinhamento previsto no subitem anterior poderá ser prorrogado em casos de objeto com índices de análise complexos.</w:t>
      </w:r>
    </w:p>
    <w:p w14:paraId="7C6FE59D">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p>
    <w:p w14:paraId="6BC8B490">
      <w:pPr>
        <w:spacing w:before="72" w:beforeLines="30" w:after="72" w:afterLines="30"/>
        <w:jc w:val="both"/>
        <w:rPr>
          <w:szCs w:val="24"/>
          <w:lang w:eastAsia="pt-BR"/>
        </w:rPr>
      </w:pPr>
    </w:p>
    <w:p w14:paraId="0DC3F452">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SÉTIMA- OBRIGAÇÕES DO CONTRATANTE (art. 92, X, XI e XIV)</w:t>
      </w:r>
    </w:p>
    <w:p w14:paraId="3180B8F1">
      <w:pPr>
        <w:numPr>
          <w:ilvl w:val="1"/>
          <w:numId w:val="0"/>
        </w:numPr>
        <w:suppressAutoHyphens w:val="0"/>
        <w:spacing w:before="72" w:beforeLines="30" w:after="72" w:afterLines="30"/>
        <w:jc w:val="both"/>
        <w:rPr>
          <w:b/>
          <w:szCs w:val="24"/>
        </w:rPr>
      </w:pPr>
      <w:r>
        <w:rPr>
          <w:szCs w:val="24"/>
        </w:rPr>
        <w:t>7.1 São obrigações do Contratante:</w:t>
      </w:r>
    </w:p>
    <w:p w14:paraId="3243D682">
      <w:pPr>
        <w:numPr>
          <w:ilvl w:val="2"/>
          <w:numId w:val="0"/>
        </w:numPr>
        <w:suppressAutoHyphens w:val="0"/>
        <w:spacing w:before="72" w:beforeLines="30" w:after="72" w:afterLines="30"/>
        <w:jc w:val="both"/>
        <w:rPr>
          <w:b/>
          <w:szCs w:val="24"/>
        </w:rPr>
      </w:pPr>
      <w:r>
        <w:rPr>
          <w:szCs w:val="24"/>
        </w:rPr>
        <w:t>7.1.1 Exigir o cumprimento de todas as obrigações assumidas pelo Contratado, de acordo com o contrato e seus anexos;</w:t>
      </w:r>
    </w:p>
    <w:p w14:paraId="6F8914B6">
      <w:pPr>
        <w:numPr>
          <w:ilvl w:val="2"/>
          <w:numId w:val="0"/>
        </w:numPr>
        <w:suppressAutoHyphens w:val="0"/>
        <w:spacing w:before="72" w:beforeLines="30" w:after="72" w:afterLines="30"/>
        <w:jc w:val="both"/>
        <w:rPr>
          <w:b/>
          <w:szCs w:val="24"/>
        </w:rPr>
      </w:pPr>
      <w:r>
        <w:rPr>
          <w:szCs w:val="24"/>
        </w:rPr>
        <w:t>7.1.2 Receber o objeto no prazo e condições estabelecidas no Termo de Referência;</w:t>
      </w:r>
    </w:p>
    <w:p w14:paraId="78EC8200">
      <w:pPr>
        <w:numPr>
          <w:ilvl w:val="2"/>
          <w:numId w:val="0"/>
        </w:numPr>
        <w:suppressAutoHyphens w:val="0"/>
        <w:spacing w:before="72" w:beforeLines="30" w:after="72" w:afterLines="30"/>
        <w:jc w:val="both"/>
        <w:rPr>
          <w:b/>
          <w:szCs w:val="24"/>
        </w:rPr>
      </w:pPr>
      <w:r>
        <w:rPr>
          <w:szCs w:val="24"/>
        </w:rPr>
        <w:t>7.1.3 Notificar o Contratado, por escrito, sobre vícios, defeitos ou incorreções verificadas no objeto fornecido, para que seja por ele substituído, reparado ou corrigido, no total ou em parte, às suas expensas;</w:t>
      </w:r>
    </w:p>
    <w:p w14:paraId="24442BD1">
      <w:pPr>
        <w:numPr>
          <w:ilvl w:val="2"/>
          <w:numId w:val="0"/>
        </w:numPr>
        <w:suppressAutoHyphens w:val="0"/>
        <w:spacing w:before="72" w:beforeLines="30" w:after="72" w:afterLines="30"/>
        <w:jc w:val="both"/>
        <w:rPr>
          <w:b/>
          <w:szCs w:val="24"/>
        </w:rPr>
      </w:pPr>
      <w:r>
        <w:rPr>
          <w:szCs w:val="24"/>
        </w:rPr>
        <w:t>7.1.4 Acompanhar e fiscalizar a execução do contrato e o cumprimento das obrigações pelo Contratado;</w:t>
      </w:r>
    </w:p>
    <w:p w14:paraId="6651C777">
      <w:pPr>
        <w:numPr>
          <w:ilvl w:val="2"/>
          <w:numId w:val="0"/>
        </w:numPr>
        <w:suppressAutoHyphens w:val="0"/>
        <w:spacing w:before="72" w:beforeLines="30" w:after="72" w:afterLines="30"/>
        <w:jc w:val="both"/>
        <w:rPr>
          <w:b/>
          <w:szCs w:val="24"/>
        </w:rPr>
      </w:pPr>
      <w:r>
        <w:rPr>
          <w:szCs w:val="24"/>
        </w:rPr>
        <w:t>7.1.5 Efetuar o pagamento ao Contratado do valor correspondente ao fornecimento do objeto, no prazo, forma e condições estabelecidos no presente Contrato;</w:t>
      </w:r>
    </w:p>
    <w:p w14:paraId="6A5E1890">
      <w:pPr>
        <w:numPr>
          <w:ilvl w:val="2"/>
          <w:numId w:val="0"/>
        </w:numPr>
        <w:suppressAutoHyphens w:val="0"/>
        <w:spacing w:before="72" w:beforeLines="30" w:after="72" w:afterLines="30"/>
        <w:jc w:val="both"/>
        <w:rPr>
          <w:b/>
          <w:szCs w:val="24"/>
        </w:rPr>
      </w:pPr>
      <w:r>
        <w:rPr>
          <w:bCs/>
          <w:szCs w:val="24"/>
        </w:rPr>
        <w:t>7.1.6 Aplicar ao Contratado sanções motivadas pela inexecução total ou parcial do Contrato;</w:t>
      </w:r>
    </w:p>
    <w:p w14:paraId="36E14193">
      <w:pPr>
        <w:numPr>
          <w:ilvl w:val="2"/>
          <w:numId w:val="0"/>
        </w:numPr>
        <w:suppressAutoHyphens w:val="0"/>
        <w:spacing w:before="72" w:beforeLines="30" w:after="72" w:afterLines="30"/>
        <w:jc w:val="both"/>
        <w:rPr>
          <w:szCs w:val="24"/>
        </w:rPr>
      </w:pPr>
      <w:r>
        <w:rPr>
          <w:szCs w:val="24"/>
        </w:rPr>
        <w:t xml:space="preserve">7.1.7 Cientificar o </w:t>
      </w:r>
      <w:r>
        <w:rPr>
          <w:bCs/>
          <w:szCs w:val="24"/>
        </w:rPr>
        <w:t>órgão</w:t>
      </w:r>
      <w:r>
        <w:rPr>
          <w:szCs w:val="24"/>
        </w:rPr>
        <w:t xml:space="preserve"> de representação judicial da Advocacia-Geral da União para adoção das medidas cabíveis quando do descumprimento de obrigações pelo Contratado;</w:t>
      </w:r>
    </w:p>
    <w:p w14:paraId="7A9D8881">
      <w:pPr>
        <w:numPr>
          <w:ilvl w:val="2"/>
          <w:numId w:val="0"/>
        </w:numPr>
        <w:suppressAutoHyphens w:val="0"/>
        <w:spacing w:before="72" w:beforeLines="30" w:after="72" w:afterLines="30"/>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pPr>
        <w:numPr>
          <w:ilvl w:val="3"/>
          <w:numId w:val="0"/>
        </w:numPr>
        <w:suppressAutoHyphens w:val="0"/>
        <w:spacing w:before="72" w:beforeLines="30" w:after="72" w:afterLines="30"/>
        <w:jc w:val="both"/>
        <w:rPr>
          <w:b/>
          <w:szCs w:val="24"/>
        </w:rPr>
      </w:pPr>
      <w:r>
        <w:rPr>
          <w:bCs/>
          <w:szCs w:val="24"/>
        </w:rPr>
        <w:t>7.1.9 Concluída a instrução do requerimento, a Administração terá o prazo de 15(quinze) dias para decidir, admitida a prorrogação motivada por igual período.</w:t>
      </w:r>
    </w:p>
    <w:p w14:paraId="4BA11CA6">
      <w:pPr>
        <w:numPr>
          <w:ilvl w:val="2"/>
          <w:numId w:val="0"/>
        </w:numPr>
        <w:suppressAutoHyphens w:val="0"/>
        <w:spacing w:before="72" w:beforeLines="30" w:after="72" w:afterLines="30"/>
        <w:jc w:val="both"/>
        <w:rPr>
          <w:bCs/>
          <w:szCs w:val="24"/>
        </w:rPr>
      </w:pPr>
      <w:r>
        <w:rPr>
          <w:bCs/>
          <w:szCs w:val="24"/>
        </w:rPr>
        <w:t>7.1.10 Notificar os emitentes das garantias quanto ao início de processo administrativo para apuração de descumprimento de cláusulas contratuais.</w:t>
      </w:r>
    </w:p>
    <w:p w14:paraId="7ED4EE75">
      <w:pPr>
        <w:numPr>
          <w:ilvl w:val="1"/>
          <w:numId w:val="0"/>
        </w:numPr>
        <w:suppressAutoHyphens w:val="0"/>
        <w:spacing w:before="72" w:beforeLines="30" w:after="72" w:afterLines="30"/>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pPr>
        <w:spacing w:before="72" w:beforeLines="30" w:after="72" w:afterLines="30"/>
        <w:jc w:val="both"/>
        <w:rPr>
          <w:szCs w:val="24"/>
        </w:rPr>
      </w:pPr>
    </w:p>
    <w:p w14:paraId="58097ADD">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7EBB48B2">
      <w:pPr>
        <w:numPr>
          <w:ilvl w:val="1"/>
          <w:numId w:val="0"/>
        </w:numPr>
        <w:suppressAutoHyphens w:val="0"/>
        <w:spacing w:before="72" w:beforeLines="30" w:after="72" w:afterLines="30"/>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71E0E1C0">
      <w:pPr>
        <w:numPr>
          <w:ilvl w:val="2"/>
          <w:numId w:val="0"/>
        </w:numPr>
        <w:suppressAutoHyphens w:val="0"/>
        <w:spacing w:before="72" w:beforeLines="30" w:after="72" w:afterLines="30"/>
        <w:jc w:val="both"/>
        <w:rPr>
          <w:szCs w:val="24"/>
        </w:rPr>
      </w:pPr>
      <w:r>
        <w:rPr>
          <w:szCs w:val="24"/>
        </w:rPr>
        <w:t>8.1.1 responsabilizar-se pelos vícios e danos decorrentes do objeto, de acordo com os artigos 12, 13 e 17 a 27, do Código de Defesa do Consumidor (Lei nº 8.078, de 1990);</w:t>
      </w:r>
    </w:p>
    <w:p w14:paraId="5B418426">
      <w:pPr>
        <w:numPr>
          <w:ilvl w:val="2"/>
          <w:numId w:val="0"/>
        </w:numPr>
        <w:suppressAutoHyphens w:val="0"/>
        <w:spacing w:before="72" w:beforeLines="30" w:after="72" w:afterLines="30"/>
        <w:jc w:val="both"/>
        <w:rPr>
          <w:szCs w:val="24"/>
        </w:rPr>
      </w:pPr>
      <w:r>
        <w:rPr>
          <w:szCs w:val="24"/>
        </w:rPr>
        <w:t>8.1.2 comunicar ao Contratante, no prazo máximo de 24 (vinte e quatro) horas que antecede a data da entrega, os motivos que impossibilitem o cumprimento do prazo previsto, com a devida comprovação;</w:t>
      </w:r>
    </w:p>
    <w:p w14:paraId="7B779A51">
      <w:pPr>
        <w:numPr>
          <w:ilvl w:val="2"/>
          <w:numId w:val="0"/>
        </w:numPr>
        <w:suppressAutoHyphens w:val="0"/>
        <w:spacing w:before="72" w:beforeLines="30" w:after="72" w:afterLines="30"/>
        <w:jc w:val="both"/>
        <w:rPr>
          <w:szCs w:val="24"/>
        </w:rPr>
      </w:pPr>
      <w:r>
        <w:rPr>
          <w:szCs w:val="24"/>
        </w:rPr>
        <w:t>8.1.3 Atender às determinações regulares emitidas pelo fiscal ou gestor do contrato ou autoridade superior (art. 137, II) e prestar todo esclarecimento ou informação por eles solicitados;</w:t>
      </w:r>
    </w:p>
    <w:p w14:paraId="36680093">
      <w:pPr>
        <w:numPr>
          <w:ilvl w:val="2"/>
          <w:numId w:val="0"/>
        </w:numPr>
        <w:suppressAutoHyphens w:val="0"/>
        <w:spacing w:before="72" w:beforeLines="30" w:after="72" w:afterLines="30"/>
        <w:jc w:val="both"/>
        <w:rPr>
          <w:szCs w:val="24"/>
        </w:rPr>
      </w:pPr>
      <w:r>
        <w:rPr>
          <w:szCs w:val="24"/>
        </w:rPr>
        <w:t>8.1.4 Reparar, corrigir, remover, reconstruir ou substituir, às suas expensas, no total ou em parte, no prazo fixado pelo fiscal do contrato, os bens nos quais se verificarem vícios, defeitos ou incorreções resultantes da execução ou dos materiais empregados;</w:t>
      </w:r>
    </w:p>
    <w:p w14:paraId="4EEAD7A6">
      <w:pPr>
        <w:numPr>
          <w:ilvl w:val="2"/>
          <w:numId w:val="0"/>
        </w:numPr>
        <w:suppressAutoHyphens w:val="0"/>
        <w:spacing w:before="72" w:beforeLines="30" w:after="72" w:afterLines="30"/>
        <w:jc w:val="both"/>
        <w:rPr>
          <w:szCs w:val="24"/>
        </w:rPr>
      </w:pPr>
      <w:r>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pPr>
        <w:numPr>
          <w:ilvl w:val="2"/>
          <w:numId w:val="0"/>
        </w:numPr>
        <w:suppressAutoHyphens w:val="0"/>
        <w:spacing w:before="72" w:beforeLines="30" w:after="72" w:afterLines="30"/>
        <w:jc w:val="both"/>
        <w:rPr>
          <w:szCs w:val="24"/>
        </w:rPr>
      </w:pPr>
      <w:r>
        <w:rPr>
          <w:szCs w:val="24"/>
        </w:rPr>
        <w:t xml:space="preserve">8.1.6 A empresa contratada deverá entregar ao setor responsável pela fiscalização do contrato, junto com a Nota Fiscal para fins de pagamento, os seguintes documentos: 1)  certidão conjunta relativa aos tributos federais e à Dívida Ativa da União; 2) Certidão de Regularidade do FGTS – CRF; e 3) Certidão Negativa de Débitos Trabalhistas – CNDT; </w:t>
      </w:r>
    </w:p>
    <w:p w14:paraId="54973A8C">
      <w:pPr>
        <w:numPr>
          <w:ilvl w:val="2"/>
          <w:numId w:val="0"/>
        </w:numPr>
        <w:suppressAutoHyphens w:val="0"/>
        <w:spacing w:before="72" w:beforeLines="30" w:after="72" w:afterLines="30"/>
        <w:jc w:val="both"/>
        <w:rPr>
          <w:szCs w:val="24"/>
        </w:rPr>
      </w:pPr>
      <w:r>
        <w:rPr>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8ADF7DB">
      <w:pPr>
        <w:numPr>
          <w:ilvl w:val="2"/>
          <w:numId w:val="0"/>
        </w:numPr>
        <w:suppressAutoHyphens w:val="0"/>
        <w:spacing w:before="72" w:beforeLines="30" w:after="72" w:afterLines="30"/>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550A7515">
      <w:pPr>
        <w:numPr>
          <w:ilvl w:val="2"/>
          <w:numId w:val="0"/>
        </w:numPr>
        <w:suppressAutoHyphens w:val="0"/>
        <w:spacing w:before="72" w:beforeLines="30" w:after="72" w:afterLines="30"/>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0D3A8F62">
      <w:pPr>
        <w:numPr>
          <w:ilvl w:val="2"/>
          <w:numId w:val="0"/>
        </w:numPr>
        <w:suppressAutoHyphens w:val="0"/>
        <w:spacing w:before="72" w:beforeLines="30" w:after="72" w:afterLines="30"/>
        <w:jc w:val="both"/>
        <w:rPr>
          <w:strike/>
          <w:szCs w:val="24"/>
        </w:rPr>
      </w:pPr>
      <w:r>
        <w:rPr>
          <w:szCs w:val="24"/>
        </w:rPr>
        <w:t>8.1.10 Manter durante toda a vigência do contrato, em compatibilidade com as obrigações assumidas, todas as condições exigidas para habilitação na licitação</w:t>
      </w:r>
      <w:r>
        <w:rPr>
          <w:strike/>
          <w:szCs w:val="24"/>
        </w:rPr>
        <w:t xml:space="preserve">. </w:t>
      </w:r>
    </w:p>
    <w:p w14:paraId="1A9B5388">
      <w:pPr>
        <w:numPr>
          <w:ilvl w:val="2"/>
          <w:numId w:val="0"/>
        </w:numPr>
        <w:suppressAutoHyphens w:val="0"/>
        <w:spacing w:before="72" w:beforeLines="30" w:after="72" w:afterLines="30"/>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p>
    <w:p w14:paraId="53E05355">
      <w:pPr>
        <w:numPr>
          <w:ilvl w:val="2"/>
          <w:numId w:val="0"/>
        </w:numPr>
        <w:suppressAutoHyphens w:val="0"/>
        <w:spacing w:before="72" w:beforeLines="30" w:after="72" w:afterLines="30"/>
        <w:jc w:val="both"/>
        <w:rPr>
          <w:szCs w:val="24"/>
        </w:rPr>
      </w:pPr>
      <w:r>
        <w:rPr>
          <w:szCs w:val="24"/>
        </w:rPr>
        <w:t>8.1.12 Comprovar a reserva de cargos a que se refere a cláusula acima, no prazo fixado pelo fiscal do contrato, com a indicação dos empregados que preencheram as referidas vagas (art. 116, parágrafo único);</w:t>
      </w:r>
    </w:p>
    <w:p w14:paraId="5FE9D64B">
      <w:pPr>
        <w:numPr>
          <w:ilvl w:val="2"/>
          <w:numId w:val="0"/>
        </w:numPr>
        <w:suppressAutoHyphens w:val="0"/>
        <w:spacing w:before="72" w:beforeLines="30" w:after="72" w:afterLines="30"/>
        <w:jc w:val="both"/>
        <w:rPr>
          <w:szCs w:val="24"/>
        </w:rPr>
      </w:pPr>
      <w:r>
        <w:rPr>
          <w:szCs w:val="24"/>
        </w:rPr>
        <w:t xml:space="preserve"> 8.1.13 Guardar sigilo sobre todas as informações obtidas em decorrência do cumprimento do contrato; </w:t>
      </w:r>
    </w:p>
    <w:p w14:paraId="28CEE319">
      <w:pPr>
        <w:numPr>
          <w:ilvl w:val="2"/>
          <w:numId w:val="0"/>
        </w:numPr>
        <w:suppressAutoHyphens w:val="0"/>
        <w:spacing w:before="72" w:beforeLines="30" w:after="72" w:afterLines="30"/>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pPr>
        <w:numPr>
          <w:ilvl w:val="2"/>
          <w:numId w:val="0"/>
        </w:numPr>
        <w:suppressAutoHyphens w:val="0"/>
        <w:spacing w:before="72" w:beforeLines="30" w:after="72" w:afterLines="30"/>
        <w:jc w:val="both"/>
        <w:rPr>
          <w:szCs w:val="24"/>
        </w:rPr>
      </w:pPr>
      <w:r>
        <w:rPr>
          <w:szCs w:val="24"/>
        </w:rPr>
        <w:t>8.1.15 Cumprir, além dos postulados legais vigentes de âmbito federal, estadual ou municipal, as normas de segurança do Contratante;</w:t>
      </w:r>
    </w:p>
    <w:p w14:paraId="0A6472B4">
      <w:pPr>
        <w:numPr>
          <w:ilvl w:val="2"/>
          <w:numId w:val="0"/>
        </w:numPr>
        <w:suppressAutoHyphens w:val="0"/>
        <w:spacing w:before="72" w:beforeLines="30" w:after="72" w:afterLines="30"/>
        <w:jc w:val="both"/>
        <w:rPr>
          <w:szCs w:val="24"/>
        </w:rPr>
      </w:pPr>
      <w:r>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pPr>
        <w:spacing w:before="72" w:beforeLines="30" w:after="72" w:afterLines="30"/>
        <w:jc w:val="both"/>
        <w:rPr>
          <w:szCs w:val="24"/>
        </w:rPr>
      </w:pPr>
    </w:p>
    <w:p w14:paraId="3E2971A9">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56FA41E0">
      <w:pPr>
        <w:numPr>
          <w:ilvl w:val="1"/>
          <w:numId w:val="0"/>
        </w:numPr>
        <w:suppressAutoHyphens w:val="0"/>
        <w:spacing w:before="72" w:beforeLines="30" w:after="72" w:afterLines="30"/>
        <w:jc w:val="both"/>
        <w:rPr>
          <w:szCs w:val="24"/>
        </w:rPr>
      </w:pPr>
      <w:r>
        <w:rPr>
          <w:szCs w:val="24"/>
        </w:rPr>
        <w:t>9.1 Não haverá exigência de garantia contratual da execução.</w:t>
      </w:r>
    </w:p>
    <w:p w14:paraId="59BE1447">
      <w:pPr>
        <w:spacing w:before="72" w:beforeLines="30" w:after="72" w:afterLines="30"/>
        <w:jc w:val="both"/>
        <w:rPr>
          <w:szCs w:val="24"/>
        </w:rPr>
      </w:pPr>
    </w:p>
    <w:p w14:paraId="6C1CC2D4">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266B3375">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10.1 Comete infração administrativa, nos termos da lei, o licitante que, com dolo ou culpa: </w:t>
      </w:r>
    </w:p>
    <w:p w14:paraId="79A1CD77">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 deixar de entregar a documentação exigida para o certame ou não entregar qualquer documento que tenha sido solicitado pelo/a pregoeiro/a durante o certame;</w:t>
      </w:r>
    </w:p>
    <w:p w14:paraId="4F5456C0">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10.1.2 Salvo em decorrência de fato superveniente devidamente justificado, não mantiver a proposta em especial quando:</w:t>
      </w:r>
    </w:p>
    <w:p w14:paraId="7190DBCA">
      <w:pPr>
        <w:pStyle w:val="78"/>
        <w:numPr>
          <w:ilvl w:val="3"/>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 xml:space="preserve">10.1.3 não enviar a proposta adequada ao último lance ofertado ou após a negociação; </w:t>
      </w:r>
    </w:p>
    <w:p w14:paraId="5D4CBEA1">
      <w:pPr>
        <w:pStyle w:val="78"/>
        <w:numPr>
          <w:ilvl w:val="3"/>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 xml:space="preserve">10.1.4 recusar-se a enviar o detalhamento da proposta quando exigível; </w:t>
      </w:r>
    </w:p>
    <w:p w14:paraId="643A1634">
      <w:pPr>
        <w:pStyle w:val="78"/>
        <w:numPr>
          <w:ilvl w:val="3"/>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 xml:space="preserve">10.1.5 pedir para ser desclassificado quando encerrada a etapa competitiva; ou </w:t>
      </w:r>
    </w:p>
    <w:p w14:paraId="2372C26D">
      <w:pPr>
        <w:pStyle w:val="78"/>
        <w:numPr>
          <w:ilvl w:val="3"/>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10.1.6 deixar de apresentar amostra;</w:t>
      </w:r>
    </w:p>
    <w:p w14:paraId="04999AE8">
      <w:pPr>
        <w:pStyle w:val="78"/>
        <w:numPr>
          <w:ilvl w:val="3"/>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 xml:space="preserve">10.1.7 apresentar proposta ou amostra em desacordo com as especificações do edital; </w:t>
      </w:r>
    </w:p>
    <w:p w14:paraId="13D85874">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10.1.8 não celebrar o contrato ou não entregar a documentação exigida para a contratação, quando convocado dentro do prazo de validade de sua proposta;</w:t>
      </w:r>
    </w:p>
    <w:p w14:paraId="6DC60705">
      <w:pPr>
        <w:pStyle w:val="78"/>
        <w:numPr>
          <w:ilvl w:val="3"/>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10.1.9 recusar-se, sem justificativa, a assinar o contrato ou a ata de registro de preço, ou a aceitar ou retirar o instrumento equivalente no prazo estabelecido pela Administração;</w:t>
      </w:r>
    </w:p>
    <w:p w14:paraId="61084373">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10.1.10 apresentar declaração ou documentação falsa exigida para o certame ou prestar declaração falsa durante a licitação</w:t>
      </w:r>
    </w:p>
    <w:p w14:paraId="15107DB4">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10.1.11 fraudar a licitação</w:t>
      </w:r>
    </w:p>
    <w:p w14:paraId="34B31D96">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10.1.12 comportar-se de modo inidôneo ou cometer fraude de qualquer natureza, em especial quando:</w:t>
      </w:r>
    </w:p>
    <w:p w14:paraId="5682CA00">
      <w:pPr>
        <w:pStyle w:val="78"/>
        <w:numPr>
          <w:ilvl w:val="3"/>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 xml:space="preserve">a) agir em conluio ou em desconformidade com a lei; </w:t>
      </w:r>
    </w:p>
    <w:p w14:paraId="728C38EA">
      <w:pPr>
        <w:pStyle w:val="78"/>
        <w:numPr>
          <w:ilvl w:val="3"/>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 xml:space="preserve">b) induzir deliberadamente a erro no julgamento; </w:t>
      </w:r>
    </w:p>
    <w:p w14:paraId="08705DD3">
      <w:pPr>
        <w:pStyle w:val="78"/>
        <w:numPr>
          <w:ilvl w:val="3"/>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 xml:space="preserve">b) apresentar amostra falsificada ou deteriorada; </w:t>
      </w:r>
    </w:p>
    <w:p w14:paraId="59CC2205">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c) praticar atos ilícitos com vistas a frustrar os objetivos da licitação</w:t>
      </w:r>
    </w:p>
    <w:p w14:paraId="074206C4">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e) praticar ato lesivo previsto no </w:t>
      </w:r>
      <w:r>
        <w:fldChar w:fldCharType="begin"/>
      </w:r>
      <w:r>
        <w:instrText xml:space="preserve"> HYPERLINK "https://www.planalto.gov.br/ccivil_03/_ato2011-2014/2013/lei/l12846.htm" \l "art5" </w:instrText>
      </w:r>
      <w:r>
        <w:fldChar w:fldCharType="separate"/>
      </w:r>
      <w:r>
        <w:rPr>
          <w:rStyle w:val="13"/>
          <w:rFonts w:ascii="Times New Roman" w:hAnsi="Times New Roman" w:cs="Times New Roman"/>
          <w:color w:val="auto"/>
          <w:sz w:val="24"/>
          <w:szCs w:val="24"/>
        </w:rPr>
        <w:t>art. 5º da Lei n.º 12.846, de 2013</w:t>
      </w:r>
      <w:r>
        <w:rPr>
          <w:rStyle w:val="13"/>
          <w:rFonts w:ascii="Times New Roman" w:hAnsi="Times New Roman" w:cs="Times New Roman"/>
          <w:color w:val="auto"/>
          <w:sz w:val="24"/>
          <w:szCs w:val="24"/>
        </w:rPr>
        <w:fldChar w:fldCharType="end"/>
      </w:r>
      <w:r>
        <w:rPr>
          <w:rFonts w:ascii="Times New Roman" w:hAnsi="Times New Roman" w:cs="Times New Roman"/>
          <w:color w:val="auto"/>
          <w:sz w:val="24"/>
          <w:szCs w:val="24"/>
        </w:rPr>
        <w:t>.</w:t>
      </w:r>
    </w:p>
    <w:p w14:paraId="0B0A44BB">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10.1.13 Com fulcro na </w:t>
      </w:r>
      <w:r>
        <w:fldChar w:fldCharType="begin"/>
      </w:r>
      <w:r>
        <w:instrText xml:space="preserve"> HYPERLINK "http://www.planalto.gov.br/ccivil_03/_ato2019-2022/2021/lei/L14133.htm" </w:instrText>
      </w:r>
      <w:r>
        <w:fldChar w:fldCharType="separate"/>
      </w:r>
      <w:r>
        <w:rPr>
          <w:rStyle w:val="13"/>
          <w:rFonts w:ascii="Times New Roman" w:hAnsi="Times New Roman"/>
          <w:color w:val="auto"/>
          <w:sz w:val="24"/>
          <w:szCs w:val="24"/>
        </w:rPr>
        <w:t>Lei nº 14.133, de 2021</w:t>
      </w:r>
      <w:r>
        <w:rPr>
          <w:rStyle w:val="13"/>
          <w:rFonts w:ascii="Times New Roman" w:hAnsi="Times New Roman"/>
          <w:color w:val="auto"/>
          <w:sz w:val="24"/>
          <w:szCs w:val="24"/>
        </w:rPr>
        <w:fldChar w:fldCharType="end"/>
      </w:r>
      <w:r>
        <w:rPr>
          <w:rStyle w:val="13"/>
          <w:rFonts w:ascii="Times New Roman" w:hAnsi="Times New Roman"/>
          <w:color w:val="auto"/>
          <w:sz w:val="24"/>
          <w:szCs w:val="24"/>
        </w:rPr>
        <w:t xml:space="preserve"> e Decreto Municipal n. 133/2024</w:t>
      </w:r>
      <w:r>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23FB5DE7">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10.1.13.1 advertência; </w:t>
      </w:r>
    </w:p>
    <w:p w14:paraId="7D4E2195">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10.1.13.2 multa;</w:t>
      </w:r>
    </w:p>
    <w:p w14:paraId="396B59F3">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10.1.13.3 impedimento de licitar e contratar e</w:t>
      </w:r>
    </w:p>
    <w:p w14:paraId="66668CD3">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10.1.13.4 declaração de inidoneidade para licitar ou contratar, enquanto perdurarem os motivos determinantes da punição ou até que seja promovida sua reabilitação perante a própria autoridade que aplicou a penalidade.</w:t>
      </w:r>
    </w:p>
    <w:p w14:paraId="07357AC9">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10.1.14 Na aplicação das sanções serão considerados:</w:t>
      </w:r>
    </w:p>
    <w:p w14:paraId="29B4155D">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10.1.14.1 a natureza e a gravidade da infração cometida.</w:t>
      </w:r>
    </w:p>
    <w:p w14:paraId="7CA447EE">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10.1.14.2 as peculiaridades do caso concreto</w:t>
      </w:r>
    </w:p>
    <w:p w14:paraId="456869AD">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10.1.14.3 as circunstâncias agravantes ou atenuantes</w:t>
      </w:r>
    </w:p>
    <w:p w14:paraId="51AAE132">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10.1.14.4 os danos que dela provierem para a Administração Pública</w:t>
      </w:r>
    </w:p>
    <w:p w14:paraId="238E22B8">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10.1.14.5 a implantação ou o aperfeiçoamento de programa de integridade, conforme normas e orientações dos órgãos de controle.</w:t>
      </w:r>
    </w:p>
    <w:p w14:paraId="1ED6A15F">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10.1.15 A multa será recolhida em percentual de 0,5% a 30% incidente sobre o valor do contrato licitado, recolhida no prazo máximo de 30(trinta) dias úteis, a contar da comunicação oficial. </w:t>
      </w:r>
    </w:p>
    <w:p w14:paraId="2AF979A7">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10.1.16 Para as infrações previstas nos itens 10.1.1, 10.1.2 e 10.1.3, a multa será de 0,5% a 15% do valor do contrato licitado.</w:t>
      </w:r>
    </w:p>
    <w:p w14:paraId="3FBCC1BA">
      <w:pPr>
        <w:pStyle w:val="77"/>
        <w:numPr>
          <w:ilvl w:val="2"/>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10.1.17 Para as infrações previstas nos itens 10.1.4, 10.1.5, 10.1.6, 10.1.7 e 10.1.8 a multa será de 15% a 30% do valor do contrato licitado.</w:t>
      </w:r>
    </w:p>
    <w:p w14:paraId="4760D00A">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10.1.18 As sanções de advertência, impedimento de licitar e contratar e declaração de inidoneidade para licitar ou contratar poderão ser aplicadas, cumulativamente ou não, à penalidade de multa.</w:t>
      </w:r>
    </w:p>
    <w:p w14:paraId="6819F6CF">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10.1.19 Na aplicação da sanção de multa será facultada a defesa do interessado no prazo de 15 (quinze) dias úteis, contado da data de sua intimação.</w:t>
      </w:r>
    </w:p>
    <w:p w14:paraId="471E419C">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10.1.20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C7D26A">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10.1.21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w:instrText>
      </w:r>
      <w:r>
        <w:fldChar w:fldCharType="separate"/>
      </w:r>
      <w:r>
        <w:rPr>
          <w:rStyle w:val="13"/>
          <w:rFonts w:ascii="Times New Roman" w:hAnsi="Times New Roman"/>
          <w:color w:val="auto"/>
          <w:sz w:val="24"/>
          <w:szCs w:val="24"/>
        </w:rPr>
        <w:t>art. 156, §5º, da Lei n.º 14.133/2021</w:t>
      </w:r>
      <w:r>
        <w:rPr>
          <w:rStyle w:val="13"/>
          <w:rFonts w:ascii="Times New Roman" w:hAnsi="Times New Roman"/>
          <w:color w:val="auto"/>
          <w:sz w:val="24"/>
          <w:szCs w:val="24"/>
        </w:rPr>
        <w:fldChar w:fldCharType="end"/>
      </w:r>
      <w:r>
        <w:rPr>
          <w:rFonts w:ascii="Times New Roman" w:hAnsi="Times New Roman"/>
          <w:sz w:val="24"/>
          <w:szCs w:val="24"/>
        </w:rPr>
        <w:t>.</w:t>
      </w:r>
    </w:p>
    <w:p w14:paraId="02E0170F">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10.1.22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69E15950">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10.1.23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2C3B1E">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10.1.24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E4AB58">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10.1.25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8E0059">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10.1.26 O recurso e o pedido de reconsideração terão efeito suspensivo do ato ou da decisão recorrida até que sobrevenha decisão final da autoridade competente.</w:t>
      </w:r>
    </w:p>
    <w:p w14:paraId="51B024B5">
      <w:pPr>
        <w:pStyle w:val="75"/>
        <w:numPr>
          <w:ilvl w:val="1"/>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10.1.27 A aplicação das sanções previstas neste edital não exclui, em hipótese alguma, a obrigação de reparação integral dos danos causados.</w:t>
      </w:r>
    </w:p>
    <w:p w14:paraId="6D7D0D71">
      <w:pPr>
        <w:spacing w:before="72" w:beforeLines="30" w:after="72" w:afterLines="30"/>
        <w:jc w:val="both"/>
        <w:rPr>
          <w:szCs w:val="24"/>
        </w:rPr>
      </w:pPr>
    </w:p>
    <w:p w14:paraId="71799226">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5FE89D6F">
      <w:pPr>
        <w:numPr>
          <w:ilvl w:val="1"/>
          <w:numId w:val="0"/>
        </w:numPr>
        <w:suppressAutoHyphens w:val="0"/>
        <w:spacing w:before="72" w:beforeLines="30" w:after="72" w:afterLines="30"/>
        <w:jc w:val="both"/>
        <w:rPr>
          <w:szCs w:val="24"/>
        </w:rPr>
      </w:pPr>
      <w:r>
        <w:rPr>
          <w:szCs w:val="24"/>
        </w:rPr>
        <w:t>11.1 O contrato se extingue quando vencido o prazo nele estipulado, independentemente de terem sido cumpridas ou não as obrigações de ambas as partes contraentes.</w:t>
      </w:r>
    </w:p>
    <w:p w14:paraId="79EC9F3C">
      <w:pPr>
        <w:numPr>
          <w:ilvl w:val="2"/>
          <w:numId w:val="0"/>
        </w:numPr>
        <w:suppressAutoHyphens w:val="0"/>
        <w:spacing w:before="72" w:beforeLines="30" w:after="72" w:afterLines="30"/>
        <w:jc w:val="both"/>
        <w:rPr>
          <w:szCs w:val="24"/>
        </w:rPr>
      </w:pPr>
      <w:r>
        <w:rPr>
          <w:szCs w:val="24"/>
        </w:rPr>
        <w:t>11.2 O contrato pode ser extinto antes do prazo nele fixado, sem ônus para o Contratante, quando esta não dispuser de créditos orçamentários para sua continuidade ou quando entender que o contrato não mais lhe oferece vantagem.</w:t>
      </w:r>
    </w:p>
    <w:p w14:paraId="05A5C0EE">
      <w:pPr>
        <w:numPr>
          <w:ilvl w:val="2"/>
          <w:numId w:val="0"/>
        </w:numPr>
        <w:suppressAutoHyphens w:val="0"/>
        <w:spacing w:before="72" w:beforeLines="30" w:after="72" w:afterLines="30"/>
        <w:jc w:val="both"/>
        <w:rPr>
          <w:szCs w:val="24"/>
        </w:rPr>
      </w:pPr>
      <w:r>
        <w:rPr>
          <w:szCs w:val="24"/>
        </w:rPr>
        <w:t>11.3 A extinção nesta hipótese ocorrerá na próxima data de aniversário do contrato, desde que haja a notificação do contratado pelo contratante nesse sentido com pelo menos 2 (dois) meses de antecedência desse dia.</w:t>
      </w:r>
    </w:p>
    <w:p w14:paraId="42E70EF3">
      <w:pPr>
        <w:numPr>
          <w:ilvl w:val="2"/>
          <w:numId w:val="0"/>
        </w:numPr>
        <w:suppressAutoHyphens w:val="0"/>
        <w:spacing w:before="72" w:beforeLines="30" w:after="72" w:afterLines="30"/>
        <w:jc w:val="both"/>
        <w:rPr>
          <w:szCs w:val="24"/>
        </w:rPr>
      </w:pPr>
      <w:r>
        <w:rPr>
          <w:szCs w:val="24"/>
        </w:rPr>
        <w:t>11.4 Caso a notificação da não-continuidade do contrato de que trata este subitem ocorra com menos de 2 (dois) meses da data de aniversário, a extinção contratual ocorrerá após 2 (dois) meses da data da comunicação.</w:t>
      </w:r>
    </w:p>
    <w:p w14:paraId="35356BBA">
      <w:pPr>
        <w:numPr>
          <w:ilvl w:val="1"/>
          <w:numId w:val="0"/>
        </w:numPr>
        <w:suppressAutoHyphens w:val="0"/>
        <w:spacing w:before="72" w:beforeLines="30" w:after="72" w:afterLines="30"/>
        <w:jc w:val="both"/>
        <w:rPr>
          <w:szCs w:val="24"/>
        </w:rPr>
      </w:pPr>
      <w:r>
        <w:rPr>
          <w:szCs w:val="24"/>
        </w:rPr>
        <w:t>11.5 O contrato pode ser extinto antes de cumpridas as obrigações nele estipuladas, ou antes do prazo nele fixado, por algum dos motivos previstos no artigo 137 da Lei nº 14.133/21, bem como amigavelmente, assegurados o contraditório e a ampla defesa.</w:t>
      </w:r>
    </w:p>
    <w:p w14:paraId="5D72842D">
      <w:pPr>
        <w:numPr>
          <w:ilvl w:val="2"/>
          <w:numId w:val="0"/>
        </w:numPr>
        <w:suppressAutoHyphens w:val="0"/>
        <w:spacing w:before="72" w:beforeLines="30" w:after="72" w:afterLines="30"/>
        <w:jc w:val="both"/>
        <w:rPr>
          <w:szCs w:val="24"/>
        </w:rPr>
      </w:pPr>
      <w:r>
        <w:rPr>
          <w:szCs w:val="24"/>
        </w:rPr>
        <w:t>11.6 Nesta hipótese, aplicam-se também os artigos 138 e 139 da mesma Lei.</w:t>
      </w:r>
    </w:p>
    <w:p w14:paraId="0D45A8BD">
      <w:pPr>
        <w:numPr>
          <w:ilvl w:val="2"/>
          <w:numId w:val="0"/>
        </w:numPr>
        <w:suppressAutoHyphens w:val="0"/>
        <w:spacing w:before="72" w:beforeLines="30" w:after="72" w:afterLines="30"/>
        <w:jc w:val="both"/>
        <w:rPr>
          <w:szCs w:val="24"/>
        </w:rPr>
      </w:pPr>
      <w:r>
        <w:rPr>
          <w:szCs w:val="24"/>
        </w:rPr>
        <w:t>11.7 A alteração social ou a modificação da finalidade ou da estrutura da empresa não ensejará a rescisão se não restringir sua capacidade de concluir o contrato.</w:t>
      </w:r>
    </w:p>
    <w:p w14:paraId="44670DD6">
      <w:pPr>
        <w:numPr>
          <w:ilvl w:val="3"/>
          <w:numId w:val="0"/>
        </w:numPr>
        <w:suppressAutoHyphens w:val="0"/>
        <w:spacing w:before="72" w:beforeLines="30" w:after="72" w:afterLines="30"/>
        <w:jc w:val="both"/>
        <w:rPr>
          <w:szCs w:val="24"/>
        </w:rPr>
      </w:pPr>
      <w:r>
        <w:rPr>
          <w:szCs w:val="24"/>
        </w:rPr>
        <w:t>11.8 Se a operação implicar mudança da pessoa jurídica contratada, deverá ser formalizado termo aditivo para alteração subjetiva.</w:t>
      </w:r>
    </w:p>
    <w:p w14:paraId="408AA6E7">
      <w:pPr>
        <w:numPr>
          <w:ilvl w:val="1"/>
          <w:numId w:val="0"/>
        </w:numPr>
        <w:suppressAutoHyphens w:val="0"/>
        <w:spacing w:before="72" w:beforeLines="30" w:after="72" w:afterLines="30"/>
        <w:jc w:val="both"/>
        <w:rPr>
          <w:szCs w:val="24"/>
        </w:rPr>
      </w:pPr>
      <w:r>
        <w:rPr>
          <w:szCs w:val="24"/>
        </w:rPr>
        <w:t>11.9 O termo de rescisão, sempre que possível, será precedido:</w:t>
      </w:r>
    </w:p>
    <w:p w14:paraId="2231D5CB">
      <w:pPr>
        <w:numPr>
          <w:ilvl w:val="2"/>
          <w:numId w:val="0"/>
        </w:numPr>
        <w:suppressAutoHyphens w:val="0"/>
        <w:spacing w:before="72" w:beforeLines="30" w:after="72" w:afterLines="30"/>
        <w:jc w:val="both"/>
        <w:rPr>
          <w:szCs w:val="24"/>
        </w:rPr>
      </w:pPr>
      <w:r>
        <w:rPr>
          <w:szCs w:val="24"/>
        </w:rPr>
        <w:t>11.9.1 Balanço dos eventos contratuais já cumpridos ou parcialmente cumpridos;</w:t>
      </w:r>
    </w:p>
    <w:p w14:paraId="6CE39978">
      <w:pPr>
        <w:numPr>
          <w:ilvl w:val="2"/>
          <w:numId w:val="0"/>
        </w:numPr>
        <w:suppressAutoHyphens w:val="0"/>
        <w:spacing w:before="72" w:beforeLines="30" w:after="72" w:afterLines="30"/>
        <w:jc w:val="both"/>
        <w:rPr>
          <w:szCs w:val="24"/>
        </w:rPr>
      </w:pPr>
      <w:r>
        <w:rPr>
          <w:szCs w:val="24"/>
        </w:rPr>
        <w:t>11.9.2 Relação dos pagamentos já efetuados e ainda devidos;</w:t>
      </w:r>
    </w:p>
    <w:p w14:paraId="728390CB">
      <w:pPr>
        <w:numPr>
          <w:ilvl w:val="2"/>
          <w:numId w:val="0"/>
        </w:numPr>
        <w:suppressAutoHyphens w:val="0"/>
        <w:spacing w:before="72" w:beforeLines="30" w:after="72" w:afterLines="30"/>
        <w:jc w:val="both"/>
        <w:rPr>
          <w:szCs w:val="24"/>
          <w:lang w:eastAsia="pt-BR"/>
        </w:rPr>
      </w:pPr>
      <w:r>
        <w:rPr>
          <w:szCs w:val="24"/>
        </w:rPr>
        <w:t>11.9.3 Indenizações e multas.</w:t>
      </w:r>
    </w:p>
    <w:p w14:paraId="3C56B3DB">
      <w:pPr>
        <w:spacing w:before="72" w:beforeLines="30" w:after="72" w:afterLines="30"/>
        <w:jc w:val="both"/>
        <w:rPr>
          <w:szCs w:val="24"/>
          <w:lang w:eastAsia="pt-BR"/>
        </w:rPr>
      </w:pPr>
    </w:p>
    <w:p w14:paraId="653EB8FD">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324BB959">
      <w:pPr>
        <w:numPr>
          <w:ilvl w:val="1"/>
          <w:numId w:val="0"/>
        </w:numPr>
        <w:suppressAutoHyphens w:val="0"/>
        <w:spacing w:before="72" w:beforeLines="30" w:after="72" w:afterLines="30"/>
        <w:jc w:val="both"/>
        <w:rPr>
          <w:szCs w:val="24"/>
        </w:rPr>
      </w:pPr>
      <w:r>
        <w:rPr>
          <w:szCs w:val="24"/>
        </w:rPr>
        <w:t>12.1 As despesas decorrentes da presente contratação correrão à conta de recursos específicos consignados no Orçamento municipal deste exercício, na dotação abaixo discriminada:</w:t>
      </w:r>
    </w:p>
    <w:p w14:paraId="1E125357">
      <w:pPr>
        <w:spacing w:before="72" w:beforeLines="30" w:after="72" w:afterLines="30"/>
        <w:jc w:val="both"/>
        <w:rPr>
          <w:szCs w:val="24"/>
          <w:highlight w:val="yellow"/>
        </w:rPr>
      </w:pPr>
      <w:r>
        <w:rPr>
          <w:szCs w:val="24"/>
          <w:highlight w:val="yellow"/>
        </w:rPr>
        <w:t xml:space="preserve">I - Gestão/Unidade: </w:t>
      </w:r>
    </w:p>
    <w:p w14:paraId="4013F970">
      <w:pPr>
        <w:spacing w:before="72" w:beforeLines="30" w:after="72" w:afterLines="30"/>
        <w:jc w:val="both"/>
        <w:rPr>
          <w:szCs w:val="24"/>
          <w:highlight w:val="yellow"/>
        </w:rPr>
      </w:pPr>
      <w:r>
        <w:rPr>
          <w:szCs w:val="24"/>
          <w:highlight w:val="yellow"/>
        </w:rPr>
        <w:t xml:space="preserve">II - Fonte de Recursos:  </w:t>
      </w:r>
    </w:p>
    <w:p w14:paraId="59550671">
      <w:pPr>
        <w:spacing w:before="72" w:beforeLines="30" w:after="72" w:afterLines="30"/>
        <w:jc w:val="both"/>
        <w:rPr>
          <w:szCs w:val="24"/>
          <w:highlight w:val="yellow"/>
        </w:rPr>
      </w:pPr>
      <w:r>
        <w:rPr>
          <w:szCs w:val="24"/>
          <w:highlight w:val="yellow"/>
        </w:rPr>
        <w:t xml:space="preserve">III - Programa de Trabalho: </w:t>
      </w:r>
    </w:p>
    <w:p w14:paraId="2DE50534">
      <w:pPr>
        <w:spacing w:before="72" w:beforeLines="30" w:after="72" w:afterLines="30"/>
        <w:jc w:val="both"/>
        <w:rPr>
          <w:szCs w:val="24"/>
        </w:rPr>
      </w:pPr>
      <w:r>
        <w:rPr>
          <w:szCs w:val="24"/>
          <w:highlight w:val="yellow"/>
        </w:rPr>
        <w:t>IV - Elemento de Despesa:</w:t>
      </w:r>
    </w:p>
    <w:p w14:paraId="460561CC">
      <w:pPr>
        <w:numPr>
          <w:ilvl w:val="1"/>
          <w:numId w:val="0"/>
        </w:numPr>
        <w:suppressAutoHyphens w:val="0"/>
        <w:spacing w:before="72" w:beforeLines="30" w:after="72" w:afterLines="30"/>
        <w:jc w:val="both"/>
        <w:rPr>
          <w:bCs/>
          <w:szCs w:val="24"/>
        </w:rPr>
      </w:pPr>
      <w:r>
        <w:rPr>
          <w:szCs w:val="24"/>
        </w:rPr>
        <w:t>A dotação relativa aos exercícios financeiros subsequentes será indicada após aprovação da Lei Orçamentária respectiva e liberação dos créditos correspondentes, mediante apostilamento.</w:t>
      </w:r>
    </w:p>
    <w:p w14:paraId="5785BB01">
      <w:pPr>
        <w:spacing w:before="72" w:beforeLines="30" w:after="72" w:afterLines="30"/>
        <w:jc w:val="both"/>
        <w:rPr>
          <w:bCs/>
          <w:szCs w:val="24"/>
        </w:rPr>
      </w:pPr>
    </w:p>
    <w:p w14:paraId="406404C8">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DÉCIMA TERCEIRA– DOS CASOS OMISSOS (art. 92, III)</w:t>
      </w:r>
    </w:p>
    <w:p w14:paraId="58184A51">
      <w:pPr>
        <w:numPr>
          <w:ilvl w:val="1"/>
          <w:numId w:val="0"/>
        </w:numPr>
        <w:suppressAutoHyphens w:val="0"/>
        <w:spacing w:before="72" w:beforeLines="30" w:after="72" w:afterLines="30"/>
        <w:jc w:val="both"/>
        <w:rPr>
          <w:szCs w:val="24"/>
        </w:rPr>
      </w:pPr>
      <w:r>
        <w:rPr>
          <w:szCs w:val="24"/>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6E7E137">
      <w:pPr>
        <w:spacing w:before="72" w:beforeLines="30" w:after="72" w:afterLines="30"/>
        <w:jc w:val="both"/>
        <w:rPr>
          <w:szCs w:val="24"/>
        </w:rPr>
      </w:pPr>
    </w:p>
    <w:p w14:paraId="78B7C202">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DÉCIMA QUARTA– ALTERAÇÕES</w:t>
      </w:r>
    </w:p>
    <w:p w14:paraId="3C9ACE6C">
      <w:pPr>
        <w:numPr>
          <w:ilvl w:val="1"/>
          <w:numId w:val="0"/>
        </w:numPr>
        <w:suppressAutoHyphens w:val="0"/>
        <w:spacing w:before="72" w:beforeLines="30" w:after="72" w:afterLines="30"/>
        <w:jc w:val="both"/>
        <w:rPr>
          <w:szCs w:val="24"/>
        </w:rPr>
      </w:pPr>
      <w:r>
        <w:rPr>
          <w:szCs w:val="24"/>
        </w:rPr>
        <w:t>14.2 Eventuais alterações contratuais reger-se-ão pela disciplina dos arts. 124 e seguintes da Lei nº 14.133, de 2021.</w:t>
      </w:r>
    </w:p>
    <w:p w14:paraId="19EDDD47">
      <w:pPr>
        <w:numPr>
          <w:ilvl w:val="1"/>
          <w:numId w:val="0"/>
        </w:numPr>
        <w:suppressAutoHyphens w:val="0"/>
        <w:spacing w:before="72" w:beforeLines="30" w:after="72" w:afterLines="30"/>
        <w:jc w:val="both"/>
        <w:rPr>
          <w:szCs w:val="24"/>
        </w:rPr>
      </w:pPr>
      <w:r>
        <w:rPr>
          <w:szCs w:val="24"/>
        </w:rPr>
        <w:t>14.2 O Contratado é obrigado a aceitar, nas mesmas condições contratuais, os acréscimos ou supressões que se fizerem necessários, até o limite de 25% (vinte e cinco por cento) do valor inicial atualizado do contrato.</w:t>
      </w:r>
    </w:p>
    <w:p w14:paraId="554EB0AD">
      <w:pPr>
        <w:numPr>
          <w:ilvl w:val="1"/>
          <w:numId w:val="0"/>
        </w:numPr>
        <w:suppressAutoHyphens w:val="0"/>
        <w:spacing w:before="72" w:beforeLines="30" w:after="72" w:afterLines="30"/>
        <w:jc w:val="both"/>
        <w:rPr>
          <w:szCs w:val="24"/>
        </w:rPr>
      </w:pPr>
      <w:r>
        <w:rPr>
          <w:szCs w:val="24"/>
        </w:rPr>
        <w:t>14.3 Registros que não caracterizam alteração do contrato podem ser realizados por simples apostila, dispensada a celebração de termo aditivo, na forma do art. 136 da Lei nº 14.133, de 2021.</w:t>
      </w:r>
    </w:p>
    <w:p w14:paraId="46DCCC6A">
      <w:pPr>
        <w:spacing w:before="72" w:beforeLines="30" w:after="72" w:afterLines="30"/>
        <w:jc w:val="both"/>
        <w:rPr>
          <w:szCs w:val="24"/>
        </w:rPr>
      </w:pPr>
    </w:p>
    <w:p w14:paraId="1F9AEA1B">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DÉCIMA QUINTA– PUBLICAÇÃO</w:t>
      </w:r>
    </w:p>
    <w:p w14:paraId="1513E15B">
      <w:pPr>
        <w:numPr>
          <w:ilvl w:val="1"/>
          <w:numId w:val="0"/>
        </w:numPr>
        <w:suppressAutoHyphens w:val="0"/>
        <w:spacing w:before="72" w:beforeLines="30" w:after="72" w:afterLines="30"/>
        <w:jc w:val="both"/>
        <w:rPr>
          <w:szCs w:val="24"/>
        </w:rPr>
      </w:pPr>
      <w:r>
        <w:rPr>
          <w:szCs w:val="24"/>
        </w:rPr>
        <w:t>15.1 Incumbirá ao Contratante providenciar a publicação deste instrumento nos termos e condições previstas na Lei nº 14.133/21.</w:t>
      </w:r>
    </w:p>
    <w:p w14:paraId="36B927D7">
      <w:pPr>
        <w:spacing w:before="72" w:beforeLines="30" w:after="72" w:afterLines="30"/>
        <w:jc w:val="both"/>
        <w:rPr>
          <w:szCs w:val="24"/>
        </w:rPr>
      </w:pPr>
    </w:p>
    <w:p w14:paraId="783A3D64">
      <w:pPr>
        <w:pStyle w:val="60"/>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DÉCIMA SEXTA– FORO (art. 92, §1º)</w:t>
      </w:r>
    </w:p>
    <w:p w14:paraId="6D5220CF">
      <w:pPr>
        <w:numPr>
          <w:ilvl w:val="1"/>
          <w:numId w:val="0"/>
        </w:numPr>
        <w:suppressAutoHyphens w:val="0"/>
        <w:spacing w:before="72" w:beforeLines="30" w:after="72" w:afterLines="30"/>
        <w:jc w:val="both"/>
        <w:rPr>
          <w:szCs w:val="24"/>
        </w:rPr>
      </w:pPr>
      <w:r>
        <w:rPr>
          <w:szCs w:val="24"/>
        </w:rPr>
        <w:t xml:space="preserve">16.1 É eleito o Foro da Comarca de Bela Vista-MS para dirimir os litígios que decorrerem da execução deste Termo de Contrato que não possam ser compostos pela conciliação, conforme art. 92, §1º da Lei nº 14.133/21. </w:t>
      </w:r>
    </w:p>
    <w:p w14:paraId="02C18C3B">
      <w:pPr>
        <w:spacing w:before="72" w:beforeLines="30" w:after="72" w:afterLines="30"/>
        <w:jc w:val="both"/>
        <w:rPr>
          <w:szCs w:val="24"/>
        </w:rPr>
      </w:pPr>
      <w:r>
        <w:rPr>
          <w:szCs w:val="24"/>
        </w:rPr>
        <w:t>...........................................,  .......... de.......................................... de 20.....</w:t>
      </w:r>
    </w:p>
    <w:p w14:paraId="562D5D9E">
      <w:pPr>
        <w:spacing w:before="72" w:beforeLines="30" w:after="72" w:afterLines="30"/>
        <w:jc w:val="center"/>
        <w:rPr>
          <w:bCs/>
          <w:szCs w:val="24"/>
        </w:rPr>
      </w:pPr>
      <w:r>
        <w:rPr>
          <w:bCs/>
          <w:szCs w:val="24"/>
        </w:rPr>
        <w:t>Representante legal do CONTRATANTE</w:t>
      </w:r>
    </w:p>
    <w:p w14:paraId="256D5A5B">
      <w:pPr>
        <w:spacing w:before="72" w:beforeLines="30" w:after="72" w:afterLines="30"/>
        <w:jc w:val="center"/>
        <w:rPr>
          <w:szCs w:val="24"/>
        </w:rPr>
      </w:pPr>
      <w:r>
        <w:rPr>
          <w:bCs/>
          <w:szCs w:val="24"/>
        </w:rPr>
        <w:t>Representante</w:t>
      </w:r>
      <w:r>
        <w:rPr>
          <w:szCs w:val="24"/>
        </w:rPr>
        <w:t xml:space="preserve"> legal do CONTRATADO</w:t>
      </w:r>
    </w:p>
    <w:p w14:paraId="6F302B60">
      <w:pPr>
        <w:spacing w:before="72" w:beforeLines="30" w:after="72" w:afterLines="30"/>
        <w:jc w:val="both"/>
        <w:rPr>
          <w:szCs w:val="24"/>
        </w:rPr>
      </w:pPr>
      <w:r>
        <w:rPr>
          <w:szCs w:val="24"/>
        </w:rPr>
        <w:t>TESTEMUNHAS:</w:t>
      </w:r>
    </w:p>
    <w:p w14:paraId="25FCE54F">
      <w:pPr>
        <w:spacing w:before="72" w:beforeLines="30" w:after="72" w:afterLines="30"/>
        <w:rPr>
          <w:szCs w:val="24"/>
        </w:rPr>
      </w:pPr>
      <w:r>
        <w:rPr>
          <w:szCs w:val="24"/>
        </w:rPr>
        <w:t>1-</w:t>
      </w:r>
    </w:p>
    <w:p w14:paraId="71F5BCAC">
      <w:pPr>
        <w:tabs>
          <w:tab w:val="left" w:pos="284"/>
          <w:tab w:val="left" w:pos="709"/>
        </w:tabs>
        <w:autoSpaceDE w:val="0"/>
        <w:snapToGrid w:val="0"/>
        <w:spacing w:before="72" w:beforeLines="30" w:after="72" w:afterLines="30"/>
        <w:ind w:right="-1"/>
        <w:jc w:val="center"/>
        <w:rPr>
          <w:b/>
          <w:szCs w:val="24"/>
        </w:rPr>
      </w:pPr>
    </w:p>
    <w:p w14:paraId="7B53FC6E">
      <w:pPr>
        <w:tabs>
          <w:tab w:val="left" w:pos="284"/>
          <w:tab w:val="left" w:pos="709"/>
        </w:tabs>
        <w:autoSpaceDE w:val="0"/>
        <w:snapToGrid w:val="0"/>
        <w:spacing w:before="72" w:beforeLines="30" w:after="72" w:afterLines="30"/>
        <w:ind w:right="-1"/>
        <w:jc w:val="center"/>
        <w:rPr>
          <w:b/>
          <w:szCs w:val="24"/>
        </w:rPr>
      </w:pPr>
    </w:p>
    <w:p w14:paraId="6008022B">
      <w:pPr>
        <w:tabs>
          <w:tab w:val="left" w:pos="284"/>
          <w:tab w:val="left" w:pos="709"/>
        </w:tabs>
        <w:autoSpaceDE w:val="0"/>
        <w:snapToGrid w:val="0"/>
        <w:spacing w:before="72" w:beforeLines="30" w:after="72" w:afterLines="30"/>
        <w:ind w:right="-1"/>
        <w:jc w:val="center"/>
        <w:rPr>
          <w:b/>
          <w:szCs w:val="24"/>
        </w:rPr>
      </w:pPr>
    </w:p>
    <w:p w14:paraId="11426213">
      <w:pPr>
        <w:tabs>
          <w:tab w:val="left" w:pos="284"/>
          <w:tab w:val="left" w:pos="709"/>
        </w:tabs>
        <w:autoSpaceDE w:val="0"/>
        <w:snapToGrid w:val="0"/>
        <w:spacing w:before="72" w:beforeLines="30" w:after="72" w:afterLines="30"/>
        <w:ind w:right="-1"/>
        <w:jc w:val="center"/>
        <w:rPr>
          <w:b/>
          <w:color w:val="000000"/>
          <w:szCs w:val="24"/>
        </w:rPr>
      </w:pPr>
      <w:r>
        <w:rPr>
          <w:b/>
          <w:szCs w:val="24"/>
        </w:rPr>
        <w:br w:type="page"/>
      </w:r>
      <w:r>
        <w:rPr>
          <w:b/>
          <w:color w:val="000000"/>
          <w:szCs w:val="24"/>
        </w:rPr>
        <w:t>ANEXO III</w:t>
      </w:r>
    </w:p>
    <w:p w14:paraId="3AB91EBC">
      <w:pPr>
        <w:tabs>
          <w:tab w:val="left" w:pos="284"/>
          <w:tab w:val="left" w:pos="709"/>
        </w:tabs>
        <w:autoSpaceDE w:val="0"/>
        <w:snapToGrid w:val="0"/>
        <w:spacing w:before="72" w:beforeLines="30" w:after="72" w:afterLines="30"/>
        <w:ind w:right="-1"/>
        <w:jc w:val="center"/>
        <w:rPr>
          <w:b/>
          <w:color w:val="000000"/>
          <w:szCs w:val="24"/>
        </w:rPr>
      </w:pPr>
    </w:p>
    <w:p w14:paraId="6ADCF619">
      <w:pPr>
        <w:spacing w:before="72" w:beforeLines="30" w:after="72" w:afterLines="30"/>
        <w:jc w:val="center"/>
        <w:rPr>
          <w:b/>
          <w:bCs/>
          <w:iCs/>
          <w:color w:val="000000"/>
          <w:szCs w:val="24"/>
        </w:rPr>
      </w:pPr>
      <w:r>
        <w:rPr>
          <w:b/>
          <w:bCs/>
          <w:iCs/>
          <w:color w:val="000000"/>
          <w:szCs w:val="24"/>
        </w:rPr>
        <w:t>ATA DE REGISTRO DE PREÇOS</w:t>
      </w:r>
    </w:p>
    <w:p w14:paraId="39DA1B30">
      <w:pPr>
        <w:widowControl w:val="0"/>
        <w:autoSpaceDE w:val="0"/>
        <w:autoSpaceDN w:val="0"/>
        <w:adjustRightInd w:val="0"/>
        <w:spacing w:before="72" w:beforeLines="30" w:after="72" w:afterLines="30"/>
        <w:ind w:right="-30"/>
        <w:jc w:val="center"/>
        <w:rPr>
          <w:bCs/>
          <w:szCs w:val="24"/>
        </w:rPr>
      </w:pPr>
      <w:r>
        <w:rPr>
          <w:bCs/>
          <w:szCs w:val="24"/>
        </w:rPr>
        <w:t>N.º .........</w:t>
      </w:r>
    </w:p>
    <w:p w14:paraId="7F51CEE2">
      <w:pPr>
        <w:suppressAutoHyphens w:val="0"/>
        <w:spacing w:before="72" w:beforeLines="30" w:after="72" w:afterLines="30"/>
        <w:ind w:firstLine="1418"/>
        <w:jc w:val="both"/>
        <w:rPr>
          <w:szCs w:val="24"/>
          <w:lang w:eastAsia="pt-BR"/>
        </w:rPr>
      </w:pPr>
      <w:r>
        <w:rPr>
          <w:color w:val="000000"/>
          <w:szCs w:val="24"/>
          <w:lang w:eastAsia="pt-BR"/>
        </w:rPr>
        <w:t>O Município de Caracol -Estado de Mato Grosso do Sul</w:t>
      </w:r>
      <w:r>
        <w:rPr>
          <w:b/>
          <w:bCs/>
          <w:color w:val="000000"/>
          <w:szCs w:val="24"/>
          <w:lang w:eastAsia="pt-BR"/>
        </w:rPr>
        <w:t xml:space="preserve">, </w:t>
      </w:r>
      <w:r>
        <w:rPr>
          <w:bCs/>
          <w:color w:val="000000"/>
          <w:szCs w:val="24"/>
          <w:lang w:eastAsia="pt-BR"/>
        </w:rPr>
        <w:t>pessoa jurídica de direito público,</w:t>
      </w:r>
      <w:r>
        <w:rPr>
          <w:b/>
          <w:bCs/>
          <w:color w:val="000000"/>
          <w:szCs w:val="24"/>
          <w:lang w:eastAsia="pt-BR"/>
        </w:rPr>
        <w:t xml:space="preserve"> </w:t>
      </w:r>
      <w:r>
        <w:rPr>
          <w:color w:val="000000"/>
          <w:szCs w:val="24"/>
          <w:lang w:eastAsia="pt-BR"/>
        </w:rPr>
        <w:t xml:space="preserve"> inscrito no CNPJ/MF sob o nº</w:t>
      </w:r>
      <w:r>
        <w:rPr>
          <w:szCs w:val="24"/>
          <w:lang w:eastAsia="pt-BR"/>
        </w:rPr>
        <w:t xml:space="preserve"> </w:t>
      </w:r>
      <w:r>
        <w:rPr>
          <w:b/>
          <w:bCs/>
          <w:szCs w:val="24"/>
          <w:lang w:eastAsia="pt-BR"/>
        </w:rPr>
        <w:t>xxxxxxxxxxxxxxxxxxxx</w:t>
      </w:r>
      <w:r>
        <w:rPr>
          <w:color w:val="000000"/>
          <w:szCs w:val="24"/>
          <w:lang w:eastAsia="pt-BR"/>
        </w:rPr>
        <w:t xml:space="preserve">, com sede administrativa localizada na Avenida Libindo Ferreira Leite, 251, Centro, CEP 79.2700-000, neste ato representado pelo Prefietura Municipal, Sr. Xxxxxxxxxxxxxxxxx, Matricula Funcional nº         </w:t>
      </w:r>
      <w:r>
        <w:rPr>
          <w:rFonts w:eastAsia="Arial"/>
          <w:szCs w:val="24"/>
          <w:lang w:eastAsia="pt-BR"/>
        </w:rPr>
        <w:t xml:space="preserve">, </w:t>
      </w:r>
      <w:r>
        <w:rPr>
          <w:szCs w:val="24"/>
          <w:lang w:eastAsia="pt-BR"/>
        </w:rPr>
        <w:t xml:space="preserve">considerando o julgamento da licitação na modalidade de pregão, na forma eletrônica, para REGISTRO DE PREÇOS nº </w:t>
      </w:r>
      <w:r>
        <w:rPr>
          <w:color w:val="FF0000"/>
          <w:szCs w:val="24"/>
          <w:lang w:eastAsia="pt-BR"/>
        </w:rPr>
        <w:t xml:space="preserve">..../202..., </w:t>
      </w:r>
      <w:r>
        <w:rPr>
          <w:szCs w:val="24"/>
          <w:lang w:eastAsia="pt-BR"/>
        </w:rPr>
        <w:t xml:space="preserve">publicada no </w:t>
      </w:r>
      <w:r>
        <w:rPr>
          <w:color w:val="FF0000"/>
          <w:szCs w:val="24"/>
          <w:lang w:eastAsia="pt-BR"/>
        </w:rPr>
        <w:t xml:space="preserve">...... de ...../...../202....., </w:t>
      </w:r>
      <w:r>
        <w:rPr>
          <w:szCs w:val="24"/>
          <w:lang w:eastAsia="pt-BR"/>
        </w:rPr>
        <w:t>processo administrativo n.º xx/2024</w:t>
      </w:r>
      <w:r>
        <w:rPr>
          <w:color w:val="FF0000"/>
          <w:szCs w:val="24"/>
          <w:lang w:eastAsia="pt-BR"/>
        </w:rPr>
        <w:t>,</w:t>
      </w:r>
      <w:r>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b/>
          <w:bCs/>
          <w:szCs w:val="24"/>
          <w:lang w:eastAsia="pt-BR"/>
        </w:rPr>
        <w:t>63/2023,</w:t>
      </w:r>
      <w:r>
        <w:rPr>
          <w:szCs w:val="24"/>
          <w:lang w:eastAsia="pt-BR"/>
        </w:rPr>
        <w:t xml:space="preserve"> e em conformidade com as disposições a seguir:</w:t>
      </w:r>
    </w:p>
    <w:p w14:paraId="007ABB20">
      <w:pPr>
        <w:suppressAutoHyphens w:val="0"/>
        <w:spacing w:before="72" w:beforeLines="30" w:after="72" w:afterLines="30"/>
        <w:jc w:val="both"/>
        <w:rPr>
          <w:szCs w:val="24"/>
          <w:lang w:eastAsia="pt-BR"/>
        </w:rPr>
      </w:pPr>
    </w:p>
    <w:p w14:paraId="7F697A63">
      <w:pPr>
        <w:keepNext/>
        <w:keepLines/>
        <w:tabs>
          <w:tab w:val="left" w:pos="567"/>
        </w:tabs>
        <w:suppressAutoHyphens w:val="0"/>
        <w:spacing w:before="72" w:beforeLines="30" w:after="72" w:afterLines="30"/>
        <w:jc w:val="both"/>
        <w:outlineLvl w:val="0"/>
        <w:rPr>
          <w:rFonts w:eastAsia="Noto Sans CJK SC"/>
          <w:b/>
          <w:bCs/>
          <w:color w:val="000000"/>
          <w:szCs w:val="24"/>
        </w:rPr>
      </w:pPr>
      <w:r>
        <w:rPr>
          <w:rFonts w:eastAsia="Noto Sans CJK SC"/>
          <w:b/>
          <w:bCs/>
          <w:color w:val="000000"/>
          <w:szCs w:val="24"/>
        </w:rPr>
        <w:t>1. DO OBJETO</w:t>
      </w:r>
    </w:p>
    <w:p w14:paraId="0C8917EA">
      <w:pPr>
        <w:ind w:right="-1"/>
        <w:jc w:val="both"/>
        <w:rPr>
          <w:szCs w:val="24"/>
        </w:rPr>
      </w:pPr>
      <w:r>
        <w:rPr>
          <w:szCs w:val="24"/>
        </w:rPr>
        <w:t xml:space="preserve">1.1 A presente Ata tem por objeto o </w:t>
      </w:r>
      <w:r>
        <w:rPr>
          <w:color w:val="000000" w:themeColor="text1"/>
          <w:szCs w:val="24"/>
          <w14:textFill>
            <w14:solidFill>
              <w14:schemeClr w14:val="tx1"/>
            </w14:solidFill>
          </w14:textFill>
        </w:rPr>
        <w:t>registro de preços visando</w:t>
      </w: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a </w:t>
      </w:r>
      <w:r>
        <w:rPr>
          <w:b/>
          <w:bCs/>
          <w:szCs w:val="24"/>
          <w:highlight w:val="yellow"/>
        </w:rPr>
        <w:t>XXXXXX</w:t>
      </w:r>
      <w:r>
        <w:rPr>
          <w:b/>
          <w:bCs/>
          <w:szCs w:val="24"/>
        </w:rPr>
        <w:t xml:space="preserve"> </w:t>
      </w:r>
      <w:r>
        <w:rPr>
          <w:szCs w:val="24"/>
        </w:rPr>
        <w:t>especificados no item 1.1 do Termo de Referência, anexo I do edital de Licitação nº xx/2025, que é parte integrante desta Ata, assim como as propostas cujos preços tenham sido registrados, independentemente de transcrição.</w:t>
      </w:r>
    </w:p>
    <w:p w14:paraId="026712E6">
      <w:pPr>
        <w:suppressAutoHyphens w:val="0"/>
        <w:autoSpaceDE w:val="0"/>
        <w:autoSpaceDN w:val="0"/>
        <w:adjustRightInd w:val="0"/>
        <w:spacing w:before="72" w:beforeLines="30" w:after="72" w:afterLines="30"/>
        <w:jc w:val="both"/>
        <w:rPr>
          <w:rFonts w:eastAsia="Arial Unicode MS"/>
          <w:szCs w:val="24"/>
          <w:lang w:eastAsia="pt-BR"/>
        </w:rPr>
      </w:pPr>
    </w:p>
    <w:p w14:paraId="474CBF72">
      <w:pPr>
        <w:keepNext/>
        <w:keepLines/>
        <w:numPr>
          <w:ilvl w:val="0"/>
          <w:numId w:val="7"/>
        </w:numPr>
        <w:tabs>
          <w:tab w:val="left" w:pos="360"/>
          <w:tab w:val="left" w:pos="567"/>
        </w:tabs>
        <w:suppressAutoHyphens w:val="0"/>
        <w:spacing w:before="30" w:after="30"/>
        <w:jc w:val="both"/>
        <w:outlineLvl w:val="0"/>
        <w:rPr>
          <w:rFonts w:eastAsia="Noto Sans CJK SC"/>
          <w:b/>
          <w:bCs/>
          <w:color w:val="000000"/>
          <w:szCs w:val="24"/>
        </w:rPr>
      </w:pPr>
      <w:r>
        <w:rPr>
          <w:rFonts w:eastAsia="Noto Sans CJK SC"/>
          <w:b/>
          <w:bCs/>
          <w:color w:val="000000"/>
          <w:szCs w:val="24"/>
        </w:rPr>
        <w:t>DOS PREÇOS, ESPECIFICAÇÕES E QUANTITATIVOS</w:t>
      </w:r>
    </w:p>
    <w:p w14:paraId="6659539A">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p w14:paraId="0BE92DF7">
      <w:pPr>
        <w:suppressAutoHyphens w:val="0"/>
        <w:spacing w:before="72" w:beforeLines="30" w:after="72" w:afterLines="30"/>
        <w:jc w:val="both"/>
        <w:rPr>
          <w:rFonts w:eastAsia="Arial Unicode MS"/>
          <w:szCs w:val="24"/>
          <w:lang w:eastAsia="pt-BR"/>
        </w:rPr>
      </w:pPr>
    </w:p>
    <w:tbl>
      <w:tblPr>
        <w:tblStyle w:val="8"/>
        <w:tblW w:w="9639" w:type="dxa"/>
        <w:tblInd w:w="-5" w:type="dxa"/>
        <w:tblLayout w:type="fixed"/>
        <w:tblCellMar>
          <w:top w:w="0" w:type="dxa"/>
          <w:left w:w="108" w:type="dxa"/>
          <w:bottom w:w="0" w:type="dxa"/>
          <w:right w:w="108" w:type="dxa"/>
        </w:tblCellMar>
      </w:tblPr>
      <w:tblGrid>
        <w:gridCol w:w="993"/>
        <w:gridCol w:w="3543"/>
        <w:gridCol w:w="993"/>
        <w:gridCol w:w="992"/>
        <w:gridCol w:w="283"/>
        <w:gridCol w:w="1276"/>
        <w:gridCol w:w="1559"/>
      </w:tblGrid>
      <w:tr w14:paraId="0BCBEFA9">
        <w:tblPrEx>
          <w:tblCellMar>
            <w:top w:w="0" w:type="dxa"/>
            <w:left w:w="108" w:type="dxa"/>
            <w:bottom w:w="0" w:type="dxa"/>
            <w:right w:w="108" w:type="dxa"/>
          </w:tblCellMar>
        </w:tblPrEx>
        <w:tc>
          <w:tcPr>
            <w:tcW w:w="6804" w:type="dxa"/>
            <w:gridSpan w:val="5"/>
            <w:tcBorders>
              <w:top w:val="single" w:color="000000" w:sz="4" w:space="0"/>
              <w:left w:val="single" w:color="000000" w:sz="4" w:space="0"/>
              <w:bottom w:val="single" w:color="000000" w:sz="4" w:space="0"/>
              <w:right w:val="single" w:color="000000" w:sz="4" w:space="0"/>
            </w:tcBorders>
          </w:tcPr>
          <w:p w14:paraId="0B95093E">
            <w:pPr>
              <w:widowControl w:val="0"/>
              <w:spacing w:before="72" w:beforeLines="30" w:after="72" w:afterLines="30"/>
              <w:jc w:val="center"/>
              <w:rPr>
                <w:rFonts w:eastAsia="Arial"/>
                <w:b/>
                <w:bCs/>
                <w:sz w:val="20"/>
              </w:rPr>
            </w:pPr>
            <w:r>
              <w:rPr>
                <w:rFonts w:eastAsia="Arial"/>
                <w:b/>
                <w:bCs/>
                <w:sz w:val="20"/>
              </w:rPr>
              <w:t>Fornecedor</w:t>
            </w:r>
          </w:p>
        </w:tc>
        <w:tc>
          <w:tcPr>
            <w:tcW w:w="2835" w:type="dxa"/>
            <w:gridSpan w:val="2"/>
            <w:tcBorders>
              <w:top w:val="single" w:color="000000" w:sz="4" w:space="0"/>
              <w:left w:val="single" w:color="000000" w:sz="4" w:space="0"/>
              <w:bottom w:val="single" w:color="000000" w:sz="4" w:space="0"/>
              <w:right w:val="single" w:color="000000" w:sz="4" w:space="0"/>
            </w:tcBorders>
          </w:tcPr>
          <w:p w14:paraId="6F903EF3">
            <w:pPr>
              <w:widowControl w:val="0"/>
              <w:spacing w:before="72" w:beforeLines="30" w:after="72" w:afterLines="30"/>
              <w:jc w:val="center"/>
              <w:rPr>
                <w:rFonts w:eastAsia="Arial"/>
                <w:b/>
                <w:bCs/>
                <w:sz w:val="20"/>
              </w:rPr>
            </w:pPr>
            <w:r>
              <w:rPr>
                <w:rFonts w:eastAsia="Arial"/>
                <w:b/>
                <w:bCs/>
                <w:sz w:val="20"/>
              </w:rPr>
              <w:t>CNPJ</w:t>
            </w:r>
          </w:p>
        </w:tc>
      </w:tr>
      <w:tr w14:paraId="5FF9E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9B5D1C8">
            <w:pPr>
              <w:widowControl w:val="0"/>
              <w:spacing w:before="120" w:after="288" w:afterLines="120" w:line="312" w:lineRule="auto"/>
              <w:jc w:val="center"/>
              <w:rPr>
                <w:rFonts w:eastAsia="Arial"/>
                <w:b/>
                <w:bCs/>
                <w:color w:val="000000"/>
                <w:sz w:val="20"/>
              </w:rPr>
            </w:pPr>
            <w:r>
              <w:rPr>
                <w:rFonts w:eastAsia="Arial"/>
                <w:b/>
                <w:bCs/>
                <w:color w:val="000000" w:themeColor="text1"/>
                <w:sz w:val="20"/>
                <w14:textFill>
                  <w14:solidFill>
                    <w14:schemeClr w14:val="tx1"/>
                  </w14:solidFill>
                </w14:textFill>
              </w:rPr>
              <w:t>ITEM</w:t>
            </w:r>
          </w:p>
          <w:p w14:paraId="3F3D9FA7">
            <w:pPr>
              <w:widowControl w:val="0"/>
              <w:spacing w:before="120" w:after="288" w:afterLines="120" w:line="312" w:lineRule="auto"/>
              <w:jc w:val="center"/>
              <w:rPr>
                <w:rFonts w:eastAsia="Arial"/>
                <w:b/>
                <w:bCs/>
                <w:color w:val="000000" w:themeColor="text1"/>
                <w:sz w:val="20"/>
                <w14:textFill>
                  <w14:solidFill>
                    <w14:schemeClr w14:val="tx1"/>
                  </w14:solidFill>
                </w14:textFill>
              </w:rPr>
            </w:pPr>
          </w:p>
        </w:tc>
        <w:tc>
          <w:tcPr>
            <w:tcW w:w="35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A2293C6">
            <w:pPr>
              <w:widowControl w:val="0"/>
              <w:spacing w:before="120" w:after="288" w:afterLines="120" w:line="312" w:lineRule="auto"/>
              <w:jc w:val="center"/>
              <w:rPr>
                <w:rFonts w:eastAsia="Arial"/>
                <w:b/>
                <w:bCs/>
                <w:color w:val="000000" w:themeColor="text1"/>
                <w:sz w:val="20"/>
                <w14:textFill>
                  <w14:solidFill>
                    <w14:schemeClr w14:val="tx1"/>
                  </w14:solidFill>
                </w14:textFill>
              </w:rPr>
            </w:pPr>
            <w:r>
              <w:rPr>
                <w:rFonts w:eastAsia="Arial"/>
                <w:b/>
                <w:bCs/>
                <w:color w:val="000000" w:themeColor="text1"/>
                <w:sz w:val="20"/>
                <w14:textFill>
                  <w14:solidFill>
                    <w14:schemeClr w14:val="tx1"/>
                  </w14:solidFill>
                </w14:textFill>
              </w:rPr>
              <w:t>ESPECIFICAÇÃO</w:t>
            </w:r>
          </w:p>
        </w:tc>
        <w:tc>
          <w:tcPr>
            <w:tcW w:w="9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B8BDF0E">
            <w:pPr>
              <w:widowControl w:val="0"/>
              <w:spacing w:before="120" w:after="288" w:afterLines="120" w:line="312" w:lineRule="auto"/>
              <w:jc w:val="center"/>
              <w:rPr>
                <w:rFonts w:eastAsia="Arial"/>
                <w:b/>
                <w:bCs/>
                <w:color w:val="000000" w:themeColor="text1"/>
                <w:sz w:val="20"/>
                <w14:textFill>
                  <w14:solidFill>
                    <w14:schemeClr w14:val="tx1"/>
                  </w14:solidFill>
                </w14:textFill>
              </w:rPr>
            </w:pPr>
            <w:r>
              <w:rPr>
                <w:rFonts w:eastAsia="Arial"/>
                <w:b/>
                <w:bCs/>
                <w:color w:val="000000" w:themeColor="text1"/>
                <w:sz w:val="20"/>
                <w14:textFill>
                  <w14:solidFill>
                    <w14:schemeClr w14:val="tx1"/>
                  </w14:solidFill>
                </w14:textFill>
              </w:rPr>
              <w:t>UNID. MED.</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FF90AE8">
            <w:pPr>
              <w:widowControl w:val="0"/>
              <w:spacing w:before="120" w:after="288" w:afterLines="120" w:line="312" w:lineRule="auto"/>
              <w:jc w:val="center"/>
              <w:rPr>
                <w:rFonts w:eastAsia="Arial"/>
                <w:b/>
                <w:bCs/>
                <w:sz w:val="20"/>
              </w:rPr>
            </w:pPr>
            <w:r>
              <w:rPr>
                <w:rFonts w:eastAsia="Arial"/>
                <w:b/>
                <w:bCs/>
                <w:sz w:val="20"/>
              </w:rPr>
              <w:t>QUANT.</w:t>
            </w:r>
          </w:p>
        </w:tc>
        <w:tc>
          <w:tcPr>
            <w:tcW w:w="1559"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024328F">
            <w:pPr>
              <w:widowControl w:val="0"/>
              <w:spacing w:before="120" w:after="288" w:afterLines="120" w:line="312" w:lineRule="auto"/>
              <w:jc w:val="center"/>
              <w:rPr>
                <w:rFonts w:eastAsia="Arial"/>
                <w:b/>
                <w:bCs/>
                <w:sz w:val="20"/>
              </w:rPr>
            </w:pPr>
            <w:r>
              <w:rPr>
                <w:rFonts w:eastAsia="Arial"/>
                <w:b/>
                <w:bCs/>
                <w:sz w:val="20"/>
              </w:rPr>
              <w:t>VALOR UNITÁRIO</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7B46E57">
            <w:pPr>
              <w:widowControl w:val="0"/>
              <w:spacing w:before="120" w:after="288" w:afterLines="120" w:line="312" w:lineRule="auto"/>
              <w:jc w:val="center"/>
              <w:rPr>
                <w:rFonts w:eastAsia="Arial"/>
                <w:b/>
                <w:bCs/>
                <w:sz w:val="20"/>
              </w:rPr>
            </w:pPr>
            <w:r>
              <w:rPr>
                <w:rFonts w:eastAsia="Arial"/>
                <w:b/>
                <w:bCs/>
                <w:sz w:val="20"/>
              </w:rPr>
              <w:t>VALOR TOTAL</w:t>
            </w:r>
          </w:p>
        </w:tc>
      </w:tr>
    </w:tbl>
    <w:p w14:paraId="1192FF82">
      <w:pPr>
        <w:numPr>
          <w:ilvl w:val="1"/>
          <w:numId w:val="8"/>
        </w:numPr>
        <w:suppressAutoHyphens w:val="0"/>
        <w:spacing w:before="72" w:beforeLines="30" w:after="72" w:afterLines="30"/>
        <w:ind w:left="0" w:firstLine="0"/>
        <w:jc w:val="both"/>
        <w:rPr>
          <w:rFonts w:eastAsia="Arial Unicode MS"/>
          <w:szCs w:val="24"/>
          <w:lang w:eastAsia="en-US"/>
        </w:rPr>
      </w:pPr>
      <w:r>
        <w:rPr>
          <w:rFonts w:eastAsia="Arial Unicode MS"/>
          <w:szCs w:val="24"/>
          <w:lang w:eastAsia="en-US"/>
        </w:rPr>
        <w:t>A listagem do cadastro de reserva referente ao presente registro de preços consta como anexo a esta Ata.</w:t>
      </w:r>
    </w:p>
    <w:p w14:paraId="4F60DB38">
      <w:pPr>
        <w:numPr>
          <w:ilvl w:val="1"/>
          <w:numId w:val="8"/>
        </w:numPr>
        <w:suppressAutoHyphens w:val="0"/>
        <w:spacing w:before="72" w:beforeLines="30" w:after="72" w:afterLines="30"/>
        <w:ind w:left="0" w:firstLine="0"/>
        <w:jc w:val="both"/>
        <w:rPr>
          <w:rFonts w:eastAsia="Arial Unicode MS"/>
          <w:szCs w:val="24"/>
          <w:lang w:eastAsia="en-US"/>
        </w:rPr>
      </w:pPr>
      <w:r>
        <w:rPr>
          <w:rFonts w:eastAsia="Arial Unicode MS"/>
          <w:szCs w:val="24"/>
          <w:lang w:eastAsia="en-US"/>
        </w:rPr>
        <w:t>A forma de entrega e encontra-se no termo de referência.</w:t>
      </w:r>
    </w:p>
    <w:p w14:paraId="51C6C7A3">
      <w:pPr>
        <w:suppressAutoHyphens w:val="0"/>
        <w:autoSpaceDE w:val="0"/>
        <w:autoSpaceDN w:val="0"/>
        <w:adjustRightInd w:val="0"/>
        <w:spacing w:before="72" w:beforeLines="30" w:after="72" w:afterLines="30"/>
        <w:jc w:val="both"/>
        <w:rPr>
          <w:rFonts w:eastAsia="Arial Unicode MS"/>
          <w:szCs w:val="24"/>
          <w:lang w:eastAsia="en-US"/>
        </w:rPr>
      </w:pPr>
    </w:p>
    <w:p w14:paraId="51E59F51">
      <w:pPr>
        <w:numPr>
          <w:ilvl w:val="0"/>
          <w:numId w:val="8"/>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DO(S) ÓRGÃO(S) GERENCIADOR(ES) E  PARTICIPANTE(S)</w:t>
      </w:r>
    </w:p>
    <w:p w14:paraId="711DBDDD">
      <w:pPr>
        <w:numPr>
          <w:ilvl w:val="1"/>
          <w:numId w:val="8"/>
        </w:numPr>
        <w:suppressAutoHyphens w:val="0"/>
        <w:autoSpaceDE w:val="0"/>
        <w:autoSpaceDN w:val="0"/>
        <w:adjustRightInd w:val="0"/>
        <w:spacing w:before="72" w:beforeLines="30" w:after="72" w:afterLines="30"/>
        <w:ind w:left="0" w:firstLine="0"/>
        <w:jc w:val="both"/>
        <w:rPr>
          <w:rFonts w:eastAsia="Arial Unicode MS"/>
          <w:szCs w:val="24"/>
          <w:highlight w:val="yellow"/>
          <w:lang w:eastAsia="pt-BR"/>
        </w:rPr>
      </w:pPr>
      <w:r>
        <w:rPr>
          <w:rFonts w:eastAsia="Arial Unicode MS"/>
          <w:szCs w:val="24"/>
          <w:highlight w:val="yellow"/>
          <w:lang w:eastAsia="pt-BR"/>
        </w:rPr>
        <w:t>O órgão gerenciador será o</w:t>
      </w:r>
      <w:r>
        <w:rPr>
          <w:rFonts w:eastAsia="Arial Unicode MS"/>
          <w:b/>
          <w:bCs/>
          <w:szCs w:val="24"/>
          <w:highlight w:val="yellow"/>
          <w:lang w:eastAsia="pt-BR"/>
        </w:rPr>
        <w:t xml:space="preserve"> </w:t>
      </w:r>
      <w:r>
        <w:rPr>
          <w:rFonts w:eastAsia="Arial Unicode MS"/>
          <w:bCs/>
          <w:szCs w:val="24"/>
          <w:highlight w:val="yellow"/>
          <w:lang w:eastAsia="pt-BR"/>
        </w:rPr>
        <w:t>Município de Caracol -</w:t>
      </w:r>
      <w:r>
        <w:rPr>
          <w:rFonts w:eastAsia="Arial Unicode MS"/>
          <w:szCs w:val="24"/>
          <w:highlight w:val="yellow"/>
          <w:lang w:eastAsia="pt-BR"/>
        </w:rPr>
        <w:t xml:space="preserve"> </w:t>
      </w:r>
      <w:r>
        <w:rPr>
          <w:rFonts w:eastAsia="Arial Unicode MS"/>
          <w:bCs/>
          <w:szCs w:val="24"/>
          <w:highlight w:val="yellow"/>
          <w:lang w:eastAsia="pt-BR"/>
        </w:rPr>
        <w:t>CNPJ: 03.217.924/0001-32</w:t>
      </w:r>
    </w:p>
    <w:p w14:paraId="1D09C684">
      <w:pPr>
        <w:numPr>
          <w:ilvl w:val="1"/>
          <w:numId w:val="8"/>
        </w:numPr>
        <w:suppressAutoHyphens w:val="0"/>
        <w:autoSpaceDE w:val="0"/>
        <w:autoSpaceDN w:val="0"/>
        <w:adjustRightInd w:val="0"/>
        <w:spacing w:before="72" w:beforeLines="30" w:after="72" w:afterLines="30"/>
        <w:ind w:left="0" w:firstLine="0"/>
        <w:jc w:val="both"/>
        <w:rPr>
          <w:rFonts w:eastAsia="Arial Unicode MS"/>
          <w:szCs w:val="24"/>
          <w:highlight w:val="yellow"/>
          <w:lang w:eastAsia="pt-BR"/>
        </w:rPr>
      </w:pPr>
      <w:r>
        <w:rPr>
          <w:rFonts w:eastAsia="Arial Unicode MS"/>
          <w:szCs w:val="24"/>
          <w:highlight w:val="yellow"/>
          <w:lang w:eastAsia="pt-BR"/>
        </w:rPr>
        <w:t>Os órgãos participantes da presente Ata são:</w:t>
      </w:r>
    </w:p>
    <w:p w14:paraId="1B1179EA">
      <w:pPr>
        <w:numPr>
          <w:ilvl w:val="2"/>
          <w:numId w:val="8"/>
        </w:numPr>
        <w:suppressAutoHyphens w:val="0"/>
        <w:spacing w:before="30" w:after="30"/>
        <w:ind w:left="0" w:firstLine="0"/>
        <w:jc w:val="both"/>
        <w:rPr>
          <w:rFonts w:eastAsia="Arial Unicode MS"/>
          <w:bCs/>
          <w:color w:val="000000"/>
          <w:szCs w:val="24"/>
          <w:highlight w:val="yellow"/>
          <w:lang w:eastAsia="pt-BR"/>
        </w:rPr>
      </w:pPr>
      <w:r>
        <w:rPr>
          <w:rFonts w:eastAsia="Arial Unicode MS"/>
          <w:bCs/>
          <w:color w:val="000000"/>
          <w:szCs w:val="24"/>
          <w:highlight w:val="yellow"/>
          <w:lang w:eastAsia="pt-BR"/>
        </w:rPr>
        <w:t>Fundo Municipal de Saúde - CNPJ - 11.812.857/0001-22</w:t>
      </w:r>
    </w:p>
    <w:p w14:paraId="087ED62F">
      <w:pPr>
        <w:numPr>
          <w:ilvl w:val="2"/>
          <w:numId w:val="8"/>
        </w:numPr>
        <w:suppressAutoHyphens w:val="0"/>
        <w:spacing w:before="30" w:after="30"/>
        <w:ind w:left="0" w:firstLine="0"/>
        <w:jc w:val="both"/>
        <w:rPr>
          <w:rFonts w:eastAsia="Arial Unicode MS"/>
          <w:bCs/>
          <w:color w:val="000000"/>
          <w:szCs w:val="24"/>
          <w:highlight w:val="yellow"/>
          <w:lang w:eastAsia="pt-BR"/>
        </w:rPr>
      </w:pPr>
      <w:r>
        <w:rPr>
          <w:rFonts w:eastAsia="Arial Unicode MS"/>
          <w:bCs/>
          <w:color w:val="000000"/>
          <w:szCs w:val="24"/>
          <w:highlight w:val="yellow"/>
          <w:lang w:eastAsia="pt-BR"/>
        </w:rPr>
        <w:t>Fundo Municipal do Meio Ambiente - CNPJ 33.578.583/0001-91</w:t>
      </w:r>
    </w:p>
    <w:p w14:paraId="04EB8A31">
      <w:pPr>
        <w:numPr>
          <w:ilvl w:val="2"/>
          <w:numId w:val="8"/>
        </w:numPr>
        <w:suppressAutoHyphens w:val="0"/>
        <w:spacing w:before="30" w:after="30"/>
        <w:ind w:left="0" w:firstLine="0"/>
        <w:jc w:val="both"/>
        <w:rPr>
          <w:rFonts w:eastAsia="Arial Unicode MS"/>
          <w:bCs/>
          <w:color w:val="000000"/>
          <w:szCs w:val="24"/>
          <w:highlight w:val="yellow"/>
          <w:lang w:eastAsia="pt-BR"/>
        </w:rPr>
      </w:pPr>
      <w:r>
        <w:rPr>
          <w:rFonts w:eastAsia="Arial Unicode MS"/>
          <w:bCs/>
          <w:color w:val="000000"/>
          <w:szCs w:val="24"/>
          <w:highlight w:val="yellow"/>
          <w:lang w:eastAsia="pt-BR"/>
        </w:rPr>
        <w:t>Fundo Municipal Assistência Social – CNPJ 15.615.736/0001-41</w:t>
      </w:r>
    </w:p>
    <w:p w14:paraId="5B21275B">
      <w:pPr>
        <w:suppressAutoHyphens w:val="0"/>
        <w:spacing w:before="72" w:beforeLines="30" w:after="72" w:afterLines="30"/>
        <w:jc w:val="both"/>
        <w:rPr>
          <w:rFonts w:eastAsia="Arial Unicode MS"/>
          <w:szCs w:val="24"/>
          <w:lang w:eastAsia="pt-BR"/>
        </w:rPr>
      </w:pPr>
    </w:p>
    <w:p w14:paraId="21EFB8AF">
      <w:pPr>
        <w:numPr>
          <w:ilvl w:val="0"/>
          <w:numId w:val="8"/>
        </w:numPr>
        <w:suppressAutoHyphens w:val="0"/>
        <w:spacing w:before="72" w:beforeLines="30" w:after="72" w:afterLines="30"/>
        <w:ind w:left="0" w:firstLine="0"/>
        <w:jc w:val="both"/>
        <w:rPr>
          <w:rFonts w:eastAsia="Arial Unicode MS"/>
          <w:b/>
          <w:color w:val="FF0000"/>
          <w:szCs w:val="24"/>
          <w:lang w:eastAsia="pt-BR"/>
        </w:rPr>
      </w:pPr>
      <w:r>
        <w:rPr>
          <w:rFonts w:eastAsia="Arial Unicode MS"/>
          <w:b/>
          <w:szCs w:val="24"/>
          <w:lang w:eastAsia="pt-BR"/>
        </w:rPr>
        <w:t xml:space="preserve">DA ADESÃO À ATA DE REGISTRO DE PREÇOS </w:t>
      </w:r>
    </w:p>
    <w:p w14:paraId="048CD743">
      <w:pPr>
        <w:numPr>
          <w:ilvl w:val="1"/>
          <w:numId w:val="8"/>
        </w:numPr>
        <w:suppressAutoHyphens w:val="0"/>
        <w:spacing w:before="72" w:beforeLines="30" w:after="72" w:afterLines="30"/>
        <w:ind w:left="0" w:firstLine="0"/>
        <w:jc w:val="both"/>
        <w:rPr>
          <w:rFonts w:eastAsia="Arial Unicode MS"/>
          <w:iCs/>
          <w:szCs w:val="24"/>
          <w:lang w:eastAsia="pt-BR"/>
        </w:rPr>
      </w:pPr>
      <w:r>
        <w:rPr>
          <w:rFonts w:eastAsia="Arial Unicode MS"/>
          <w:iCs/>
          <w:szCs w:val="24"/>
          <w:lang w:eastAsia="en-US"/>
        </w:rPr>
        <w:t xml:space="preserve"> Não será admitida a adesão à ata de registro de preços decorrente desta licitação ou desta contratação direta, conforme </w:t>
      </w:r>
      <w:r>
        <w:rPr>
          <w:rFonts w:eastAsia="Arial Unicode MS"/>
          <w:iCs/>
          <w:szCs w:val="24"/>
          <w:lang w:eastAsia="pt-BR"/>
        </w:rPr>
        <w:t>disposto no § 3º do art. 86 da Lei Federal nº 14.133/2021.</w:t>
      </w:r>
    </w:p>
    <w:p w14:paraId="2A2AD5F8">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É vedado efetuar acréscimos nos quantitativos fixados na ata de registro de preços.</w:t>
      </w:r>
    </w:p>
    <w:p w14:paraId="485F6083">
      <w:pPr>
        <w:suppressAutoHyphens w:val="0"/>
        <w:autoSpaceDE w:val="0"/>
        <w:autoSpaceDN w:val="0"/>
        <w:adjustRightInd w:val="0"/>
        <w:spacing w:before="72" w:beforeLines="30" w:after="72" w:afterLines="30"/>
        <w:jc w:val="both"/>
        <w:rPr>
          <w:rFonts w:eastAsia="Arial Unicode MS"/>
          <w:szCs w:val="24"/>
          <w:lang w:eastAsia="pt-BR"/>
        </w:rPr>
      </w:pPr>
    </w:p>
    <w:p w14:paraId="0E065E21">
      <w:pPr>
        <w:numPr>
          <w:ilvl w:val="0"/>
          <w:numId w:val="8"/>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VALIDADE, FORMALIZAÇÃO DA ATA DE REGISTRO DE PREÇOS E CADASTRO RESERVA</w:t>
      </w:r>
    </w:p>
    <w:p w14:paraId="2555D7FB">
      <w:pPr>
        <w:numPr>
          <w:ilvl w:val="1"/>
          <w:numId w:val="8"/>
        </w:numPr>
        <w:suppressAutoHyphens w:val="0"/>
        <w:spacing w:before="72" w:beforeLines="30" w:after="72" w:afterLines="30"/>
        <w:ind w:left="0" w:firstLine="0"/>
        <w:jc w:val="both"/>
        <w:rPr>
          <w:rFonts w:eastAsia="Arial Unicode MS"/>
          <w:iCs/>
          <w:szCs w:val="24"/>
          <w:lang w:eastAsia="pt-BR"/>
        </w:rPr>
      </w:pPr>
      <w:r>
        <w:rPr>
          <w:rFonts w:eastAsia="Arial Unicode MS"/>
          <w:szCs w:val="24"/>
          <w:lang w:eastAsia="pt-BR"/>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52FB7B3">
      <w:pPr>
        <w:numPr>
          <w:ilvl w:val="2"/>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No caso de prorrogação do prazo de vigência da Ata  de registro de preços, os quantitativos fixados na licitação ou no instrumento de contratação direta serão renovado para o novo período de vigência.</w:t>
      </w:r>
    </w:p>
    <w:p w14:paraId="694B704D">
      <w:pPr>
        <w:numPr>
          <w:ilvl w:val="2"/>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E203C0D">
      <w:pPr>
        <w:numPr>
          <w:ilvl w:val="2"/>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formalização do contrato ou do instrumento substituto deverá haver a indicação da disponibilidade dos créditos orçamentários respectivos.</w:t>
      </w:r>
    </w:p>
    <w:p w14:paraId="05AC7ECA">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A contratação com os fornecedores registrados na ata será formalizada pelo órgão ou pela en</w:t>
      </w:r>
      <w:r>
        <w:rPr>
          <w:rFonts w:eastAsia="Arial"/>
          <w:szCs w:val="24"/>
          <w:lang w:eastAsia="pt-BR"/>
        </w:rPr>
        <w:t>ti</w:t>
      </w:r>
      <w:r>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pPr>
        <w:numPr>
          <w:ilvl w:val="2"/>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O instrumento contratual de que trata o item 5.2. deverá ser assinado no prazo de validade da ata de registro de preços.</w:t>
      </w:r>
    </w:p>
    <w:p w14:paraId="2BCC5B8D">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Os contratos decorrentes do sistema de registro de preços poderão ser alterados, observado o art. 124 da Lei nº 14.133, de 2021.</w:t>
      </w:r>
    </w:p>
    <w:p w14:paraId="59E0F0A9">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Após a homologação da licitação, deverão ser observadas as seguintes condições para formalização da ata de registro de preços:</w:t>
      </w:r>
    </w:p>
    <w:p w14:paraId="257D6554">
      <w:pPr>
        <w:numPr>
          <w:ilvl w:val="2"/>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Serão registrados na ata os preços e os quantita</w:t>
      </w:r>
      <w:r>
        <w:rPr>
          <w:rFonts w:eastAsia="Arial"/>
          <w:szCs w:val="24"/>
          <w:lang w:eastAsia="pt-BR"/>
        </w:rPr>
        <w:t>ti</w:t>
      </w:r>
      <w:r>
        <w:rPr>
          <w:rFonts w:eastAsia="Arial Unicode MS"/>
          <w:szCs w:val="24"/>
          <w:lang w:eastAsia="pt-BR"/>
        </w:rPr>
        <w:t xml:space="preserve">vos do adjudicatário, devendo ser observada a possibilidade de o licitante oferecer ou não proposta em quantitativo inferior ao máximo previsto </w:t>
      </w:r>
      <w:r>
        <w:rPr>
          <w:rFonts w:eastAsia="Arial Unicode MS"/>
          <w:i/>
          <w:iCs/>
          <w:szCs w:val="24"/>
          <w:lang w:eastAsia="pt-BR"/>
        </w:rPr>
        <w:t xml:space="preserve">no edital </w:t>
      </w:r>
      <w:r>
        <w:rPr>
          <w:rFonts w:eastAsia="Arial Unicode MS"/>
          <w:szCs w:val="24"/>
          <w:lang w:eastAsia="pt-BR"/>
        </w:rPr>
        <w:t>e se obrigar nos limites dela;</w:t>
      </w:r>
    </w:p>
    <w:p w14:paraId="56A50A80">
      <w:pPr>
        <w:numPr>
          <w:ilvl w:val="2"/>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Será incluído na ata, na forma de anexo, o registro dos licitantes ou dos fornecedores que:</w:t>
      </w:r>
    </w:p>
    <w:p w14:paraId="1490B92E">
      <w:pPr>
        <w:numPr>
          <w:ilvl w:val="3"/>
          <w:numId w:val="0"/>
        </w:numPr>
        <w:suppressAutoHyphens w:val="0"/>
        <w:spacing w:before="72" w:beforeLines="30" w:after="72" w:afterLines="30"/>
        <w:jc w:val="both"/>
        <w:rPr>
          <w:szCs w:val="24"/>
          <w:lang w:eastAsia="pt-BR"/>
        </w:rPr>
      </w:pPr>
      <w:r>
        <w:rPr>
          <w:szCs w:val="24"/>
          <w:lang w:eastAsia="pt-BR"/>
        </w:rPr>
        <w:t xml:space="preserve">a) Aceitarem cotar os bens, as obras ou os serviços com preços iguais aos do adjudicatário, observada a classificação da licitação; e </w:t>
      </w:r>
    </w:p>
    <w:p w14:paraId="0F1CC3AD">
      <w:pPr>
        <w:numPr>
          <w:ilvl w:val="3"/>
          <w:numId w:val="0"/>
        </w:numPr>
        <w:suppressAutoHyphens w:val="0"/>
        <w:spacing w:before="72" w:beforeLines="30" w:after="72" w:afterLines="30"/>
        <w:jc w:val="both"/>
        <w:rPr>
          <w:szCs w:val="24"/>
          <w:lang w:eastAsia="pt-BR"/>
        </w:rPr>
      </w:pPr>
      <w:r>
        <w:rPr>
          <w:szCs w:val="24"/>
          <w:lang w:eastAsia="pt-BR"/>
        </w:rPr>
        <w:t xml:space="preserve">c) Mantiverem sua proposta original. </w:t>
      </w:r>
      <w:bookmarkStart w:id="5" w:name="cadastro_reserva"/>
      <w:bookmarkEnd w:id="5"/>
    </w:p>
    <w:p w14:paraId="5D8B6C88">
      <w:pPr>
        <w:numPr>
          <w:ilvl w:val="2"/>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Será respeitada, nas contratações, a ordem de classificação dos licitantes ou dos fornecedores registrados na ata.</w:t>
      </w:r>
    </w:p>
    <w:p w14:paraId="48CF8F72">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registro a que se refere o item 5.4.2</w:t>
      </w:r>
      <w:r>
        <w:rPr>
          <w:rFonts w:eastAsia="Arial Unicode MS"/>
          <w:b/>
          <w:bCs/>
          <w:szCs w:val="24"/>
          <w:lang w:eastAsia="pt-BR"/>
        </w:rPr>
        <w:t xml:space="preserve"> </w:t>
      </w:r>
      <w:r>
        <w:rPr>
          <w:rFonts w:eastAsia="Arial Unicode MS"/>
          <w:szCs w:val="24"/>
          <w:lang w:eastAsia="pt-BR"/>
        </w:rPr>
        <w:t>tem por obje</w:t>
      </w:r>
      <w:r>
        <w:rPr>
          <w:rFonts w:eastAsia="Arial"/>
          <w:szCs w:val="24"/>
          <w:lang w:eastAsia="pt-BR"/>
        </w:rPr>
        <w:t>ti</w:t>
      </w:r>
      <w:r>
        <w:rPr>
          <w:rFonts w:eastAsia="Arial Unicode MS"/>
          <w:szCs w:val="24"/>
          <w:lang w:eastAsia="pt-BR"/>
        </w:rPr>
        <w:t>vo a formação de cadastro de reserva para o caso de impossibilidade de atendimento pelo signatário da ata.</w:t>
      </w:r>
    </w:p>
    <w:p w14:paraId="5DBEF3C9">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A habilitação dos licitantes que comporão o cadastro de reserva a que se refere o 5.5 somente será efetuada quando houver necessidade de contratação dos licitantes remanescentes, nas seguintes hipóteses:</w:t>
      </w:r>
      <w:bookmarkStart w:id="6" w:name="habilitacao_reserva"/>
      <w:bookmarkEnd w:id="6"/>
    </w:p>
    <w:p w14:paraId="3D99F953">
      <w:pPr>
        <w:numPr>
          <w:ilvl w:val="2"/>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Quando o licitante vencedor não assinar a ata de registro de preços, no prazo e nas condições estabelecidos </w:t>
      </w:r>
      <w:r>
        <w:rPr>
          <w:rFonts w:eastAsia="Arial Unicode MS"/>
          <w:i/>
          <w:iCs/>
          <w:szCs w:val="24"/>
          <w:lang w:eastAsia="pt-BR"/>
        </w:rPr>
        <w:t>no edital;</w:t>
      </w:r>
      <w:r>
        <w:rPr>
          <w:rFonts w:eastAsia="Arial Unicode MS"/>
          <w:szCs w:val="24"/>
          <w:lang w:eastAsia="pt-BR"/>
        </w:rPr>
        <w:t xml:space="preserve"> e</w:t>
      </w:r>
    </w:p>
    <w:p w14:paraId="56FEBE51">
      <w:pPr>
        <w:numPr>
          <w:ilvl w:val="2"/>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Quando houver o cancelamento do registro do licitante ou do registro de preços nas hipóteses previstas no item </w:t>
      </w:r>
      <w:r>
        <w:rPr>
          <w:rFonts w:eastAsia="Arial Unicode MS"/>
          <w:szCs w:val="24"/>
          <w:lang w:eastAsia="pt-BR"/>
        </w:rPr>
        <w:fldChar w:fldCharType="begin"/>
      </w:r>
      <w:r>
        <w:rPr>
          <w:rFonts w:eastAsia="Arial Unicode MS"/>
          <w:szCs w:val="24"/>
          <w:lang w:eastAsia="pt-BR"/>
        </w:rPr>
        <w:instrText xml:space="preserve"> REF cancelamento \r \h  \* MERGEFORMAT </w:instrText>
      </w:r>
      <w:r>
        <w:rPr>
          <w:rFonts w:eastAsia="Arial Unicode MS"/>
          <w:szCs w:val="24"/>
          <w:lang w:eastAsia="pt-BR"/>
        </w:rPr>
        <w:fldChar w:fldCharType="separate"/>
      </w:r>
      <w:r>
        <w:rPr>
          <w:rFonts w:eastAsia="Arial Unicode MS"/>
          <w:szCs w:val="24"/>
          <w:lang w:eastAsia="pt-BR"/>
        </w:rPr>
        <w:t>9</w:t>
      </w:r>
      <w:r>
        <w:rPr>
          <w:rFonts w:eastAsia="Arial Unicode MS"/>
          <w:szCs w:val="24"/>
          <w:lang w:eastAsia="pt-BR"/>
        </w:rPr>
        <w:fldChar w:fldCharType="end"/>
      </w:r>
      <w:r>
        <w:rPr>
          <w:rFonts w:eastAsia="Arial Unicode MS"/>
          <w:szCs w:val="24"/>
          <w:lang w:eastAsia="pt-BR"/>
        </w:rPr>
        <w:t>.</w:t>
      </w:r>
    </w:p>
    <w:p w14:paraId="05D81494">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pPr>
        <w:numPr>
          <w:ilvl w:val="2"/>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A ata de registro de preços será assinada por meio de assinatura digital e disponibilizada no portal da transparência do município.</w:t>
      </w:r>
    </w:p>
    <w:p w14:paraId="34A1AB74">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Quando o convocado não assinar a ata de registro de preços no prazo e nas condições estabelecidos no edital, e observado o disposto no item </w:t>
      </w:r>
      <w:r>
        <w:rPr>
          <w:rFonts w:eastAsia="Arial Unicode MS"/>
          <w:szCs w:val="24"/>
          <w:lang w:eastAsia="pt-BR"/>
        </w:rPr>
        <w:fldChar w:fldCharType="begin"/>
      </w:r>
      <w:r>
        <w:rPr>
          <w:rFonts w:eastAsia="Arial Unicode MS"/>
          <w:szCs w:val="24"/>
          <w:lang w:eastAsia="pt-BR"/>
        </w:rPr>
        <w:instrText xml:space="preserve"> REF habilitacao_reserva \r \h  \* MERGEFORMAT </w:instrText>
      </w:r>
      <w:r>
        <w:rPr>
          <w:rFonts w:eastAsia="Arial Unicode MS"/>
          <w:szCs w:val="24"/>
          <w:lang w:eastAsia="pt-BR"/>
        </w:rPr>
        <w:fldChar w:fldCharType="separate"/>
      </w:r>
      <w:r>
        <w:rPr>
          <w:rFonts w:eastAsia="Arial Unicode MS"/>
          <w:szCs w:val="24"/>
          <w:lang w:eastAsia="pt-BR"/>
        </w:rPr>
        <w:t>5.7</w:t>
      </w:r>
      <w:r>
        <w:rPr>
          <w:rFonts w:eastAsia="Arial Unicode MS"/>
          <w:szCs w:val="24"/>
          <w:lang w:eastAsia="pt-BR"/>
        </w:rPr>
        <w:fldChar w:fldCharType="end"/>
      </w:r>
      <w:r>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7" w:name="recusa_dos_que_baixaram_preco"/>
      <w:bookmarkEnd w:id="7"/>
    </w:p>
    <w:p w14:paraId="393B4A59">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nenhum dos licitantes que trata o item 5.4.2.1, aceitar a contratação nos termos do item anterior, a Administração, observados o valor es</w:t>
      </w:r>
      <w:r>
        <w:rPr>
          <w:rFonts w:eastAsia="Arial"/>
          <w:szCs w:val="24"/>
          <w:lang w:eastAsia="pt-BR"/>
        </w:rPr>
        <w:t>ti</w:t>
      </w:r>
      <w:r>
        <w:rPr>
          <w:rFonts w:eastAsia="Arial Unicode MS"/>
          <w:szCs w:val="24"/>
          <w:lang w:eastAsia="pt-BR"/>
        </w:rPr>
        <w:t xml:space="preserve">mado e sua eventual atualização nos termos </w:t>
      </w:r>
      <w:r>
        <w:rPr>
          <w:rFonts w:eastAsia="Arial Unicode MS"/>
          <w:i/>
          <w:iCs/>
          <w:szCs w:val="24"/>
          <w:lang w:eastAsia="pt-BR"/>
        </w:rPr>
        <w:t xml:space="preserve">do edital </w:t>
      </w:r>
      <w:r>
        <w:rPr>
          <w:rFonts w:eastAsia="Arial Unicode MS"/>
          <w:szCs w:val="24"/>
          <w:lang w:eastAsia="pt-BR"/>
        </w:rPr>
        <w:t>poderá:</w:t>
      </w:r>
    </w:p>
    <w:p w14:paraId="329FFD91">
      <w:pPr>
        <w:numPr>
          <w:ilvl w:val="2"/>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pPr>
        <w:numPr>
          <w:ilvl w:val="2"/>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C9CEB2">
      <w:pPr>
        <w:suppressAutoHyphens w:val="0"/>
        <w:autoSpaceDE w:val="0"/>
        <w:autoSpaceDN w:val="0"/>
        <w:adjustRightInd w:val="0"/>
        <w:spacing w:before="72" w:beforeLines="30" w:after="72" w:afterLines="30"/>
        <w:jc w:val="both"/>
        <w:rPr>
          <w:rFonts w:eastAsia="Arial Unicode MS"/>
          <w:szCs w:val="24"/>
          <w:lang w:eastAsia="pt-BR"/>
        </w:rPr>
      </w:pPr>
    </w:p>
    <w:p w14:paraId="390B7E26">
      <w:pPr>
        <w:numPr>
          <w:ilvl w:val="0"/>
          <w:numId w:val="8"/>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REAJUSTE E REVISÃO DE PREÇOS (REALINHAMENTO) REGISTRADOS</w:t>
      </w:r>
    </w:p>
    <w:p w14:paraId="08F33879">
      <w:pPr>
        <w:keepNext/>
        <w:keepLines/>
        <w:tabs>
          <w:tab w:val="left" w:pos="567"/>
        </w:tabs>
        <w:suppressAutoHyphens w:val="0"/>
        <w:spacing w:before="72" w:beforeLines="30" w:after="72" w:afterLines="30"/>
        <w:outlineLvl w:val="0"/>
        <w:rPr>
          <w:rFonts w:eastAsia="Noto Sans CJK SC"/>
          <w:b/>
          <w:szCs w:val="24"/>
        </w:rPr>
      </w:pPr>
      <w:r>
        <w:rPr>
          <w:rFonts w:eastAsia="Noto Sans CJK SC"/>
          <w:b/>
          <w:bCs/>
          <w:szCs w:val="24"/>
        </w:rPr>
        <w:t>6.1 Reajuste</w:t>
      </w:r>
    </w:p>
    <w:p w14:paraId="75CA2410">
      <w:pPr>
        <w:numPr>
          <w:ilvl w:val="1"/>
          <w:numId w:val="0"/>
        </w:numPr>
        <w:suppressAutoHyphens w:val="0"/>
        <w:spacing w:before="72" w:beforeLines="30" w:after="72" w:afterLines="30"/>
        <w:jc w:val="both"/>
        <w:rPr>
          <w:szCs w:val="24"/>
        </w:rPr>
      </w:pPr>
      <w:r>
        <w:rPr>
          <w:szCs w:val="24"/>
        </w:rPr>
        <w:t>6.1.1 Os preços inicialmente contratados são fixos e irreajustáveis no prazo de um ano contado da data de aceite da proposta pela Administração.</w:t>
      </w:r>
    </w:p>
    <w:p w14:paraId="66D67D29">
      <w:pPr>
        <w:numPr>
          <w:ilvl w:val="1"/>
          <w:numId w:val="0"/>
        </w:numPr>
        <w:suppressAutoHyphens w:val="0"/>
        <w:spacing w:before="72" w:beforeLines="30" w:after="72" w:afterLines="30"/>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pPr>
        <w:numPr>
          <w:ilvl w:val="1"/>
          <w:numId w:val="0"/>
        </w:numPr>
        <w:suppressAutoHyphens w:val="0"/>
        <w:spacing w:before="72" w:beforeLines="30" w:after="72" w:afterLines="30"/>
        <w:jc w:val="both"/>
        <w:rPr>
          <w:szCs w:val="24"/>
        </w:rPr>
      </w:pPr>
      <w:r>
        <w:rPr>
          <w:szCs w:val="24"/>
        </w:rPr>
        <w:t>6.1.3 Nos reajustes subsequentes ao primeiro, o interregno mínimo de um ano será contado a partir dos efeitos financeiros do último reajuste.</w:t>
      </w:r>
    </w:p>
    <w:p w14:paraId="20DB8D4C">
      <w:pPr>
        <w:numPr>
          <w:ilvl w:val="1"/>
          <w:numId w:val="0"/>
        </w:numPr>
        <w:suppressAutoHyphens w:val="0"/>
        <w:spacing w:before="72" w:beforeLines="30" w:after="72" w:afterLines="30"/>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pPr>
        <w:numPr>
          <w:ilvl w:val="1"/>
          <w:numId w:val="0"/>
        </w:numPr>
        <w:suppressAutoHyphens w:val="0"/>
        <w:spacing w:before="72" w:beforeLines="30" w:after="72" w:afterLines="30"/>
        <w:jc w:val="both"/>
        <w:rPr>
          <w:szCs w:val="24"/>
        </w:rPr>
      </w:pPr>
      <w:r>
        <w:rPr>
          <w:szCs w:val="24"/>
        </w:rPr>
        <w:t>6.1.5 Nas aferições finais, o(s) índice(s) utilizado(s) para reajuste será(ão), obrigatoriamente, o(s) definitivo(s).</w:t>
      </w:r>
    </w:p>
    <w:p w14:paraId="1CB52DAB">
      <w:pPr>
        <w:numPr>
          <w:ilvl w:val="1"/>
          <w:numId w:val="0"/>
        </w:numPr>
        <w:suppressAutoHyphens w:val="0"/>
        <w:spacing w:before="72" w:beforeLines="30" w:after="72" w:afterLines="30"/>
        <w:jc w:val="both"/>
        <w:rPr>
          <w:szCs w:val="24"/>
        </w:rPr>
      </w:pPr>
      <w:r>
        <w:rPr>
          <w:szCs w:val="24"/>
        </w:rPr>
        <w:t>6.1.6 Caso o(s) índice(s) estabelecido(s) para reajustamento venha(m) a ser extinto(s) ou de qualquer forma não possa(m) mais ser utilizado(s), será(ão) adotado(s), em substituição, o(s) que vier(em) a ser determinado(s) pela legislação então em vigor.</w:t>
      </w:r>
    </w:p>
    <w:p w14:paraId="6DA5AC25">
      <w:pPr>
        <w:numPr>
          <w:ilvl w:val="1"/>
          <w:numId w:val="0"/>
        </w:numPr>
        <w:suppressAutoHyphens w:val="0"/>
        <w:spacing w:before="72" w:beforeLines="30" w:after="72" w:afterLines="30"/>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07C9FC09">
      <w:pPr>
        <w:suppressAutoHyphens w:val="0"/>
        <w:spacing w:before="72" w:beforeLines="30" w:after="72" w:afterLines="30"/>
        <w:jc w:val="both"/>
        <w:rPr>
          <w:szCs w:val="24"/>
          <w:lang w:eastAsia="pt-BR"/>
        </w:rPr>
      </w:pPr>
      <w:r>
        <w:rPr>
          <w:szCs w:val="24"/>
        </w:rPr>
        <w:t>6.1.8 O reajuste será realizado por apostilamento.</w:t>
      </w:r>
    </w:p>
    <w:p w14:paraId="6AD68AA8">
      <w:pPr>
        <w:suppressAutoHyphens w:val="0"/>
        <w:spacing w:before="72" w:beforeLines="30" w:after="72" w:afterLines="30"/>
        <w:contextualSpacing/>
        <w:jc w:val="both"/>
        <w:rPr>
          <w:b/>
          <w:szCs w:val="24"/>
        </w:rPr>
      </w:pPr>
      <w:r>
        <w:rPr>
          <w:b/>
          <w:szCs w:val="24"/>
        </w:rPr>
        <w:t>6.2 Da revisão de preços (realinhamento).</w:t>
      </w:r>
    </w:p>
    <w:p w14:paraId="4392415F">
      <w:pPr>
        <w:suppressAutoHyphens w:val="0"/>
        <w:spacing w:before="72" w:beforeLines="30" w:after="72" w:afterLines="30"/>
        <w:contextualSpacing/>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5CE2BA8B">
      <w:pPr>
        <w:jc w:val="both"/>
      </w:pPr>
      <w:r>
        <w:t xml:space="preserve">6.2.2 O pedido de realinhamento deverá ser feito por escrito e protocolado de forma física ou digital – email: </w:t>
      </w:r>
      <w:r>
        <w:rPr>
          <w:b/>
        </w:rPr>
        <w:t>licitacao@pmcaracol.ms.gov.br</w:t>
      </w:r>
      <w:r>
        <w:t>).</w:t>
      </w:r>
    </w:p>
    <w:p w14:paraId="011B48F5">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0ECA860B">
      <w:pPr>
        <w:jc w:val="both"/>
        <w:rPr>
          <w:szCs w:val="24"/>
        </w:rPr>
      </w:pPr>
      <w:r>
        <w:rPr>
          <w:szCs w:val="24"/>
        </w:rPr>
        <w:t xml:space="preserve">6.2.4 O realinhamento de preços será analisado em até 05 (cinco) dias, contados da data de seu protocolo (físico ou digital-email: </w:t>
      </w:r>
      <w:r>
        <w:rPr>
          <w:b/>
        </w:rPr>
        <w:t>licitacao@pmcaracol.ms.gov.br</w:t>
      </w:r>
      <w:r>
        <w:rPr>
          <w:szCs w:val="24"/>
        </w:rPr>
        <w:t>).</w:t>
      </w:r>
    </w:p>
    <w:p w14:paraId="0A851FD4">
      <w:pPr>
        <w:numPr>
          <w:ilvl w:val="2"/>
          <w:numId w:val="0"/>
        </w:numPr>
        <w:suppressAutoHyphens w:val="0"/>
        <w:spacing w:before="72" w:beforeLines="30" w:after="72" w:afterLines="30"/>
        <w:jc w:val="both"/>
        <w:rPr>
          <w:szCs w:val="24"/>
        </w:rPr>
      </w:pPr>
      <w:r>
        <w:rPr>
          <w:iCs/>
          <w:szCs w:val="24"/>
        </w:rPr>
        <w:t xml:space="preserve">6.2.4.1 Havendo erro </w:t>
      </w:r>
      <w:r>
        <w:rPr>
          <w:szCs w:val="24"/>
        </w:rPr>
        <w:t>na</w:t>
      </w:r>
      <w:r>
        <w:rPr>
          <w:iCs/>
          <w:szCs w:val="24"/>
        </w:rPr>
        <w:t xml:space="preserve">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3022C01A">
      <w:pPr>
        <w:jc w:val="both"/>
        <w:rPr>
          <w:szCs w:val="24"/>
        </w:rPr>
      </w:pPr>
      <w:r>
        <w:rPr>
          <w:szCs w:val="24"/>
        </w:rPr>
        <w:t>6.2.4.2 o prazo de análise do realinhamento previsto no subitem anterior poderá ser prorrogado em casos de objeto com índices de análise complexos.</w:t>
      </w:r>
    </w:p>
    <w:p w14:paraId="40306A7E">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r>
        <w:t>.</w:t>
      </w:r>
    </w:p>
    <w:p w14:paraId="1C723915">
      <w:pPr>
        <w:numPr>
          <w:ilvl w:val="3"/>
          <w:numId w:val="0"/>
        </w:numPr>
        <w:suppressAutoHyphens w:val="0"/>
        <w:spacing w:before="72" w:beforeLines="30" w:after="72" w:afterLines="30"/>
        <w:jc w:val="both"/>
        <w:rPr>
          <w:szCs w:val="24"/>
          <w:lang w:eastAsia="pt-BR"/>
        </w:rPr>
      </w:pPr>
    </w:p>
    <w:p w14:paraId="65049991">
      <w:pPr>
        <w:numPr>
          <w:ilvl w:val="0"/>
          <w:numId w:val="8"/>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NEGOCIAÇÃO DE PREÇOS REGISTRADOS</w:t>
      </w:r>
    </w:p>
    <w:p w14:paraId="7C843FB1">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o preço registrado tornar-se superior ao preço pra</w:t>
      </w:r>
      <w:r>
        <w:rPr>
          <w:rFonts w:eastAsia="Calibri"/>
          <w:szCs w:val="24"/>
          <w:lang w:eastAsia="pt-BR"/>
        </w:rPr>
        <w:t>ti</w:t>
      </w:r>
      <w:r>
        <w:rPr>
          <w:rFonts w:eastAsia="Arial Unicode MS"/>
          <w:szCs w:val="24"/>
          <w:lang w:eastAsia="pt-BR"/>
        </w:rPr>
        <w:t>cado no mercado por mo</w:t>
      </w:r>
      <w:r>
        <w:rPr>
          <w:rFonts w:eastAsia="Calibri"/>
          <w:szCs w:val="24"/>
          <w:lang w:eastAsia="pt-BR"/>
        </w:rPr>
        <w:t>ti</w:t>
      </w:r>
      <w:r>
        <w:rPr>
          <w:rFonts w:eastAsia="Arial Unicode MS"/>
          <w:szCs w:val="24"/>
          <w:lang w:eastAsia="pt-BR"/>
        </w:rPr>
        <w:t>vo superveniente, o órgão ou en</w:t>
      </w:r>
      <w:r>
        <w:rPr>
          <w:rFonts w:eastAsia="Calibri"/>
          <w:szCs w:val="24"/>
          <w:lang w:eastAsia="pt-BR"/>
        </w:rPr>
        <w:t>ti</w:t>
      </w:r>
      <w:r>
        <w:rPr>
          <w:rFonts w:eastAsia="Arial Unicode MS"/>
          <w:szCs w:val="24"/>
          <w:lang w:eastAsia="pt-BR"/>
        </w:rPr>
        <w:t>dade gerenciadora convocará o fornecedor para negociar a redução do preço registrado.</w:t>
      </w:r>
    </w:p>
    <w:p w14:paraId="788C5857">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Caso não aceite reduzir seu preço aos valores pra</w:t>
      </w:r>
      <w:r>
        <w:rPr>
          <w:rFonts w:eastAsia="Calibri"/>
          <w:color w:val="000000"/>
          <w:szCs w:val="24"/>
          <w:lang w:eastAsia="pt-BR"/>
        </w:rPr>
        <w:t>ti</w:t>
      </w:r>
      <w:r>
        <w:rPr>
          <w:rFonts w:eastAsia="Arial Unicode MS"/>
          <w:color w:val="000000"/>
          <w:szCs w:val="24"/>
          <w:lang w:eastAsia="pt-BR"/>
        </w:rPr>
        <w:t>cados pelo mercado, o fornecedor será liberado do compromisso assumido quanto ao item registrado, sem aplicação de penalidades administrativas.</w:t>
      </w:r>
    </w:p>
    <w:p w14:paraId="3B26094D">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Se não obtiver êxito nas negociações, o órgão ou en</w:t>
      </w:r>
      <w:r>
        <w:rPr>
          <w:rFonts w:eastAsia="Calibri"/>
          <w:color w:val="000000"/>
          <w:szCs w:val="24"/>
          <w:lang w:eastAsia="pt-BR"/>
        </w:rPr>
        <w:t>tid</w:t>
      </w:r>
      <w:r>
        <w:rPr>
          <w:rFonts w:eastAsia="Arial Unicode MS"/>
          <w:color w:val="000000"/>
          <w:szCs w:val="24"/>
          <w:lang w:eastAsia="pt-BR"/>
        </w:rPr>
        <w:t>ade gerenciadora procederá ao cancelamento da ata de registro de preços, adotando as medidas cabíveis para obtenção de contratação mais vantajosa.</w:t>
      </w:r>
      <w:bookmarkStart w:id="8" w:name="reducao_preco_mercado_negociacao_frustra"/>
      <w:bookmarkEnd w:id="8"/>
    </w:p>
    <w:p w14:paraId="4DF70856">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Na hipótese de redução do preço registrado, o gerenciador comunicará aos órgãos e às en</w:t>
      </w:r>
      <w:r>
        <w:rPr>
          <w:rFonts w:eastAsia="Calibri"/>
          <w:color w:val="000000"/>
          <w:szCs w:val="24"/>
          <w:lang w:eastAsia="pt-BR"/>
        </w:rPr>
        <w:t>ti</w:t>
      </w:r>
      <w:r>
        <w:rPr>
          <w:rFonts w:eastAsia="Arial Unicode MS"/>
          <w:color w:val="000000"/>
          <w:szCs w:val="24"/>
          <w:lang w:eastAsia="pt-BR"/>
        </w:rPr>
        <w:t xml:space="preserve">dades que </w:t>
      </w:r>
      <w:r>
        <w:rPr>
          <w:rFonts w:eastAsia="Calibri"/>
          <w:color w:val="000000"/>
          <w:szCs w:val="24"/>
          <w:lang w:eastAsia="pt-BR"/>
        </w:rPr>
        <w:t>ti</w:t>
      </w:r>
      <w:r>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 w:name="hipotese_preco_mercado_maior"/>
      <w:bookmarkEnd w:id="9"/>
    </w:p>
    <w:p w14:paraId="589682CC">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10" w:name="prova_preco_mercado_maior"/>
      <w:bookmarkEnd w:id="10"/>
    </w:p>
    <w:p w14:paraId="21249FA8">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Na hipótese de não comprovação da existência de fato superveniente que inviabilize o preço registrado, o pedido será indeferido pelo órgão ou en</w:t>
      </w:r>
      <w:r>
        <w:rPr>
          <w:rFonts w:eastAsia="Calibri"/>
          <w:color w:val="000000"/>
          <w:szCs w:val="24"/>
          <w:lang w:eastAsia="pt-BR"/>
        </w:rPr>
        <w:t>ti</w:t>
      </w:r>
      <w:r>
        <w:rPr>
          <w:rFonts w:eastAsia="Arial Unicode MS"/>
          <w:color w:val="000000"/>
          <w:szCs w:val="24"/>
          <w:lang w:eastAsia="pt-BR"/>
        </w:rPr>
        <w:t xml:space="preserve">dade gerenciadora e o fornecedor deverá cumprir as obrigações estabelecidas na ata, sob pena de cancelamento do seu registro, nos termos do item </w:t>
      </w:r>
      <w:r>
        <w:rPr>
          <w:rFonts w:eastAsia="Arial Unicode MS"/>
          <w:color w:val="000000"/>
          <w:szCs w:val="24"/>
          <w:lang w:eastAsia="pt-BR"/>
        </w:rPr>
        <w:fldChar w:fldCharType="begin"/>
      </w:r>
      <w:r>
        <w:rPr>
          <w:rFonts w:eastAsia="Arial Unicode MS"/>
          <w:color w:val="000000"/>
          <w:szCs w:val="24"/>
          <w:lang w:eastAsia="pt-BR"/>
        </w:rPr>
        <w:instrText xml:space="preserve"> REF cancelamento_do_fornecedor \r \h  \* MERGEFORMAT </w:instrText>
      </w:r>
      <w:r>
        <w:rPr>
          <w:rFonts w:eastAsia="Arial Unicode MS"/>
          <w:color w:val="000000"/>
          <w:szCs w:val="24"/>
          <w:lang w:eastAsia="pt-BR"/>
        </w:rPr>
        <w:fldChar w:fldCharType="separate"/>
      </w:r>
      <w:r>
        <w:rPr>
          <w:rFonts w:eastAsia="Arial Unicode MS"/>
          <w:color w:val="000000"/>
          <w:szCs w:val="24"/>
          <w:lang w:eastAsia="pt-BR"/>
        </w:rPr>
        <w:t>9.1</w:t>
      </w:r>
      <w:r>
        <w:rPr>
          <w:rFonts w:eastAsia="Arial Unicode MS"/>
          <w:color w:val="000000"/>
          <w:szCs w:val="24"/>
          <w:lang w:eastAsia="pt-BR"/>
        </w:rPr>
        <w:fldChar w:fldCharType="end"/>
      </w:r>
      <w:r>
        <w:rPr>
          <w:rFonts w:eastAsia="Arial Unicode MS"/>
          <w:color w:val="000000"/>
          <w:szCs w:val="24"/>
          <w:lang w:eastAsia="pt-BR"/>
        </w:rPr>
        <w:t>, sem prejuízo das sanções previstas na Lei nº 14.133, de 2021, e na legislação aplicável.</w:t>
      </w:r>
      <w:bookmarkStart w:id="11" w:name="nao_comprovacao_majoracao_mercado"/>
      <w:bookmarkEnd w:id="11"/>
    </w:p>
    <w:p w14:paraId="150DB7D1">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A5180DA">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Se não obtiver êxito nas negociações, o órgão ou entidade gerenciadora procederá ao cancelamento da ata de registro de preços, nos termos do item </w:t>
      </w:r>
      <w:r>
        <w:rPr>
          <w:rFonts w:eastAsia="Arial Unicode MS"/>
          <w:color w:val="000000"/>
          <w:szCs w:val="24"/>
          <w:lang w:eastAsia="pt-BR"/>
        </w:rPr>
        <w:fldChar w:fldCharType="begin"/>
      </w:r>
      <w:r>
        <w:rPr>
          <w:rFonts w:eastAsia="Arial Unicode MS"/>
          <w:color w:val="000000"/>
          <w:szCs w:val="24"/>
          <w:lang w:eastAsia="pt-BR"/>
        </w:rPr>
        <w:instrText xml:space="preserve"> REF cancelamento_da_ata \r \h  \* MERGEFORMAT </w:instrText>
      </w:r>
      <w:r>
        <w:rPr>
          <w:rFonts w:eastAsia="Arial Unicode MS"/>
          <w:color w:val="000000"/>
          <w:szCs w:val="24"/>
          <w:lang w:eastAsia="pt-BR"/>
        </w:rPr>
        <w:fldChar w:fldCharType="separate"/>
      </w:r>
      <w:r>
        <w:rPr>
          <w:rFonts w:eastAsia="Arial Unicode MS"/>
          <w:color w:val="000000"/>
          <w:szCs w:val="24"/>
          <w:lang w:eastAsia="pt-BR"/>
        </w:rPr>
        <w:t>9.4</w:t>
      </w:r>
      <w:r>
        <w:rPr>
          <w:rFonts w:eastAsia="Arial Unicode MS"/>
          <w:color w:val="000000"/>
          <w:szCs w:val="24"/>
          <w:lang w:eastAsia="pt-BR"/>
        </w:rPr>
        <w:fldChar w:fldCharType="end"/>
      </w:r>
      <w:r>
        <w:rPr>
          <w:rFonts w:eastAsia="Arial Unicode MS"/>
          <w:color w:val="000000"/>
          <w:szCs w:val="24"/>
          <w:lang w:eastAsia="pt-BR"/>
        </w:rPr>
        <w:t>, e adotará as medidas cabíveis para a obtenção da contratação mais vantajosa.</w:t>
      </w:r>
      <w:bookmarkStart w:id="12" w:name="majora_preco_mercado_negociacao_frustra"/>
      <w:bookmarkEnd w:id="12"/>
    </w:p>
    <w:p w14:paraId="33C90051">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Na hipótese de comprovação da majoração do preço de mercado que inviabilize o preço registrado, conforme previsto no item </w:t>
      </w:r>
      <w:r>
        <w:rPr>
          <w:rFonts w:eastAsia="Arial Unicode MS"/>
          <w:color w:val="000000"/>
          <w:szCs w:val="24"/>
          <w:lang w:eastAsia="pt-BR"/>
        </w:rPr>
        <w:fldChar w:fldCharType="begin"/>
      </w:r>
      <w:r>
        <w:rPr>
          <w:rFonts w:eastAsia="Arial Unicode MS"/>
          <w:color w:val="000000"/>
          <w:szCs w:val="24"/>
          <w:lang w:eastAsia="pt-BR"/>
        </w:rPr>
        <w:instrText xml:space="preserve"> REF hipotese_preco_mercado_maior \r \h  \* MERGEFORMAT </w:instrText>
      </w:r>
      <w:r>
        <w:rPr>
          <w:rFonts w:eastAsia="Arial Unicode MS"/>
          <w:color w:val="000000"/>
          <w:szCs w:val="24"/>
          <w:lang w:eastAsia="pt-BR"/>
        </w:rPr>
        <w:fldChar w:fldCharType="separate"/>
      </w:r>
      <w:r>
        <w:rPr>
          <w:rFonts w:eastAsia="Arial Unicode MS"/>
          <w:color w:val="000000"/>
          <w:szCs w:val="24"/>
          <w:lang w:eastAsia="pt-BR"/>
        </w:rPr>
        <w:t>7.2</w:t>
      </w:r>
      <w:r>
        <w:rPr>
          <w:rFonts w:eastAsia="Arial Unicode MS"/>
          <w:color w:val="000000"/>
          <w:szCs w:val="24"/>
          <w:lang w:eastAsia="pt-BR"/>
        </w:rPr>
        <w:fldChar w:fldCharType="end"/>
      </w:r>
      <w:r>
        <w:rPr>
          <w:rFonts w:eastAsia="Arial Unicode MS"/>
          <w:color w:val="000000"/>
          <w:szCs w:val="24"/>
          <w:lang w:eastAsia="pt-BR"/>
        </w:rPr>
        <w:t xml:space="preserve"> e no item </w:t>
      </w:r>
      <w:r>
        <w:rPr>
          <w:rFonts w:eastAsia="Arial Unicode MS"/>
          <w:color w:val="000000"/>
          <w:szCs w:val="24"/>
          <w:lang w:eastAsia="pt-BR"/>
        </w:rPr>
        <w:fldChar w:fldCharType="begin"/>
      </w:r>
      <w:r>
        <w:rPr>
          <w:rFonts w:eastAsia="Arial Unicode MS"/>
          <w:color w:val="000000"/>
          <w:szCs w:val="24"/>
          <w:lang w:eastAsia="pt-BR"/>
        </w:rPr>
        <w:instrText xml:space="preserve"> REF prova_preco_mercado_maior \r \h  \* MERGEFORMAT </w:instrText>
      </w:r>
      <w:r>
        <w:rPr>
          <w:rFonts w:eastAsia="Arial Unicode MS"/>
          <w:color w:val="000000"/>
          <w:szCs w:val="24"/>
          <w:lang w:eastAsia="pt-BR"/>
        </w:rPr>
        <w:fldChar w:fldCharType="separate"/>
      </w:r>
      <w:r>
        <w:rPr>
          <w:rFonts w:eastAsia="Arial Unicode MS"/>
          <w:color w:val="000000"/>
          <w:szCs w:val="24"/>
          <w:lang w:eastAsia="pt-BR"/>
        </w:rPr>
        <w:t>7.2.1</w:t>
      </w:r>
      <w:r>
        <w:rPr>
          <w:rFonts w:eastAsia="Arial Unicode MS"/>
          <w:color w:val="000000"/>
          <w:szCs w:val="24"/>
          <w:lang w:eastAsia="pt-BR"/>
        </w:rPr>
        <w:fldChar w:fldCharType="end"/>
      </w:r>
      <w:r>
        <w:rPr>
          <w:rFonts w:eastAsia="Arial Unicode MS"/>
          <w:color w:val="000000"/>
          <w:szCs w:val="24"/>
          <w:lang w:eastAsia="pt-BR"/>
        </w:rPr>
        <w:t>, o órgão ou en</w:t>
      </w:r>
      <w:r>
        <w:rPr>
          <w:rFonts w:eastAsia="Calibri"/>
          <w:color w:val="000000"/>
          <w:szCs w:val="24"/>
          <w:lang w:eastAsia="pt-BR"/>
        </w:rPr>
        <w:t>ti</w:t>
      </w:r>
      <w:r>
        <w:rPr>
          <w:rFonts w:eastAsia="Arial Unicode MS"/>
          <w:color w:val="000000"/>
          <w:szCs w:val="24"/>
          <w:lang w:eastAsia="pt-BR"/>
        </w:rPr>
        <w:t>dade gerenciadora atualizará o preço registrado, de acordo com a realidade dos valores praticados pelo mercado.</w:t>
      </w:r>
    </w:p>
    <w:p w14:paraId="411DE417">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 O órgão ou en</w:t>
      </w:r>
      <w:r>
        <w:rPr>
          <w:rFonts w:eastAsia="Calibri"/>
          <w:color w:val="000000"/>
          <w:szCs w:val="24"/>
          <w:lang w:eastAsia="pt-BR"/>
        </w:rPr>
        <w:t>ti</w:t>
      </w:r>
      <w:r>
        <w:rPr>
          <w:rFonts w:eastAsia="Arial Unicode MS"/>
          <w:color w:val="000000"/>
          <w:szCs w:val="24"/>
          <w:lang w:eastAsia="pt-BR"/>
        </w:rPr>
        <w:t>dade gerenciadora comunicará aos órgãos e às en</w:t>
      </w:r>
      <w:r>
        <w:rPr>
          <w:rFonts w:eastAsia="Calibri"/>
          <w:color w:val="000000"/>
          <w:szCs w:val="24"/>
          <w:lang w:eastAsia="pt-BR"/>
        </w:rPr>
        <w:t>ti</w:t>
      </w:r>
      <w:r>
        <w:rPr>
          <w:rFonts w:eastAsia="Arial Unicode MS"/>
          <w:color w:val="000000"/>
          <w:szCs w:val="24"/>
          <w:lang w:eastAsia="pt-BR"/>
        </w:rPr>
        <w:t xml:space="preserve">dades que </w:t>
      </w:r>
      <w:r>
        <w:rPr>
          <w:rFonts w:eastAsia="Calibri"/>
          <w:color w:val="000000"/>
          <w:szCs w:val="24"/>
          <w:lang w:eastAsia="pt-BR"/>
        </w:rPr>
        <w:t>ti</w:t>
      </w:r>
      <w:r>
        <w:rPr>
          <w:rFonts w:eastAsia="Arial Unicode MS"/>
          <w:color w:val="000000"/>
          <w:szCs w:val="24"/>
          <w:lang w:eastAsia="pt-BR"/>
        </w:rPr>
        <w:t>verem firmado contratos decorrentes da ata de registro de preços sobre a efe</w:t>
      </w:r>
      <w:r>
        <w:rPr>
          <w:rFonts w:eastAsia="Calibri"/>
          <w:color w:val="000000"/>
          <w:szCs w:val="24"/>
          <w:lang w:eastAsia="pt-BR"/>
        </w:rPr>
        <w:t>ti</w:t>
      </w:r>
      <w:r>
        <w:rPr>
          <w:rFonts w:eastAsia="Arial Unicode MS"/>
          <w:color w:val="000000"/>
          <w:szCs w:val="24"/>
          <w:lang w:eastAsia="pt-BR"/>
        </w:rPr>
        <w:t>va alteração do preço registrado, para que avaliem a necessidade de alteração contratual, observado o disposto no art. 124 da Lei nº 14.133, de 2021.</w:t>
      </w:r>
    </w:p>
    <w:p w14:paraId="32C416D4">
      <w:pPr>
        <w:suppressAutoHyphens w:val="0"/>
        <w:spacing w:before="72" w:beforeLines="30" w:after="72" w:afterLines="30"/>
        <w:jc w:val="both"/>
        <w:rPr>
          <w:rFonts w:eastAsia="Arial Unicode MS"/>
          <w:color w:val="000000"/>
          <w:szCs w:val="24"/>
          <w:lang w:eastAsia="pt-BR"/>
        </w:rPr>
      </w:pPr>
    </w:p>
    <w:p w14:paraId="27ACA001">
      <w:pPr>
        <w:numPr>
          <w:ilvl w:val="0"/>
          <w:numId w:val="8"/>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REMANEJAMENTO DAS QUANTIDADES REGISTRADAS NA ATA DE REGISTRO DE PREÇOS</w:t>
      </w:r>
    </w:p>
    <w:p w14:paraId="248309CD">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As quan</w:t>
      </w:r>
      <w:r>
        <w:rPr>
          <w:rFonts w:eastAsia="Arial"/>
          <w:szCs w:val="24"/>
          <w:lang w:eastAsia="pt-BR"/>
        </w:rPr>
        <w:t>ti</w:t>
      </w:r>
      <w:r>
        <w:rPr>
          <w:rFonts w:eastAsia="Arial Unicode MS"/>
          <w:szCs w:val="24"/>
          <w:lang w:eastAsia="pt-BR"/>
        </w:rPr>
        <w:t>dades previstas para os itens com preços registrados nas atas de registro de preços poderão ser remanejadas pelo órgão ou en</w:t>
      </w:r>
      <w:r>
        <w:rPr>
          <w:rFonts w:eastAsia="Arial"/>
          <w:szCs w:val="24"/>
          <w:lang w:eastAsia="pt-BR"/>
        </w:rPr>
        <w:t>ti</w:t>
      </w:r>
      <w:r>
        <w:rPr>
          <w:rFonts w:eastAsia="Arial Unicode MS"/>
          <w:szCs w:val="24"/>
          <w:lang w:eastAsia="pt-BR"/>
        </w:rPr>
        <w:t>dade gerenciadora entre os órgãos ou as en</w:t>
      </w:r>
      <w:r>
        <w:rPr>
          <w:rFonts w:eastAsia="Arial"/>
          <w:szCs w:val="24"/>
          <w:lang w:eastAsia="pt-BR"/>
        </w:rPr>
        <w:t>ti</w:t>
      </w:r>
      <w:r>
        <w:rPr>
          <w:rFonts w:eastAsia="Arial Unicode MS"/>
          <w:szCs w:val="24"/>
          <w:lang w:eastAsia="pt-BR"/>
        </w:rPr>
        <w:t>dades par</w:t>
      </w:r>
      <w:r>
        <w:rPr>
          <w:rFonts w:eastAsia="Arial"/>
          <w:szCs w:val="24"/>
          <w:lang w:eastAsia="pt-BR"/>
        </w:rPr>
        <w:t>ti</w:t>
      </w:r>
      <w:r>
        <w:rPr>
          <w:rFonts w:eastAsia="Arial Unicode MS"/>
          <w:szCs w:val="24"/>
          <w:lang w:eastAsia="pt-BR"/>
        </w:rPr>
        <w:t>cipantes do registro de preços.</w:t>
      </w:r>
    </w:p>
    <w:p w14:paraId="521BC33B">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O remanejamento somente poderá ser feito:</w:t>
      </w:r>
    </w:p>
    <w:p w14:paraId="0E1D8C66">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De órgão ou en</w:t>
      </w:r>
      <w:r>
        <w:rPr>
          <w:rFonts w:eastAsia="Arial"/>
          <w:color w:val="000000"/>
          <w:szCs w:val="24"/>
          <w:lang w:eastAsia="pt-BR"/>
        </w:rPr>
        <w:t>ti</w:t>
      </w:r>
      <w:r>
        <w:rPr>
          <w:rFonts w:eastAsia="Arial Unicode MS"/>
          <w:color w:val="000000"/>
          <w:szCs w:val="24"/>
          <w:lang w:eastAsia="pt-BR"/>
        </w:rPr>
        <w:t>dade par</w:t>
      </w:r>
      <w:r>
        <w:rPr>
          <w:rFonts w:eastAsia="Arial"/>
          <w:color w:val="000000"/>
          <w:szCs w:val="24"/>
          <w:lang w:eastAsia="pt-BR"/>
        </w:rPr>
        <w:t>ti</w:t>
      </w:r>
      <w:r>
        <w:rPr>
          <w:rFonts w:eastAsia="Arial Unicode MS"/>
          <w:color w:val="000000"/>
          <w:szCs w:val="24"/>
          <w:lang w:eastAsia="pt-BR"/>
        </w:rPr>
        <w:t>cipante para órgão ou en</w:t>
      </w:r>
      <w:r>
        <w:rPr>
          <w:rFonts w:eastAsia="Arial"/>
          <w:color w:val="000000"/>
          <w:szCs w:val="24"/>
          <w:lang w:eastAsia="pt-BR"/>
        </w:rPr>
        <w:t>ti</w:t>
      </w:r>
      <w:r>
        <w:rPr>
          <w:rFonts w:eastAsia="Arial Unicode MS"/>
          <w:color w:val="000000"/>
          <w:szCs w:val="24"/>
          <w:lang w:eastAsia="pt-BR"/>
        </w:rPr>
        <w:t>dade par</w:t>
      </w:r>
      <w:r>
        <w:rPr>
          <w:rFonts w:eastAsia="Arial"/>
          <w:color w:val="000000"/>
          <w:szCs w:val="24"/>
          <w:lang w:eastAsia="pt-BR"/>
        </w:rPr>
        <w:t>ti</w:t>
      </w:r>
      <w:r>
        <w:rPr>
          <w:rFonts w:eastAsia="Arial Unicode MS"/>
          <w:color w:val="000000"/>
          <w:szCs w:val="24"/>
          <w:lang w:eastAsia="pt-BR"/>
        </w:rPr>
        <w:t>cipante;</w:t>
      </w:r>
    </w:p>
    <w:p w14:paraId="1E9FCFFE">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Entre os participantes de processo de compra centralizada. </w:t>
      </w:r>
    </w:p>
    <w:p w14:paraId="73FAF9D2">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órgão ou en</w:t>
      </w:r>
      <w:r>
        <w:rPr>
          <w:rFonts w:eastAsia="Arial"/>
          <w:szCs w:val="24"/>
          <w:lang w:eastAsia="pt-BR"/>
        </w:rPr>
        <w:t>ti</w:t>
      </w:r>
      <w:r>
        <w:rPr>
          <w:rFonts w:eastAsia="Arial Unicode MS"/>
          <w:szCs w:val="24"/>
          <w:lang w:eastAsia="pt-BR"/>
        </w:rPr>
        <w:t>dade gerenciadora que tiver es</w:t>
      </w:r>
      <w:r>
        <w:rPr>
          <w:rFonts w:eastAsia="Arial"/>
          <w:szCs w:val="24"/>
          <w:lang w:eastAsia="pt-BR"/>
        </w:rPr>
        <w:t>ti</w:t>
      </w:r>
      <w:r>
        <w:rPr>
          <w:rFonts w:eastAsia="Arial Unicode MS"/>
          <w:szCs w:val="24"/>
          <w:lang w:eastAsia="pt-BR"/>
        </w:rPr>
        <w:t>mado as quan</w:t>
      </w:r>
      <w:r>
        <w:rPr>
          <w:rFonts w:eastAsia="Arial"/>
          <w:szCs w:val="24"/>
          <w:lang w:eastAsia="pt-BR"/>
        </w:rPr>
        <w:t>ti</w:t>
      </w:r>
      <w:r>
        <w:rPr>
          <w:rFonts w:eastAsia="Arial Unicode MS"/>
          <w:szCs w:val="24"/>
          <w:lang w:eastAsia="pt-BR"/>
        </w:rPr>
        <w:t>dades que pretende contratar será considerado participante para efeito do remanejamento.</w:t>
      </w:r>
      <w:bookmarkStart w:id="13" w:name="gerenciador_estimador_é_partic_em_remane"/>
      <w:bookmarkEnd w:id="13"/>
    </w:p>
    <w:p w14:paraId="7E4ED01E">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Competirá ao órgão ou à en</w:t>
      </w:r>
      <w:r>
        <w:rPr>
          <w:rFonts w:eastAsia="Arial"/>
          <w:szCs w:val="24"/>
          <w:lang w:eastAsia="pt-BR"/>
        </w:rPr>
        <w:t>ti</w:t>
      </w:r>
      <w:r>
        <w:rPr>
          <w:rFonts w:eastAsia="Arial Unicode MS"/>
          <w:szCs w:val="24"/>
          <w:lang w:eastAsia="pt-BR"/>
        </w:rPr>
        <w:t>dade gerenciadora autorizar o remanejamento solicitado, com a redução do quan</w:t>
      </w:r>
      <w:r>
        <w:rPr>
          <w:rFonts w:eastAsia="Arial"/>
          <w:szCs w:val="24"/>
          <w:lang w:eastAsia="pt-BR"/>
        </w:rPr>
        <w:t>ti</w:t>
      </w:r>
      <w:r>
        <w:rPr>
          <w:rFonts w:eastAsia="Arial Unicode MS"/>
          <w:szCs w:val="24"/>
          <w:lang w:eastAsia="pt-BR"/>
        </w:rPr>
        <w:t>ta</w:t>
      </w:r>
      <w:r>
        <w:rPr>
          <w:rFonts w:eastAsia="Arial"/>
          <w:szCs w:val="24"/>
          <w:lang w:eastAsia="pt-BR"/>
        </w:rPr>
        <w:t>ti</w:t>
      </w:r>
      <w:r>
        <w:rPr>
          <w:rFonts w:eastAsia="Arial Unicode MS"/>
          <w:szCs w:val="24"/>
          <w:lang w:eastAsia="pt-BR"/>
        </w:rPr>
        <w:t>vo inicialmente informado pelo órgão ou pela en</w:t>
      </w:r>
      <w:r>
        <w:rPr>
          <w:rFonts w:eastAsia="Arial"/>
          <w:szCs w:val="24"/>
          <w:lang w:eastAsia="pt-BR"/>
        </w:rPr>
        <w:t>ti</w:t>
      </w:r>
      <w:r>
        <w:rPr>
          <w:rFonts w:eastAsia="Arial Unicode MS"/>
          <w:szCs w:val="24"/>
          <w:lang w:eastAsia="pt-BR"/>
        </w:rPr>
        <w:t>dade par</w:t>
      </w:r>
      <w:r>
        <w:rPr>
          <w:rFonts w:eastAsia="Arial"/>
          <w:szCs w:val="24"/>
          <w:lang w:eastAsia="pt-BR"/>
        </w:rPr>
        <w:t>ti</w:t>
      </w:r>
      <w:r>
        <w:rPr>
          <w:rFonts w:eastAsia="Arial Unicode MS"/>
          <w:szCs w:val="24"/>
          <w:lang w:eastAsia="pt-BR"/>
        </w:rPr>
        <w:t>cipante, desde que haja prévia anuência do órgão ou da en</w:t>
      </w:r>
      <w:r>
        <w:rPr>
          <w:rFonts w:eastAsia="Arial"/>
          <w:szCs w:val="24"/>
          <w:lang w:eastAsia="pt-BR"/>
        </w:rPr>
        <w:t>ti</w:t>
      </w:r>
      <w:r>
        <w:rPr>
          <w:rFonts w:eastAsia="Arial Unicode MS"/>
          <w:szCs w:val="24"/>
          <w:lang w:eastAsia="pt-BR"/>
        </w:rPr>
        <w:t>dade que sofrer redução dos quantitativos informados.</w:t>
      </w:r>
    </w:p>
    <w:p w14:paraId="3092FF38">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da compra centralizada, não havendo indicação pelo órgão ou pela en</w:t>
      </w:r>
      <w:r>
        <w:rPr>
          <w:rFonts w:eastAsia="Arial"/>
          <w:szCs w:val="24"/>
          <w:lang w:eastAsia="pt-BR"/>
        </w:rPr>
        <w:t>ti</w:t>
      </w:r>
      <w:r>
        <w:rPr>
          <w:rFonts w:eastAsia="Arial Unicode MS"/>
          <w:szCs w:val="24"/>
          <w:lang w:eastAsia="pt-BR"/>
        </w:rPr>
        <w:t>dade gerenciadora, dos quan</w:t>
      </w:r>
      <w:r>
        <w:rPr>
          <w:rFonts w:eastAsia="Arial"/>
          <w:szCs w:val="24"/>
          <w:lang w:eastAsia="pt-BR"/>
        </w:rPr>
        <w:t>ti</w:t>
      </w:r>
      <w:r>
        <w:rPr>
          <w:rFonts w:eastAsia="Arial Unicode MS"/>
          <w:szCs w:val="24"/>
          <w:lang w:eastAsia="pt-BR"/>
        </w:rPr>
        <w:t>ta</w:t>
      </w:r>
      <w:r>
        <w:rPr>
          <w:rFonts w:eastAsia="Arial"/>
          <w:szCs w:val="24"/>
          <w:lang w:eastAsia="pt-BR"/>
        </w:rPr>
        <w:t>ti</w:t>
      </w:r>
      <w:r>
        <w:rPr>
          <w:rFonts w:eastAsia="Arial Unicode MS"/>
          <w:szCs w:val="24"/>
          <w:lang w:eastAsia="pt-BR"/>
        </w:rPr>
        <w:t>vos dos par</w:t>
      </w:r>
      <w:r>
        <w:rPr>
          <w:rFonts w:eastAsia="Arial"/>
          <w:szCs w:val="24"/>
          <w:lang w:eastAsia="pt-BR"/>
        </w:rPr>
        <w:t>ti</w:t>
      </w:r>
      <w:r>
        <w:rPr>
          <w:rFonts w:eastAsia="Arial Unicode MS"/>
          <w:szCs w:val="24"/>
          <w:lang w:eastAsia="pt-BR"/>
        </w:rPr>
        <w:t xml:space="preserve">cipantes da compra centralizada, nos termos do item </w:t>
      </w:r>
      <w:r>
        <w:rPr>
          <w:rFonts w:eastAsia="Arial Unicode MS"/>
          <w:szCs w:val="24"/>
          <w:lang w:eastAsia="pt-BR"/>
        </w:rPr>
        <w:fldChar w:fldCharType="begin"/>
      </w:r>
      <w:r>
        <w:rPr>
          <w:rFonts w:eastAsia="Arial Unicode MS"/>
          <w:szCs w:val="24"/>
          <w:lang w:eastAsia="pt-BR"/>
        </w:rPr>
        <w:instrText xml:space="preserve"> REF gerenciador_estimador_é_partic_em_remane \r \h  \* MERGEFORMAT </w:instrText>
      </w:r>
      <w:r>
        <w:rPr>
          <w:rFonts w:eastAsia="Arial Unicode MS"/>
          <w:szCs w:val="24"/>
          <w:lang w:eastAsia="pt-BR"/>
        </w:rPr>
        <w:fldChar w:fldCharType="separate"/>
      </w:r>
      <w:r>
        <w:rPr>
          <w:rFonts w:eastAsia="Arial Unicode MS"/>
          <w:szCs w:val="24"/>
          <w:lang w:eastAsia="pt-BR"/>
        </w:rPr>
        <w:t>8.3</w:t>
      </w:r>
      <w:r>
        <w:rPr>
          <w:rFonts w:eastAsia="Arial Unicode MS"/>
          <w:szCs w:val="24"/>
          <w:lang w:eastAsia="pt-BR"/>
        </w:rPr>
        <w:fldChar w:fldCharType="end"/>
      </w:r>
      <w:r>
        <w:rPr>
          <w:rFonts w:eastAsia="Arial Unicode MS"/>
          <w:szCs w:val="24"/>
          <w:lang w:eastAsia="pt-BR"/>
        </w:rPr>
        <w:t>, a distribuição das quantidades para a execução descentralizada será por meio do remanejamento.</w:t>
      </w:r>
    </w:p>
    <w:p w14:paraId="1255C59D">
      <w:pPr>
        <w:suppressAutoHyphens w:val="0"/>
        <w:autoSpaceDE w:val="0"/>
        <w:autoSpaceDN w:val="0"/>
        <w:adjustRightInd w:val="0"/>
        <w:spacing w:before="72" w:beforeLines="30" w:after="72" w:afterLines="30"/>
        <w:jc w:val="both"/>
        <w:rPr>
          <w:rFonts w:eastAsia="Arial Unicode MS"/>
          <w:szCs w:val="24"/>
          <w:lang w:eastAsia="pt-BR"/>
        </w:rPr>
      </w:pPr>
    </w:p>
    <w:p w14:paraId="7F8AC956">
      <w:pPr>
        <w:numPr>
          <w:ilvl w:val="0"/>
          <w:numId w:val="8"/>
        </w:numPr>
        <w:suppressAutoHyphens w:val="0"/>
        <w:spacing w:before="72" w:beforeLines="30" w:after="72" w:afterLines="30"/>
        <w:ind w:left="0" w:firstLine="0"/>
        <w:jc w:val="both"/>
        <w:rPr>
          <w:rFonts w:eastAsia="Arial Unicode MS"/>
          <w:b/>
          <w:iCs/>
          <w:szCs w:val="24"/>
          <w:lang w:eastAsia="pt-BR"/>
        </w:rPr>
      </w:pPr>
      <w:r>
        <w:rPr>
          <w:rFonts w:eastAsia="Arial Unicode MS"/>
          <w:b/>
          <w:szCs w:val="24"/>
          <w:lang w:eastAsia="pt-BR"/>
        </w:rPr>
        <w:t>CANCELAMENTO DO REGISTRO DO LICITANTE VENCEDOR E DOS PREÇOS REGISTRADOS</w:t>
      </w:r>
      <w:bookmarkStart w:id="14" w:name="cancelamento"/>
      <w:bookmarkEnd w:id="14"/>
    </w:p>
    <w:p w14:paraId="0A5AD604">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registro do fornecedor será cancelado pelo gerenciador, quando o fornecedor:</w:t>
      </w:r>
      <w:bookmarkStart w:id="15" w:name="cancelamento_do_fornecedor"/>
      <w:bookmarkEnd w:id="15"/>
    </w:p>
    <w:p w14:paraId="59D10EF9">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Descumprir as condições da ata de registro de preços, sem motivo justificado;</w:t>
      </w:r>
    </w:p>
    <w:p w14:paraId="44385726">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Não re</w:t>
      </w:r>
      <w:r>
        <w:rPr>
          <w:rFonts w:eastAsia="Arial"/>
          <w:color w:val="000000"/>
          <w:szCs w:val="24"/>
          <w:lang w:eastAsia="pt-BR"/>
        </w:rPr>
        <w:t>ti</w:t>
      </w:r>
      <w:r>
        <w:rPr>
          <w:rFonts w:eastAsia="Arial Unicode MS"/>
          <w:color w:val="000000"/>
          <w:szCs w:val="24"/>
          <w:lang w:eastAsia="pt-BR"/>
        </w:rPr>
        <w:t>rar a nota de empenho, ou instrumento equivalente, no prazo estabelecido pela Administração sem justificativa razoável;</w:t>
      </w:r>
    </w:p>
    <w:p w14:paraId="40742DD6">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Não aceitar manter seu preço registrado</w:t>
      </w:r>
    </w:p>
    <w:p w14:paraId="440F4D33">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Sofrer sanção prevista nos incisos III ou IV do caput do art. 156 da Lei nº 14.133, de 2021.</w:t>
      </w:r>
    </w:p>
    <w:p w14:paraId="1A116AEE">
      <w:pPr>
        <w:numPr>
          <w:ilvl w:val="3"/>
          <w:numId w:val="0"/>
        </w:numPr>
        <w:suppressAutoHyphens w:val="0"/>
        <w:spacing w:before="72" w:beforeLines="30" w:after="72" w:afterLines="30"/>
        <w:jc w:val="both"/>
        <w:rPr>
          <w:szCs w:val="24"/>
          <w:lang w:eastAsia="pt-BR"/>
        </w:rPr>
      </w:pPr>
      <w:r>
        <w:rPr>
          <w:szCs w:val="24"/>
          <w:lang w:eastAsia="pt-BR"/>
        </w:rPr>
        <w:t>9.1.5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O cancelamento de registros nas hipóteses previstas no item </w:t>
      </w:r>
      <w:r>
        <w:rPr>
          <w:rFonts w:eastAsia="Arial Unicode MS"/>
          <w:szCs w:val="24"/>
          <w:lang w:eastAsia="pt-BR"/>
        </w:rPr>
        <w:fldChar w:fldCharType="begin"/>
      </w:r>
      <w:r>
        <w:rPr>
          <w:rFonts w:eastAsia="Arial Unicode MS"/>
          <w:szCs w:val="24"/>
          <w:lang w:eastAsia="pt-BR"/>
        </w:rPr>
        <w:instrText xml:space="preserve"> REF cancelamento_do_fornecedor \r \h  \* MERGEFORMAT </w:instrText>
      </w:r>
      <w:r>
        <w:rPr>
          <w:rFonts w:eastAsia="Arial Unicode MS"/>
          <w:szCs w:val="24"/>
          <w:lang w:eastAsia="pt-BR"/>
        </w:rPr>
        <w:fldChar w:fldCharType="separate"/>
      </w:r>
      <w:r>
        <w:rPr>
          <w:rFonts w:eastAsia="Arial Unicode MS"/>
          <w:szCs w:val="24"/>
          <w:lang w:eastAsia="pt-BR"/>
        </w:rPr>
        <w:t>9.1</w:t>
      </w:r>
      <w:r>
        <w:rPr>
          <w:rFonts w:eastAsia="Arial Unicode MS"/>
          <w:szCs w:val="24"/>
          <w:lang w:eastAsia="pt-BR"/>
        </w:rPr>
        <w:fldChar w:fldCharType="end"/>
      </w:r>
      <w:r>
        <w:rPr>
          <w:rFonts w:eastAsia="Arial Unicode MS"/>
          <w:szCs w:val="24"/>
          <w:lang w:eastAsia="pt-BR"/>
        </w:rPr>
        <w:t xml:space="preserve"> será formalizado por despacho do órgão ou da entidade gerenciadora, garantidos os princípios do contraditório e da ampla defesa.</w:t>
      </w:r>
    </w:p>
    <w:p w14:paraId="162501D5">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6" w:name="cancelamento_da_ata"/>
      <w:bookmarkEnd w:id="16"/>
      <w:r>
        <w:rPr>
          <w:rFonts w:eastAsia="Arial Unicode MS"/>
          <w:szCs w:val="24"/>
          <w:lang w:eastAsia="pt-BR"/>
        </w:rPr>
        <w:t xml:space="preserve"> </w:t>
      </w:r>
    </w:p>
    <w:p w14:paraId="0E11ED31">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Por razão de interesse público;</w:t>
      </w:r>
    </w:p>
    <w:p w14:paraId="60C51C8F">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A pedido do fornecedor, decorrente de caso fortuito ou força maior; ou</w:t>
      </w:r>
    </w:p>
    <w:p w14:paraId="04E576CA">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Se não houver êxito nas negociações, nas hipóteses em que o preço de mercado tornar-se superior ou inferior ao preço registrado. </w:t>
      </w:r>
    </w:p>
    <w:p w14:paraId="720AD8E1">
      <w:pPr>
        <w:suppressAutoHyphens w:val="0"/>
        <w:spacing w:before="72" w:beforeLines="30" w:after="72" w:afterLines="30"/>
        <w:jc w:val="both"/>
        <w:rPr>
          <w:rFonts w:eastAsia="Arial Unicode MS"/>
          <w:color w:val="000000"/>
          <w:szCs w:val="24"/>
          <w:lang w:eastAsia="pt-BR"/>
        </w:rPr>
      </w:pPr>
    </w:p>
    <w:p w14:paraId="252F241B">
      <w:pPr>
        <w:numPr>
          <w:ilvl w:val="0"/>
          <w:numId w:val="8"/>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DAS PENALIDADES</w:t>
      </w:r>
    </w:p>
    <w:p w14:paraId="1C88D6BC">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48A2A33E">
      <w:pPr>
        <w:numPr>
          <w:ilvl w:val="2"/>
          <w:numId w:val="8"/>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órgão ou entidade participante deverá comunicar ao órgão gerenciador qualquer das ocorrências previstas no item 9.1, dada a necessidade de instauração de procedimento para cancelamento do registro do fornecedor.</w:t>
      </w:r>
    </w:p>
    <w:p w14:paraId="0F91DF46">
      <w:pPr>
        <w:suppressAutoHyphens w:val="0"/>
        <w:autoSpaceDE w:val="0"/>
        <w:autoSpaceDN w:val="0"/>
        <w:adjustRightInd w:val="0"/>
        <w:spacing w:before="72" w:beforeLines="30" w:after="72" w:afterLines="30"/>
        <w:jc w:val="both"/>
        <w:rPr>
          <w:rFonts w:eastAsia="Arial Unicode MS"/>
          <w:szCs w:val="24"/>
          <w:lang w:eastAsia="pt-BR"/>
        </w:rPr>
      </w:pPr>
    </w:p>
    <w:p w14:paraId="6A2F315B">
      <w:pPr>
        <w:numPr>
          <w:ilvl w:val="0"/>
          <w:numId w:val="8"/>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CONDIÇÕES GERAIS</w:t>
      </w:r>
    </w:p>
    <w:p w14:paraId="2F85615A">
      <w:pPr>
        <w:numPr>
          <w:ilvl w:val="1"/>
          <w:numId w:val="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eastAsia="Arial Unicode MS"/>
          <w:i/>
          <w:szCs w:val="24"/>
          <w:lang w:eastAsia="pt-BR"/>
        </w:rPr>
        <w:t xml:space="preserve"> </w:t>
      </w:r>
    </w:p>
    <w:p w14:paraId="2AF485C0">
      <w:pPr>
        <w:widowControl w:val="0"/>
        <w:autoSpaceDE w:val="0"/>
        <w:autoSpaceDN w:val="0"/>
        <w:adjustRightInd w:val="0"/>
        <w:spacing w:before="72" w:beforeLines="30" w:after="72" w:afterLines="30"/>
        <w:jc w:val="both"/>
        <w:rPr>
          <w:i/>
          <w:iCs/>
          <w:color w:val="FF0000"/>
          <w:szCs w:val="24"/>
        </w:rPr>
      </w:pPr>
      <w:r>
        <w:rPr>
          <w:szCs w:val="24"/>
        </w:rPr>
        <w:t>Para firmeza e validade do pactuado, a presente Ata foi lavrada em 1 (uma) via, que, depois de lida e achada em ordem, vai assinada pelas partes.</w:t>
      </w:r>
    </w:p>
    <w:p w14:paraId="01BBD83E">
      <w:pPr>
        <w:widowControl w:val="0"/>
        <w:autoSpaceDE w:val="0"/>
        <w:autoSpaceDN w:val="0"/>
        <w:adjustRightInd w:val="0"/>
        <w:spacing w:before="72" w:beforeLines="30" w:after="72" w:afterLines="30"/>
        <w:ind w:right="-30"/>
        <w:jc w:val="center"/>
        <w:rPr>
          <w:szCs w:val="24"/>
        </w:rPr>
      </w:pPr>
      <w:r>
        <w:rPr>
          <w:szCs w:val="24"/>
        </w:rPr>
        <w:t>Local e data</w:t>
      </w:r>
    </w:p>
    <w:p w14:paraId="1E636C90">
      <w:pPr>
        <w:widowControl w:val="0"/>
        <w:autoSpaceDE w:val="0"/>
        <w:autoSpaceDN w:val="0"/>
        <w:adjustRightInd w:val="0"/>
        <w:spacing w:before="72" w:beforeLines="30" w:after="72" w:afterLines="30"/>
        <w:ind w:right="-30"/>
        <w:jc w:val="center"/>
        <w:rPr>
          <w:szCs w:val="24"/>
        </w:rPr>
      </w:pPr>
      <w:r>
        <w:rPr>
          <w:szCs w:val="24"/>
        </w:rPr>
        <w:t>Assinaturas</w:t>
      </w:r>
    </w:p>
    <w:p w14:paraId="67487FF8">
      <w:pPr>
        <w:widowControl w:val="0"/>
        <w:autoSpaceDE w:val="0"/>
        <w:autoSpaceDN w:val="0"/>
        <w:adjustRightInd w:val="0"/>
        <w:spacing w:before="72" w:beforeLines="30" w:after="72" w:afterLines="30"/>
        <w:ind w:right="-30"/>
        <w:jc w:val="center"/>
        <w:rPr>
          <w:szCs w:val="24"/>
        </w:rPr>
      </w:pPr>
    </w:p>
    <w:p w14:paraId="63622BA7">
      <w:pPr>
        <w:spacing w:before="72" w:beforeLines="30" w:after="72" w:afterLines="30"/>
        <w:jc w:val="center"/>
        <w:rPr>
          <w:b/>
          <w:szCs w:val="24"/>
        </w:rPr>
      </w:pPr>
      <w:r>
        <w:rPr>
          <w:b/>
          <w:szCs w:val="24"/>
        </w:rPr>
        <w:t>___________________________________</w:t>
      </w:r>
    </w:p>
    <w:p w14:paraId="48318859">
      <w:pPr>
        <w:spacing w:before="72" w:beforeLines="30" w:after="72" w:afterLines="30"/>
        <w:ind w:right="-1"/>
        <w:jc w:val="center"/>
        <w:rPr>
          <w:b/>
          <w:szCs w:val="24"/>
        </w:rPr>
      </w:pPr>
      <w:r>
        <w:rPr>
          <w:b/>
          <w:szCs w:val="24"/>
        </w:rPr>
        <w:t>Carlos Humberto Pagliosa</w:t>
      </w:r>
    </w:p>
    <w:p w14:paraId="2F48A0A4">
      <w:pPr>
        <w:spacing w:before="72" w:beforeLines="30" w:after="72" w:afterLines="30"/>
        <w:ind w:right="-1"/>
        <w:jc w:val="center"/>
        <w:rPr>
          <w:b/>
          <w:bCs/>
          <w:szCs w:val="24"/>
        </w:rPr>
      </w:pPr>
      <w:r>
        <w:rPr>
          <w:bCs/>
          <w:szCs w:val="24"/>
        </w:rPr>
        <w:t>PREFEITO MUNICIPAL DE CARACOL</w:t>
      </w:r>
    </w:p>
    <w:p w14:paraId="1047730C">
      <w:pPr>
        <w:widowControl w:val="0"/>
        <w:autoSpaceDE w:val="0"/>
        <w:autoSpaceDN w:val="0"/>
        <w:adjustRightInd w:val="0"/>
        <w:spacing w:before="72" w:beforeLines="30" w:after="72" w:afterLines="30"/>
        <w:ind w:right="-30"/>
        <w:jc w:val="center"/>
        <w:rPr>
          <w:szCs w:val="24"/>
        </w:rPr>
      </w:pPr>
    </w:p>
    <w:p w14:paraId="20154111">
      <w:pPr>
        <w:widowControl w:val="0"/>
        <w:autoSpaceDE w:val="0"/>
        <w:autoSpaceDN w:val="0"/>
        <w:adjustRightInd w:val="0"/>
        <w:spacing w:before="72" w:beforeLines="30" w:after="72" w:afterLines="30"/>
        <w:ind w:right="-30"/>
        <w:jc w:val="center"/>
        <w:rPr>
          <w:szCs w:val="24"/>
        </w:rPr>
      </w:pPr>
    </w:p>
    <w:p w14:paraId="6A6DFB5F">
      <w:pPr>
        <w:widowControl w:val="0"/>
        <w:autoSpaceDE w:val="0"/>
        <w:autoSpaceDN w:val="0"/>
        <w:adjustRightInd w:val="0"/>
        <w:spacing w:before="72" w:beforeLines="30" w:after="72" w:afterLines="30"/>
        <w:ind w:right="-30"/>
        <w:jc w:val="center"/>
        <w:rPr>
          <w:color w:val="000000"/>
          <w:szCs w:val="24"/>
        </w:rPr>
      </w:pPr>
      <w:r>
        <w:rPr>
          <w:szCs w:val="24"/>
        </w:rPr>
        <w:t xml:space="preserve"> representante(s) legal(is) do(s) </w:t>
      </w:r>
      <w:r>
        <w:rPr>
          <w:color w:val="000000"/>
          <w:szCs w:val="24"/>
        </w:rPr>
        <w:t>fornecedor(s) registrado(s)</w:t>
      </w:r>
    </w:p>
    <w:p w14:paraId="18514F52">
      <w:pPr>
        <w:widowControl w:val="0"/>
        <w:autoSpaceDE w:val="0"/>
        <w:autoSpaceDN w:val="0"/>
        <w:adjustRightInd w:val="0"/>
        <w:spacing w:before="72" w:beforeLines="30" w:after="72" w:afterLines="30"/>
        <w:ind w:right="-30"/>
        <w:rPr>
          <w:color w:val="000000"/>
          <w:szCs w:val="24"/>
        </w:rPr>
      </w:pPr>
    </w:p>
    <w:p w14:paraId="025CAE2C">
      <w:pPr>
        <w:widowControl w:val="0"/>
        <w:autoSpaceDE w:val="0"/>
        <w:autoSpaceDN w:val="0"/>
        <w:adjustRightInd w:val="0"/>
        <w:spacing w:before="72" w:beforeLines="30" w:after="72" w:afterLines="30"/>
        <w:ind w:right="-30"/>
        <w:rPr>
          <w:color w:val="000000"/>
          <w:szCs w:val="24"/>
        </w:rPr>
      </w:pPr>
    </w:p>
    <w:p w14:paraId="389275FF">
      <w:pPr>
        <w:widowControl w:val="0"/>
        <w:autoSpaceDE w:val="0"/>
        <w:autoSpaceDN w:val="0"/>
        <w:adjustRightInd w:val="0"/>
        <w:spacing w:before="72" w:beforeLines="30" w:after="72" w:afterLines="30"/>
        <w:ind w:right="-30"/>
        <w:jc w:val="center"/>
        <w:rPr>
          <w:b/>
          <w:color w:val="000000"/>
          <w:szCs w:val="24"/>
        </w:rPr>
      </w:pPr>
      <w:r>
        <w:rPr>
          <w:b/>
          <w:color w:val="000000"/>
          <w:szCs w:val="24"/>
        </w:rPr>
        <w:t>Anexo único à ARP n. xxxxxxxxxxx</w:t>
      </w:r>
    </w:p>
    <w:p w14:paraId="65C59154">
      <w:pPr>
        <w:widowControl w:val="0"/>
        <w:autoSpaceDE w:val="0"/>
        <w:autoSpaceDN w:val="0"/>
        <w:adjustRightInd w:val="0"/>
        <w:spacing w:before="72" w:beforeLines="30" w:after="72" w:afterLines="30"/>
        <w:ind w:right="-30"/>
        <w:jc w:val="center"/>
        <w:rPr>
          <w:color w:val="000000"/>
          <w:szCs w:val="24"/>
        </w:rPr>
      </w:pPr>
    </w:p>
    <w:p w14:paraId="67651E40">
      <w:pPr>
        <w:widowControl w:val="0"/>
        <w:autoSpaceDE w:val="0"/>
        <w:autoSpaceDN w:val="0"/>
        <w:adjustRightInd w:val="0"/>
        <w:spacing w:before="72" w:beforeLines="30" w:after="72" w:afterLines="30"/>
        <w:ind w:right="-30"/>
        <w:jc w:val="center"/>
        <w:rPr>
          <w:color w:val="000000"/>
          <w:szCs w:val="24"/>
        </w:rPr>
      </w:pPr>
      <w:r>
        <w:rPr>
          <w:color w:val="000000"/>
          <w:szCs w:val="24"/>
        </w:rPr>
        <w:t>Cadastro Reserva</w:t>
      </w:r>
    </w:p>
    <w:p w14:paraId="2D467C2E">
      <w:pPr>
        <w:widowControl w:val="0"/>
        <w:autoSpaceDE w:val="0"/>
        <w:autoSpaceDN w:val="0"/>
        <w:adjustRightInd w:val="0"/>
        <w:spacing w:before="72" w:beforeLines="30" w:after="72" w:afterLines="30"/>
        <w:ind w:right="-30"/>
        <w:jc w:val="center"/>
        <w:rPr>
          <w:color w:val="000000"/>
          <w:szCs w:val="24"/>
        </w:rPr>
      </w:pPr>
    </w:p>
    <w:p w14:paraId="0416BF04">
      <w:pPr>
        <w:widowControl w:val="0"/>
        <w:autoSpaceDE w:val="0"/>
        <w:autoSpaceDN w:val="0"/>
        <w:adjustRightInd w:val="0"/>
        <w:spacing w:before="72" w:beforeLines="30" w:after="72" w:afterLines="30"/>
        <w:ind w:right="-30"/>
        <w:jc w:val="center"/>
        <w:rPr>
          <w:color w:val="000000"/>
          <w:szCs w:val="24"/>
        </w:rPr>
      </w:pPr>
      <w:r>
        <w:rPr>
          <w:color w:val="000000"/>
          <w:szCs w:val="24"/>
        </w:rPr>
        <w:t>Seguindo a ordem de classificação, segue relação de fornecedores que aceitaram cotar os itens com preços iguais ao adjudicatário:</w:t>
      </w:r>
    </w:p>
    <w:p w14:paraId="77AAA8CF">
      <w:pPr>
        <w:widowControl w:val="0"/>
        <w:autoSpaceDE w:val="0"/>
        <w:autoSpaceDN w:val="0"/>
        <w:adjustRightInd w:val="0"/>
        <w:spacing w:before="72" w:beforeLines="30" w:after="72" w:afterLines="30"/>
        <w:ind w:right="-30"/>
        <w:jc w:val="center"/>
        <w:rPr>
          <w:color w:val="000000"/>
          <w:szCs w:val="24"/>
        </w:rPr>
      </w:pPr>
    </w:p>
    <w:p w14:paraId="691AFB6B">
      <w:pPr>
        <w:widowControl w:val="0"/>
        <w:autoSpaceDE w:val="0"/>
        <w:autoSpaceDN w:val="0"/>
        <w:adjustRightInd w:val="0"/>
        <w:spacing w:before="72" w:beforeLines="30" w:after="72" w:afterLines="30"/>
        <w:ind w:right="-30"/>
        <w:jc w:val="center"/>
        <w:rPr>
          <w:color w:val="000000"/>
          <w:szCs w:val="24"/>
        </w:rPr>
      </w:pPr>
    </w:p>
    <w:p w14:paraId="4B2C1934">
      <w:pPr>
        <w:widowControl w:val="0"/>
        <w:autoSpaceDE w:val="0"/>
        <w:autoSpaceDN w:val="0"/>
        <w:adjustRightInd w:val="0"/>
        <w:spacing w:before="72" w:beforeLines="30" w:after="72" w:afterLines="30"/>
        <w:ind w:right="-30"/>
        <w:jc w:val="center"/>
        <w:rPr>
          <w:color w:val="000000"/>
          <w:szCs w:val="24"/>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6"/>
        <w:gridCol w:w="4627"/>
        <w:gridCol w:w="3021"/>
      </w:tblGrid>
      <w:tr w14:paraId="7305F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75CFB7DA">
            <w:pPr>
              <w:widowControl w:val="0"/>
              <w:autoSpaceDE w:val="0"/>
              <w:autoSpaceDN w:val="0"/>
              <w:adjustRightInd w:val="0"/>
              <w:spacing w:before="72" w:beforeLines="30" w:after="72" w:afterLines="30"/>
              <w:ind w:right="-30"/>
              <w:jc w:val="center"/>
              <w:rPr>
                <w:color w:val="000000"/>
                <w:szCs w:val="24"/>
              </w:rPr>
            </w:pPr>
            <w:r>
              <w:rPr>
                <w:color w:val="000000"/>
                <w:szCs w:val="24"/>
              </w:rPr>
              <w:t>Classificação</w:t>
            </w:r>
          </w:p>
        </w:tc>
        <w:tc>
          <w:tcPr>
            <w:tcW w:w="4627" w:type="dxa"/>
          </w:tcPr>
          <w:p w14:paraId="3CCD2FD7">
            <w:pPr>
              <w:widowControl w:val="0"/>
              <w:autoSpaceDE w:val="0"/>
              <w:autoSpaceDN w:val="0"/>
              <w:adjustRightInd w:val="0"/>
              <w:spacing w:before="72" w:beforeLines="30" w:after="72" w:afterLines="30"/>
              <w:ind w:right="-30"/>
              <w:jc w:val="center"/>
              <w:rPr>
                <w:color w:val="000000"/>
                <w:szCs w:val="24"/>
              </w:rPr>
            </w:pPr>
            <w:r>
              <w:rPr>
                <w:color w:val="000000"/>
                <w:szCs w:val="24"/>
              </w:rPr>
              <w:t>Fornecedor</w:t>
            </w:r>
          </w:p>
        </w:tc>
        <w:tc>
          <w:tcPr>
            <w:tcW w:w="3021" w:type="dxa"/>
          </w:tcPr>
          <w:p w14:paraId="26B11882">
            <w:pPr>
              <w:widowControl w:val="0"/>
              <w:autoSpaceDE w:val="0"/>
              <w:autoSpaceDN w:val="0"/>
              <w:adjustRightInd w:val="0"/>
              <w:spacing w:before="72" w:beforeLines="30" w:after="72" w:afterLines="30"/>
              <w:ind w:right="-30"/>
              <w:rPr>
                <w:color w:val="000000"/>
                <w:szCs w:val="24"/>
              </w:rPr>
            </w:pPr>
            <w:r>
              <w:rPr>
                <w:color w:val="000000"/>
                <w:szCs w:val="24"/>
              </w:rPr>
              <w:t>CNPJ</w:t>
            </w:r>
          </w:p>
        </w:tc>
      </w:tr>
      <w:tr w14:paraId="50EFE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48168F08">
            <w:pPr>
              <w:widowControl w:val="0"/>
              <w:autoSpaceDE w:val="0"/>
              <w:autoSpaceDN w:val="0"/>
              <w:adjustRightInd w:val="0"/>
              <w:spacing w:before="72" w:beforeLines="30" w:after="72" w:afterLines="30"/>
              <w:ind w:right="-30"/>
              <w:jc w:val="center"/>
              <w:rPr>
                <w:color w:val="000000"/>
                <w:szCs w:val="24"/>
              </w:rPr>
            </w:pPr>
          </w:p>
        </w:tc>
        <w:tc>
          <w:tcPr>
            <w:tcW w:w="4627" w:type="dxa"/>
          </w:tcPr>
          <w:p w14:paraId="247A02BF">
            <w:pPr>
              <w:widowControl w:val="0"/>
              <w:autoSpaceDE w:val="0"/>
              <w:autoSpaceDN w:val="0"/>
              <w:adjustRightInd w:val="0"/>
              <w:spacing w:before="72" w:beforeLines="30" w:after="72" w:afterLines="30"/>
              <w:ind w:right="-30"/>
              <w:jc w:val="center"/>
              <w:rPr>
                <w:color w:val="000000"/>
                <w:szCs w:val="24"/>
              </w:rPr>
            </w:pPr>
          </w:p>
        </w:tc>
        <w:tc>
          <w:tcPr>
            <w:tcW w:w="3021" w:type="dxa"/>
          </w:tcPr>
          <w:p w14:paraId="77C80EE2">
            <w:pPr>
              <w:widowControl w:val="0"/>
              <w:autoSpaceDE w:val="0"/>
              <w:autoSpaceDN w:val="0"/>
              <w:adjustRightInd w:val="0"/>
              <w:spacing w:before="72" w:beforeLines="30" w:after="72" w:afterLines="30"/>
              <w:ind w:right="-30"/>
              <w:jc w:val="center"/>
              <w:rPr>
                <w:color w:val="000000"/>
                <w:szCs w:val="24"/>
              </w:rPr>
            </w:pPr>
          </w:p>
        </w:tc>
      </w:tr>
      <w:tr w14:paraId="2C4D8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1EB5FA85">
            <w:pPr>
              <w:widowControl w:val="0"/>
              <w:autoSpaceDE w:val="0"/>
              <w:autoSpaceDN w:val="0"/>
              <w:adjustRightInd w:val="0"/>
              <w:spacing w:before="72" w:beforeLines="30" w:after="72" w:afterLines="30"/>
              <w:ind w:right="-30"/>
              <w:jc w:val="center"/>
              <w:rPr>
                <w:color w:val="000000"/>
                <w:szCs w:val="24"/>
              </w:rPr>
            </w:pPr>
          </w:p>
        </w:tc>
        <w:tc>
          <w:tcPr>
            <w:tcW w:w="4627" w:type="dxa"/>
          </w:tcPr>
          <w:p w14:paraId="46587943">
            <w:pPr>
              <w:widowControl w:val="0"/>
              <w:autoSpaceDE w:val="0"/>
              <w:autoSpaceDN w:val="0"/>
              <w:adjustRightInd w:val="0"/>
              <w:spacing w:before="72" w:beforeLines="30" w:after="72" w:afterLines="30"/>
              <w:ind w:right="-30"/>
              <w:jc w:val="center"/>
              <w:rPr>
                <w:color w:val="000000"/>
                <w:szCs w:val="24"/>
              </w:rPr>
            </w:pPr>
          </w:p>
        </w:tc>
        <w:tc>
          <w:tcPr>
            <w:tcW w:w="3021" w:type="dxa"/>
          </w:tcPr>
          <w:p w14:paraId="4B30DAFA">
            <w:pPr>
              <w:widowControl w:val="0"/>
              <w:autoSpaceDE w:val="0"/>
              <w:autoSpaceDN w:val="0"/>
              <w:adjustRightInd w:val="0"/>
              <w:spacing w:before="72" w:beforeLines="30" w:after="72" w:afterLines="30"/>
              <w:ind w:right="-30"/>
              <w:jc w:val="center"/>
              <w:rPr>
                <w:color w:val="000000"/>
                <w:szCs w:val="24"/>
              </w:rPr>
            </w:pPr>
          </w:p>
        </w:tc>
      </w:tr>
      <w:tr w14:paraId="6DED1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3571F55E">
            <w:pPr>
              <w:widowControl w:val="0"/>
              <w:autoSpaceDE w:val="0"/>
              <w:autoSpaceDN w:val="0"/>
              <w:adjustRightInd w:val="0"/>
              <w:spacing w:before="72" w:beforeLines="30" w:after="72" w:afterLines="30"/>
              <w:ind w:right="-30"/>
              <w:jc w:val="center"/>
              <w:rPr>
                <w:color w:val="000000"/>
                <w:szCs w:val="24"/>
              </w:rPr>
            </w:pPr>
          </w:p>
        </w:tc>
        <w:tc>
          <w:tcPr>
            <w:tcW w:w="4627" w:type="dxa"/>
          </w:tcPr>
          <w:p w14:paraId="6FDEEE5D">
            <w:pPr>
              <w:widowControl w:val="0"/>
              <w:autoSpaceDE w:val="0"/>
              <w:autoSpaceDN w:val="0"/>
              <w:adjustRightInd w:val="0"/>
              <w:spacing w:before="72" w:beforeLines="30" w:after="72" w:afterLines="30"/>
              <w:ind w:right="-30"/>
              <w:jc w:val="center"/>
              <w:rPr>
                <w:color w:val="000000"/>
                <w:szCs w:val="24"/>
              </w:rPr>
            </w:pPr>
          </w:p>
        </w:tc>
        <w:tc>
          <w:tcPr>
            <w:tcW w:w="3021" w:type="dxa"/>
          </w:tcPr>
          <w:p w14:paraId="566B501B">
            <w:pPr>
              <w:widowControl w:val="0"/>
              <w:autoSpaceDE w:val="0"/>
              <w:autoSpaceDN w:val="0"/>
              <w:adjustRightInd w:val="0"/>
              <w:spacing w:before="72" w:beforeLines="30" w:after="72" w:afterLines="30"/>
              <w:ind w:right="-30"/>
              <w:jc w:val="center"/>
              <w:rPr>
                <w:color w:val="000000"/>
                <w:szCs w:val="24"/>
              </w:rPr>
            </w:pPr>
          </w:p>
        </w:tc>
      </w:tr>
    </w:tbl>
    <w:p w14:paraId="3AE88151">
      <w:pPr>
        <w:tabs>
          <w:tab w:val="left" w:pos="284"/>
          <w:tab w:val="left" w:pos="709"/>
        </w:tabs>
        <w:autoSpaceDE w:val="0"/>
        <w:snapToGrid w:val="0"/>
        <w:spacing w:before="72" w:beforeLines="30" w:after="72" w:afterLines="30"/>
        <w:ind w:right="-1"/>
        <w:jc w:val="center"/>
        <w:rPr>
          <w:b/>
          <w:szCs w:val="24"/>
        </w:rPr>
      </w:pPr>
    </w:p>
    <w:p w14:paraId="04B5D061">
      <w:pPr>
        <w:suppressAutoHyphens w:val="0"/>
        <w:rPr>
          <w:b/>
          <w:szCs w:val="24"/>
        </w:rPr>
      </w:pPr>
      <w:r>
        <w:rPr>
          <w:b/>
          <w:szCs w:val="24"/>
        </w:rPr>
        <w:br w:type="page"/>
      </w:r>
    </w:p>
    <w:p w14:paraId="4AC82D97">
      <w:pPr>
        <w:suppressAutoHyphens w:val="0"/>
        <w:rPr>
          <w:b/>
          <w:szCs w:val="24"/>
        </w:rPr>
      </w:pPr>
    </w:p>
    <w:p w14:paraId="111F8316">
      <w:pPr>
        <w:suppressAutoHyphens w:val="0"/>
        <w:rPr>
          <w:b/>
          <w:szCs w:val="24"/>
        </w:rPr>
      </w:pPr>
    </w:p>
    <w:p w14:paraId="6691A303">
      <w:pPr>
        <w:tabs>
          <w:tab w:val="left" w:pos="284"/>
          <w:tab w:val="left" w:pos="709"/>
        </w:tabs>
        <w:autoSpaceDE w:val="0"/>
        <w:snapToGrid w:val="0"/>
        <w:spacing w:before="72" w:beforeLines="30" w:after="72" w:afterLines="30"/>
        <w:ind w:right="-1"/>
        <w:jc w:val="center"/>
        <w:rPr>
          <w:b/>
          <w:szCs w:val="24"/>
        </w:rPr>
      </w:pPr>
      <w:r>
        <w:rPr>
          <w:b/>
          <w:szCs w:val="24"/>
        </w:rPr>
        <w:t>ANEXO IV – Modelo de Declaração</w:t>
      </w:r>
    </w:p>
    <w:p w14:paraId="7C278DE4">
      <w:pPr>
        <w:tabs>
          <w:tab w:val="left" w:pos="284"/>
          <w:tab w:val="left" w:pos="709"/>
        </w:tabs>
        <w:autoSpaceDE w:val="0"/>
        <w:snapToGrid w:val="0"/>
        <w:spacing w:before="72" w:beforeLines="30" w:after="72" w:afterLines="30"/>
        <w:ind w:right="-1"/>
        <w:jc w:val="center"/>
        <w:rPr>
          <w:b/>
          <w:szCs w:val="24"/>
        </w:rPr>
      </w:pPr>
    </w:p>
    <w:p w14:paraId="147B61EF">
      <w:pPr>
        <w:spacing w:before="72" w:beforeLines="30" w:after="72" w:afterLines="30"/>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XX/2025,</w:t>
      </w:r>
      <w:r>
        <w:rPr>
          <w:szCs w:val="24"/>
        </w:rPr>
        <w:t xml:space="preserve"> sob as sanções administrativas cabíveis e sob penas da Lei, que esta empresa, na presente data:</w:t>
      </w:r>
    </w:p>
    <w:p w14:paraId="5C68DC46">
      <w:pPr>
        <w:spacing w:before="72" w:beforeLines="30" w:after="72" w:afterLines="30"/>
        <w:jc w:val="both"/>
        <w:rPr>
          <w:szCs w:val="24"/>
        </w:rPr>
      </w:pPr>
    </w:p>
    <w:p w14:paraId="3DD74A16">
      <w:pPr>
        <w:spacing w:before="72" w:beforeLines="30" w:after="72" w:afterLines="30"/>
        <w:jc w:val="both"/>
        <w:rPr>
          <w:szCs w:val="24"/>
        </w:rPr>
      </w:pPr>
      <w:r>
        <w:rPr>
          <w:szCs w:val="24"/>
        </w:rPr>
        <w:t>I - Que até a presente data inexistem fatos impeditivos para habilitação e contratação com a administração pública, ciente da obrigatoriedade de declarar ocorrências posteriores.</w:t>
      </w:r>
    </w:p>
    <w:p w14:paraId="074213F9">
      <w:pPr>
        <w:spacing w:before="72" w:beforeLines="30" w:after="72" w:afterLines="30"/>
        <w:jc w:val="both"/>
        <w:rPr>
          <w:szCs w:val="24"/>
        </w:rPr>
      </w:pPr>
      <w:r>
        <w:rPr>
          <w:szCs w:val="24"/>
        </w:rPr>
        <w:t>II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pPr>
        <w:spacing w:before="72" w:beforeLines="30" w:after="72" w:afterLines="30"/>
        <w:jc w:val="both"/>
        <w:rPr>
          <w:szCs w:val="24"/>
        </w:rPr>
      </w:pPr>
      <w:r>
        <w:rPr>
          <w:szCs w:val="24"/>
        </w:rPr>
        <w:t xml:space="preserve">III- 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3"/>
          <w:color w:val="auto"/>
          <w:szCs w:val="24"/>
        </w:rPr>
        <w:t>artigo 7°, XXXIII, da Constituição</w:t>
      </w:r>
      <w:r>
        <w:rPr>
          <w:rStyle w:val="13"/>
          <w:color w:val="auto"/>
          <w:szCs w:val="24"/>
        </w:rPr>
        <w:fldChar w:fldCharType="end"/>
      </w:r>
      <w:r>
        <w:rPr>
          <w:szCs w:val="24"/>
        </w:rPr>
        <w:t>;</w:t>
      </w:r>
    </w:p>
    <w:p w14:paraId="11EEF667">
      <w:pPr>
        <w:pStyle w:val="77"/>
        <w:numPr>
          <w:ilvl w:val="0"/>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3"/>
          <w:rFonts w:ascii="Times New Roman" w:hAnsi="Times New Roman" w:cs="Times New Roman"/>
          <w:color w:val="auto"/>
          <w:sz w:val="24"/>
          <w:szCs w:val="24"/>
        </w:rPr>
        <w:t>incisos III e IV do art. 1º e no inciso III do art. 5º da Constituição Federal</w:t>
      </w:r>
      <w:r>
        <w:rPr>
          <w:rStyle w:val="13"/>
          <w:rFonts w:ascii="Times New Roman" w:hAnsi="Times New Roman" w:cs="Times New Roman"/>
          <w:color w:val="auto"/>
          <w:sz w:val="24"/>
          <w:szCs w:val="24"/>
        </w:rPr>
        <w:fldChar w:fldCharType="end"/>
      </w:r>
      <w:r>
        <w:rPr>
          <w:rFonts w:ascii="Times New Roman" w:hAnsi="Times New Roman" w:cs="Times New Roman"/>
          <w:color w:val="auto"/>
          <w:sz w:val="24"/>
          <w:szCs w:val="24"/>
        </w:rPr>
        <w:t>;</w:t>
      </w:r>
    </w:p>
    <w:p w14:paraId="176F8B9C">
      <w:pPr>
        <w:pStyle w:val="77"/>
        <w:numPr>
          <w:ilvl w:val="0"/>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V - cumpre as exigências de reserva de cargos para pessoa com deficiência e para reabilitado da Previdência Social, previstas em lei e em outras normas específicas.</w:t>
      </w:r>
    </w:p>
    <w:p w14:paraId="7CAD21BC">
      <w:pPr>
        <w:pStyle w:val="77"/>
        <w:numPr>
          <w:ilvl w:val="0"/>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pPr>
        <w:tabs>
          <w:tab w:val="left" w:pos="-426"/>
        </w:tabs>
        <w:spacing w:before="72" w:beforeLines="30" w:after="72" w:afterLines="30"/>
        <w:jc w:val="both"/>
        <w:rPr>
          <w:szCs w:val="24"/>
        </w:rPr>
      </w:pPr>
    </w:p>
    <w:p w14:paraId="386D7512">
      <w:pPr>
        <w:spacing w:before="72" w:beforeLines="30" w:after="72" w:afterLines="30"/>
        <w:jc w:val="both"/>
        <w:rPr>
          <w:szCs w:val="24"/>
        </w:rPr>
      </w:pPr>
    </w:p>
    <w:p w14:paraId="5A30FA6C">
      <w:pPr>
        <w:spacing w:before="72" w:beforeLines="30" w:after="72" w:afterLines="30"/>
        <w:jc w:val="right"/>
        <w:rPr>
          <w:szCs w:val="24"/>
        </w:rPr>
      </w:pPr>
      <w:r>
        <w:rPr>
          <w:szCs w:val="24"/>
        </w:rPr>
        <w:t>(Localidade)_______, de ____________de__</w:t>
      </w:r>
      <w:r>
        <w:rPr>
          <w:szCs w:val="24"/>
        </w:rPr>
        <w:softHyphen/>
      </w:r>
      <w:r>
        <w:rPr>
          <w:szCs w:val="24"/>
        </w:rPr>
        <w:softHyphen/>
      </w:r>
      <w:r>
        <w:rPr>
          <w:szCs w:val="24"/>
        </w:rPr>
        <w:t>____.</w:t>
      </w:r>
    </w:p>
    <w:p w14:paraId="2403D4A2">
      <w:pPr>
        <w:spacing w:before="72" w:beforeLines="30" w:after="72" w:afterLines="30"/>
        <w:jc w:val="right"/>
        <w:rPr>
          <w:szCs w:val="24"/>
        </w:rPr>
      </w:pPr>
    </w:p>
    <w:p w14:paraId="420104B2">
      <w:pPr>
        <w:spacing w:before="72" w:beforeLines="30" w:after="72" w:afterLines="30"/>
        <w:jc w:val="center"/>
        <w:rPr>
          <w:szCs w:val="24"/>
        </w:rPr>
      </w:pPr>
    </w:p>
    <w:p w14:paraId="3C1E0332">
      <w:pPr>
        <w:spacing w:before="72" w:beforeLines="30" w:after="72" w:afterLines="30"/>
        <w:jc w:val="center"/>
        <w:rPr>
          <w:szCs w:val="24"/>
        </w:rPr>
      </w:pPr>
      <w:r>
        <w:rPr>
          <w:szCs w:val="24"/>
        </w:rPr>
        <w:t>____________________________________________</w:t>
      </w:r>
    </w:p>
    <w:p w14:paraId="666D6988">
      <w:pPr>
        <w:spacing w:before="72" w:beforeLines="30" w:after="72" w:afterLines="30"/>
        <w:jc w:val="center"/>
        <w:rPr>
          <w:szCs w:val="24"/>
        </w:rPr>
      </w:pPr>
      <w:r>
        <w:rPr>
          <w:szCs w:val="24"/>
        </w:rPr>
        <w:t>Nome e número da identidade e do CPF do declarante</w:t>
      </w:r>
    </w:p>
    <w:p w14:paraId="0E76747B">
      <w:pPr>
        <w:spacing w:before="72" w:beforeLines="30" w:after="72" w:afterLines="30"/>
        <w:jc w:val="center"/>
        <w:rPr>
          <w:szCs w:val="24"/>
        </w:rPr>
      </w:pPr>
      <w:r>
        <w:rPr>
          <w:szCs w:val="24"/>
        </w:rPr>
        <w:t>(Representante Legal da empresa)</w:t>
      </w:r>
    </w:p>
    <w:p w14:paraId="715F3FA3">
      <w:pPr>
        <w:spacing w:before="72" w:beforeLines="30" w:after="72" w:afterLines="30"/>
        <w:jc w:val="both"/>
        <w:rPr>
          <w:szCs w:val="24"/>
        </w:rPr>
      </w:pPr>
    </w:p>
    <w:p w14:paraId="6E194FD1">
      <w:pPr>
        <w:spacing w:before="72" w:beforeLines="30" w:after="72" w:afterLines="30"/>
        <w:rPr>
          <w:szCs w:val="24"/>
        </w:rPr>
      </w:pPr>
    </w:p>
    <w:p w14:paraId="5C17EBA7">
      <w:pPr>
        <w:tabs>
          <w:tab w:val="left" w:pos="2190"/>
        </w:tabs>
        <w:spacing w:before="72" w:beforeLines="30" w:after="72" w:afterLines="30"/>
        <w:rPr>
          <w:szCs w:val="24"/>
        </w:rPr>
      </w:pPr>
    </w:p>
    <w:p w14:paraId="1CB840B5">
      <w:pPr>
        <w:tabs>
          <w:tab w:val="left" w:pos="2190"/>
        </w:tabs>
        <w:spacing w:before="72" w:beforeLines="30" w:after="72" w:afterLines="30"/>
        <w:rPr>
          <w:szCs w:val="24"/>
        </w:rPr>
      </w:pPr>
    </w:p>
    <w:p w14:paraId="63972DD4">
      <w:pPr>
        <w:tabs>
          <w:tab w:val="left" w:pos="2190"/>
        </w:tabs>
        <w:spacing w:before="72" w:beforeLines="30" w:after="72" w:afterLines="30"/>
        <w:rPr>
          <w:szCs w:val="24"/>
        </w:rPr>
      </w:pPr>
    </w:p>
    <w:p w14:paraId="52021C49">
      <w:pPr>
        <w:spacing w:before="30" w:after="30"/>
        <w:jc w:val="center"/>
        <w:rPr>
          <w:b/>
          <w:szCs w:val="24"/>
        </w:rPr>
      </w:pPr>
      <w:r>
        <w:rPr>
          <w:b/>
          <w:szCs w:val="24"/>
        </w:rPr>
        <w:t>ANEXO V</w:t>
      </w:r>
    </w:p>
    <w:p w14:paraId="3603F875">
      <w:pPr>
        <w:spacing w:before="30" w:after="30"/>
        <w:jc w:val="center"/>
        <w:rPr>
          <w:b/>
          <w:szCs w:val="24"/>
        </w:rPr>
      </w:pPr>
    </w:p>
    <w:p w14:paraId="515F80F0">
      <w:pPr>
        <w:spacing w:before="30" w:after="30"/>
        <w:jc w:val="center"/>
        <w:rPr>
          <w:b/>
          <w:szCs w:val="24"/>
        </w:rPr>
      </w:pPr>
      <w:r>
        <w:rPr>
          <w:b/>
          <w:szCs w:val="24"/>
        </w:rPr>
        <w:t>MODELO DE DECLARAÇÃO ME – EPP</w:t>
      </w:r>
    </w:p>
    <w:p w14:paraId="57E24842">
      <w:pPr>
        <w:spacing w:before="30" w:after="30"/>
        <w:jc w:val="center"/>
        <w:rPr>
          <w:b/>
          <w:szCs w:val="24"/>
        </w:rPr>
      </w:pPr>
    </w:p>
    <w:p w14:paraId="1EFAFA59">
      <w:pPr>
        <w:spacing w:before="30" w:after="30"/>
        <w:ind w:right="413"/>
        <w:jc w:val="both"/>
        <w:rPr>
          <w:szCs w:val="24"/>
        </w:rPr>
      </w:pPr>
    </w:p>
    <w:p w14:paraId="1D62F12A">
      <w:pPr>
        <w:spacing w:before="30" w:after="30"/>
        <w:jc w:val="both"/>
        <w:rPr>
          <w:szCs w:val="24"/>
        </w:rPr>
      </w:pPr>
      <w:r>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Pr>
          <w:bCs/>
          <w:szCs w:val="24"/>
        </w:rPr>
        <w:t xml:space="preserve"> Nº </w:t>
      </w:r>
      <w:r>
        <w:rPr>
          <w:bCs/>
          <w:szCs w:val="24"/>
          <w:highlight w:val="yellow"/>
        </w:rPr>
        <w:t>XXX</w:t>
      </w:r>
      <w:r>
        <w:rPr>
          <w:bCs/>
          <w:szCs w:val="24"/>
        </w:rPr>
        <w:t>/2025,</w:t>
      </w:r>
      <w:r>
        <w:rPr>
          <w:szCs w:val="24"/>
        </w:rPr>
        <w:t xml:space="preserve"> sob as sanções administrativas cabíveis e sob penas da Lei, que esta empresa, na presente data, é considerada:</w:t>
      </w:r>
    </w:p>
    <w:p w14:paraId="77CAA103">
      <w:pPr>
        <w:spacing w:before="30" w:after="30"/>
        <w:jc w:val="both"/>
        <w:rPr>
          <w:szCs w:val="24"/>
        </w:rPr>
      </w:pPr>
    </w:p>
    <w:p w14:paraId="338FD83E">
      <w:pPr>
        <w:spacing w:before="30" w:after="30"/>
        <w:jc w:val="both"/>
        <w:rPr>
          <w:szCs w:val="24"/>
        </w:rPr>
      </w:pPr>
      <w:r>
        <w:rPr>
          <w:szCs w:val="24"/>
        </w:rPr>
        <w:t>() MICROEMPRESA, conforme Inciso I, art. 3° da Lei Complementar n° 123/2006;</w:t>
      </w:r>
    </w:p>
    <w:p w14:paraId="30678895">
      <w:pPr>
        <w:spacing w:before="30" w:after="30"/>
        <w:jc w:val="both"/>
        <w:rPr>
          <w:szCs w:val="24"/>
        </w:rPr>
      </w:pPr>
      <w:r>
        <w:rPr>
          <w:szCs w:val="24"/>
        </w:rPr>
        <w:t xml:space="preserve">() EMPRESA DE </w:t>
      </w:r>
      <w:r>
        <w:rPr>
          <w:bCs/>
          <w:szCs w:val="24"/>
        </w:rPr>
        <w:t>PEQUENO</w:t>
      </w:r>
      <w:r>
        <w:rPr>
          <w:szCs w:val="24"/>
        </w:rPr>
        <w:t xml:space="preserve"> </w:t>
      </w:r>
      <w:r>
        <w:rPr>
          <w:bCs/>
          <w:szCs w:val="24"/>
        </w:rPr>
        <w:t>PORTE</w:t>
      </w:r>
      <w:r>
        <w:rPr>
          <w:szCs w:val="24"/>
        </w:rPr>
        <w:t>, conforme inciso II, art. 3° da lei Complementar n° 123/2006.</w:t>
      </w:r>
    </w:p>
    <w:p w14:paraId="0EEF8F9A">
      <w:pPr>
        <w:spacing w:before="30" w:after="30"/>
        <w:jc w:val="both"/>
        <w:rPr>
          <w:szCs w:val="24"/>
        </w:rPr>
      </w:pPr>
    </w:p>
    <w:p w14:paraId="1764C7C3">
      <w:pPr>
        <w:spacing w:before="30" w:after="30"/>
        <w:jc w:val="both"/>
        <w:rPr>
          <w:szCs w:val="24"/>
        </w:rPr>
      </w:pPr>
      <w:r>
        <w:rPr>
          <w:szCs w:val="24"/>
        </w:rPr>
        <w:t>DECLARA ainda que a empresa esteja excluída das vedações constantes do parágrafo 4° do artigo 3° da Lei Complementar n° 123, de 14 de dezembro de 2006.</w:t>
      </w:r>
    </w:p>
    <w:p w14:paraId="10503BE4">
      <w:pPr>
        <w:spacing w:before="30" w:after="30"/>
        <w:jc w:val="both"/>
        <w:rPr>
          <w:szCs w:val="24"/>
        </w:rPr>
      </w:pPr>
    </w:p>
    <w:p w14:paraId="71164835">
      <w:pPr>
        <w:spacing w:before="6" w:after="6"/>
        <w:jc w:val="both"/>
        <w:rPr>
          <w:szCs w:val="24"/>
        </w:rPr>
      </w:pPr>
      <w:r>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pPr>
        <w:spacing w:before="30" w:after="30"/>
        <w:jc w:val="both"/>
        <w:rPr>
          <w:szCs w:val="24"/>
        </w:rPr>
      </w:pPr>
    </w:p>
    <w:p w14:paraId="7FE7B4B2">
      <w:pPr>
        <w:spacing w:before="30" w:after="30"/>
        <w:jc w:val="both"/>
        <w:rPr>
          <w:szCs w:val="24"/>
        </w:rPr>
      </w:pPr>
    </w:p>
    <w:p w14:paraId="770C2026">
      <w:pPr>
        <w:spacing w:before="30" w:after="30"/>
        <w:jc w:val="right"/>
        <w:rPr>
          <w:szCs w:val="24"/>
        </w:rPr>
      </w:pPr>
      <w:r>
        <w:rPr>
          <w:szCs w:val="24"/>
        </w:rPr>
        <w:t>(Localidade)_______, de ____________de__</w:t>
      </w:r>
      <w:r>
        <w:rPr>
          <w:szCs w:val="24"/>
        </w:rPr>
        <w:softHyphen/>
      </w:r>
      <w:r>
        <w:rPr>
          <w:szCs w:val="24"/>
        </w:rPr>
        <w:softHyphen/>
      </w:r>
      <w:r>
        <w:rPr>
          <w:szCs w:val="24"/>
        </w:rPr>
        <w:t>____.</w:t>
      </w:r>
    </w:p>
    <w:p w14:paraId="273A4C04">
      <w:pPr>
        <w:spacing w:before="30" w:after="30"/>
        <w:jc w:val="both"/>
        <w:rPr>
          <w:szCs w:val="24"/>
        </w:rPr>
      </w:pPr>
    </w:p>
    <w:p w14:paraId="0282F2D3">
      <w:pPr>
        <w:spacing w:before="30" w:after="30"/>
        <w:jc w:val="both"/>
        <w:rPr>
          <w:szCs w:val="24"/>
        </w:rPr>
      </w:pPr>
    </w:p>
    <w:p w14:paraId="74AA330F">
      <w:pPr>
        <w:spacing w:before="30" w:after="30"/>
        <w:jc w:val="center"/>
        <w:rPr>
          <w:szCs w:val="24"/>
        </w:rPr>
      </w:pPr>
      <w:r>
        <w:rPr>
          <w:szCs w:val="24"/>
        </w:rPr>
        <w:t>____________________________________________</w:t>
      </w:r>
    </w:p>
    <w:p w14:paraId="4075BF50">
      <w:pPr>
        <w:spacing w:before="30" w:after="30"/>
        <w:jc w:val="center"/>
        <w:rPr>
          <w:szCs w:val="24"/>
        </w:rPr>
      </w:pPr>
      <w:r>
        <w:rPr>
          <w:szCs w:val="24"/>
        </w:rPr>
        <w:t>Nome e número da identidade e do CPF do declarante</w:t>
      </w:r>
    </w:p>
    <w:p w14:paraId="00392A05">
      <w:pPr>
        <w:spacing w:before="30" w:after="30"/>
        <w:jc w:val="center"/>
        <w:rPr>
          <w:szCs w:val="24"/>
        </w:rPr>
      </w:pPr>
      <w:r>
        <w:rPr>
          <w:szCs w:val="24"/>
        </w:rPr>
        <w:t>(Representante Legal da empresa)</w:t>
      </w:r>
    </w:p>
    <w:p w14:paraId="39C60232">
      <w:pPr>
        <w:suppressAutoHyphens w:val="0"/>
        <w:rPr>
          <w:b/>
          <w:szCs w:val="24"/>
        </w:rPr>
      </w:pPr>
    </w:p>
    <w:sectPr>
      <w:headerReference r:id="rId5" w:type="first"/>
      <w:headerReference r:id="rId3" w:type="default"/>
      <w:footerReference r:id="rId6" w:type="default"/>
      <w:headerReference r:id="rId4" w:type="even"/>
      <w:pgSz w:w="11906" w:h="16838"/>
      <w:pgMar w:top="1843" w:right="1134" w:bottom="1134" w:left="1701" w:header="709" w:footer="567" w:gutter="0"/>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Garamond">
    <w:panose1 w:val="02020404030301010803"/>
    <w:charset w:val="00"/>
    <w:family w:val="roman"/>
    <w:pitch w:val="default"/>
    <w:sig w:usb0="00000287" w:usb1="00000000" w:usb2="00000000" w:usb3="00000000" w:csb0="0000009F" w:csb1="DFD70000"/>
  </w:font>
  <w:font w:name="MS Gothic">
    <w:panose1 w:val="020B0609070205080204"/>
    <w:charset w:val="80"/>
    <w:family w:val="modern"/>
    <w:pitch w:val="default"/>
    <w:sig w:usb0="E00002FF" w:usb1="6AC7FDFB" w:usb2="08000012" w:usb3="00000000" w:csb0="4002009F" w:csb1="DFD70000"/>
  </w:font>
  <w:font w:name="Lohit Devanagari">
    <w:altName w:val="Cambria"/>
    <w:panose1 w:val="00000000000000000000"/>
    <w:charset w:val="00"/>
    <w:family w:val="roman"/>
    <w:pitch w:val="default"/>
    <w:sig w:usb0="00000000" w:usb1="00000000" w:usb2="00000000" w:usb3="00000000" w:csb0="00000000" w:csb1="00000000"/>
  </w:font>
  <w:font w:name="Ecofont_Spranq_eco_Sans">
    <w:altName w:val="Calibri"/>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Liberation Sans">
    <w:altName w:val="Arial"/>
    <w:panose1 w:val="00000000000000000000"/>
    <w:charset w:val="01"/>
    <w:family w:val="swiss"/>
    <w:pitch w:val="default"/>
    <w:sig w:usb0="00000000" w:usb1="00000000" w:usb2="00000000" w:usb3="00000000" w:csb0="00000000" w:csb1="00000000"/>
  </w:font>
  <w:font w:name="Noto Sans CJK SC">
    <w:altName w:val="Segoe Print"/>
    <w:panose1 w:val="00000000000000000000"/>
    <w:charset w:val="00"/>
    <w:family w:val="roman"/>
    <w:pitch w:val="default"/>
    <w:sig w:usb0="00000000" w:usb1="00000000" w:usb2="00000000" w:usb3="00000000" w:csb0="00000000"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Cambria"/>
    <w:panose1 w:val="00000000000000000000"/>
    <w:charset w:val="00"/>
    <w:family w:val="roman"/>
    <w:pitch w:val="default"/>
    <w:sig w:usb0="00000000" w:usb1="00000000" w:usb2="00000000" w:usb3="00000000" w:csb0="00000000" w:csb1="00000000"/>
  </w:font>
  <w:font w:name="Arial Unicode MS">
    <w:panose1 w:val="020B0604020202020204"/>
    <w:charset w:val="80"/>
    <w:family w:val="swiss"/>
    <w:pitch w:val="default"/>
    <w:sig w:usb0="FFFFFFFF" w:usb1="E9FFFFFF" w:usb2="0000003F" w:usb3="00000000" w:csb0="603F01FF" w:csb1="FFFF0000"/>
  </w:font>
  <w:font w:name="Bookman Old Style">
    <w:panose1 w:val="02050604050505020204"/>
    <w:charset w:val="00"/>
    <w:family w:val="roman"/>
    <w:pitch w:val="default"/>
    <w:sig w:usb0="00000287" w:usb1="00000000" w:usb2="00000000" w:usb3="00000000" w:csb0="2000009F" w:csb1="DFD70000"/>
  </w:font>
  <w:font w:name="Arial MT">
    <w:altName w:val="Arial"/>
    <w:panose1 w:val="00000000000000000000"/>
    <w:charset w:val="01"/>
    <w:family w:val="swiss"/>
    <w:pitch w:val="default"/>
    <w:sig w:usb0="00000000" w:usb1="00000000" w:usb2="00000000" w:usb3="00000000" w:csb0="00000000" w:csb1="00000000"/>
  </w:font>
  <w:font w:name="Calibri-Bold">
    <w:altName w:val="Calibri"/>
    <w:panose1 w:val="00000000000000000000"/>
    <w:charset w:val="00"/>
    <w:family w:val="roman"/>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1" w:csb1="00000000"/>
  </w:font>
  <w:font w:name="NSimSun">
    <w:panose1 w:val="02010609030101010101"/>
    <w:charset w:val="86"/>
    <w:family w:val="modern"/>
    <w:pitch w:val="default"/>
    <w:sig w:usb0="00000203" w:usb1="288F0000" w:usb2="00000006" w:usb3="00000000" w:csb0="00040001" w:csb1="00000000"/>
  </w:font>
  <w:font w:name="Lucida Sans">
    <w:panose1 w:val="020B0602030504020204"/>
    <w:charset w:val="00"/>
    <w:family w:val="swiss"/>
    <w:pitch w:val="default"/>
    <w:sig w:usb0="00000003" w:usb1="00000000" w:usb2="00000000" w:usb3="00000000" w:csb0="20000001" w:csb1="00000000"/>
  </w:font>
  <w:font w:name="MS Mincho">
    <w:panose1 w:val="02020609040205080304"/>
    <w:charset w:val="80"/>
    <w:family w:val="modern"/>
    <w:pitch w:val="default"/>
    <w:sig w:usb0="A00002BF" w:usb1="68C7FCFB" w:usb2="00000010" w:usb3="00000000" w:csb0="4002009F" w:csb1="DFD7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等线">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D652C">
    <w:pPr>
      <w:pStyle w:val="27"/>
      <w:ind w:left="4820"/>
      <w:rPr>
        <w:b/>
        <w:bCs/>
      </w:rPr>
    </w:pPr>
    <w:r>
      <w:rPr>
        <w:b/>
        <w:bCs/>
      </w:rPr>
      <w:t>______________________________________</w:t>
    </w:r>
  </w:p>
  <w:p w14:paraId="2ABF3568">
    <w:pPr>
      <w:pStyle w:val="27"/>
      <w:ind w:left="4820"/>
      <w:rPr>
        <w:sz w:val="16"/>
        <w:szCs w:val="16"/>
      </w:rPr>
    </w:pPr>
    <w:r>
      <w:rPr>
        <w:b/>
        <w:bCs/>
        <w:sz w:val="16"/>
        <w:szCs w:val="16"/>
      </w:rPr>
      <w:t>Av. Libindo Ferreira Leite nº 251 – Centro - Cep: 79.270-000</w:t>
    </w:r>
  </w:p>
  <w:p w14:paraId="0470AA41">
    <w:pPr>
      <w:pStyle w:val="27"/>
      <w:ind w:left="4820"/>
      <w:rPr>
        <w:sz w:val="16"/>
        <w:szCs w:val="16"/>
      </w:rPr>
    </w:pPr>
    <w:r>
      <w:rPr>
        <w:b/>
        <w:bCs/>
        <w:sz w:val="16"/>
        <w:szCs w:val="16"/>
      </w:rPr>
      <w:t>CARACOL/MS - Fones: (67)3495-1107/1109/1110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C56DC">
    <w:pPr>
      <w:tabs>
        <w:tab w:val="left" w:pos="851"/>
        <w:tab w:val="left" w:pos="5245"/>
      </w:tabs>
      <w:ind w:hanging="284"/>
      <w:jc w:val="center"/>
      <w:rPr>
        <w:rFonts w:ascii="Arial" w:hAnsi="Arial" w:cs="Arial"/>
        <w:b/>
        <w:bCs/>
        <w:sz w:val="20"/>
      </w:rPr>
    </w:pPr>
    <w:r>
      <w:rPr>
        <w:rFonts w:ascii="Arial" w:hAnsi="Arial" w:cs="Arial"/>
        <w:b/>
        <w:sz w:val="20"/>
        <w:lang w:eastAsia="pt-BR"/>
      </w:rPr>
      <w:pict>
        <v:shape id="WordPictureWatermark215259033" o:spid="_x0000_s1030" o:spt="75" type="#_x0000_t75" style="position:absolute;left:0pt;height:407.5pt;width:453.4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transferir"/>
          <o:lock v:ext="edit" aspectratio="t"/>
        </v:shape>
      </w:pict>
    </w:r>
    <w:r>
      <w:rPr>
        <w:rFonts w:ascii="Arial" w:hAnsi="Arial" w:cs="Arial"/>
        <w:b/>
        <w:sz w:val="20"/>
        <w:lang w:eastAsia="pt-BR"/>
      </w:rPr>
      <mc:AlternateContent>
        <mc:Choice Requires="wps">
          <w:drawing>
            <wp:anchor distT="0" distB="0" distL="114300" distR="114300" simplePos="0" relativeHeight="251660288" behindDoc="0" locked="0" layoutInCell="1" allowOverlap="1">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430CAAA5">
                          <w:r>
                            <w:t>Processo Nº 33/2025</w:t>
                          </w:r>
                        </w:p>
                        <w:p w14:paraId="57FB50FC">
                          <w:r>
                            <w:t>Folha______________</w:t>
                          </w:r>
                        </w:p>
                        <w:p w14:paraId="5F5EB39A">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1" o:spid="_x0000_s1026" o:spt="202" type="#_x0000_t202" style="position:absolute;left:0pt;margin-left:334.25pt;margin-top:-11.5pt;height:48pt;width:135.75pt;z-index:251660288;mso-width-relative:page;mso-height-relative:page;" fillcolor="#FFFFFF" filled="t" stroked="t" coordsize="21600,21600" o:gfxdata="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ewEBZ1wAAAAoBAAAPAAAAAAAAAAEAIAAAACIAAABkcnMvZG93bnJldi54bWxQSwECFAAUAAAA&#10;CACHTuJAsDKtamECAADUBAAADgAAAAAAAAABACAAAAAmAQAAZHJzL2Uyb0RvYy54bWxQSwUGAAAA&#10;AAYABgBZAQAA+QUAAAAA&#10;">
              <v:fill on="t" focussize="0,0"/>
              <v:stroke weight="0.5pt" color="#000000" joinstyle="round"/>
              <v:imagedata o:title=""/>
              <o:lock v:ext="edit" aspectratio="f"/>
              <v:textbox>
                <w:txbxContent>
                  <w:p w14:paraId="430CAAA5">
                    <w:r>
                      <w:t>Processo Nº 33/2025</w:t>
                    </w:r>
                  </w:p>
                  <w:p w14:paraId="57FB50FC">
                    <w:r>
                      <w:t>Folha______________</w:t>
                    </w:r>
                  </w:p>
                  <w:p w14:paraId="5F5EB39A">
                    <w:r>
                      <w:t>Ass.__</w:t>
                    </w:r>
                  </w:p>
                </w:txbxContent>
              </v:textbox>
            </v:shape>
          </w:pict>
        </mc:Fallback>
      </mc:AlternateContent>
    </w:r>
    <w:r>
      <w:rPr>
        <w:rFonts w:ascii="Arial" w:hAnsi="Arial" w:cs="Arial"/>
        <w:b/>
        <w:sz w:val="20"/>
        <w:lang w:eastAsia="pt-BR"/>
      </w:rPr>
      <w:drawing>
        <wp:anchor distT="0" distB="0" distL="114300" distR="114300" simplePos="0" relativeHeight="251659264" behindDoc="1" locked="0" layoutInCell="1" allowOverlap="1">
          <wp:simplePos x="0" y="0"/>
          <wp:positionH relativeFrom="column">
            <wp:posOffset>96520</wp:posOffset>
          </wp:positionH>
          <wp:positionV relativeFrom="paragraph">
            <wp:posOffset>-187325</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Pr>
        <w:rFonts w:ascii="Arial" w:hAnsi="Arial" w:cs="Arial"/>
        <w:b/>
        <w:bCs/>
        <w:sz w:val="20"/>
      </w:rPr>
      <w:t>ESTADO DE MATO GROSSO DO SUL</w:t>
    </w:r>
  </w:p>
  <w:p w14:paraId="799D2291">
    <w:pPr>
      <w:pStyle w:val="4"/>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pPr>
      <w:pBdr>
        <w:bottom w:val="single" w:color="auto" w:sz="4" w:space="1"/>
      </w:pBdr>
      <w:ind w:hanging="567"/>
      <w:jc w:val="center"/>
      <w:rPr>
        <w:b/>
      </w:rPr>
    </w:pPr>
    <w:r>
      <w:rPr>
        <w:rFonts w:ascii="Arial" w:hAnsi="Arial" w:cs="Arial"/>
        <w:b/>
        <w:sz w:val="20"/>
      </w:rPr>
      <w:t>DEPARTAMENTO DE LICITAÇÕES E CONTRATOS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3366F">
    <w:pPr>
      <w:pStyle w:val="25"/>
    </w:pPr>
    <w:r>
      <w:pict>
        <v:shape id="WordPictureWatermark215259032" o:spid="_x0000_s1029" o:spt="75" type="#_x0000_t75" style="position:absolute;left:0pt;height:407.5pt;width:453.4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transferir"/>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06998">
    <w:pPr>
      <w:pStyle w:val="25"/>
    </w:pPr>
    <w:r>
      <w:pict>
        <v:shape id="WordPictureWatermark215259031" o:spid="_x0000_s1028" o:spt="75" type="#_x0000_t75" style="position:absolute;left:0pt;height:407.5pt;width:453.4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transferir"/>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0"/>
      <w:lvlText w:val=""/>
      <w:lvlJc w:val="left"/>
      <w:pPr>
        <w:tabs>
          <w:tab w:val="left" w:pos="10564"/>
        </w:tabs>
        <w:ind w:left="10564" w:hanging="360"/>
      </w:pPr>
      <w:rPr>
        <w:rFonts w:hint="default" w:ascii="Symbol" w:hAnsi="Symbol"/>
      </w:rPr>
    </w:lvl>
  </w:abstractNum>
  <w:abstractNum w:abstractNumId="1">
    <w:nsid w:val="1D5C100D"/>
    <w:multiLevelType w:val="multilevel"/>
    <w:tmpl w:val="1D5C100D"/>
    <w:lvl w:ilvl="0" w:tentative="0">
      <w:start w:val="1"/>
      <w:numFmt w:val="decimal"/>
      <w:pStyle w:val="59"/>
      <w:lvlText w:val="%1."/>
      <w:lvlJc w:val="left"/>
      <w:pPr>
        <w:ind w:left="360" w:hanging="360"/>
      </w:pPr>
      <w:rPr>
        <w:rFonts w:hint="default"/>
        <w:b/>
      </w:rPr>
    </w:lvl>
    <w:lvl w:ilvl="1" w:tentative="0">
      <w:start w:val="1"/>
      <w:numFmt w:val="decimal"/>
      <w:pStyle w:val="212"/>
      <w:lvlText w:val="%1.%2."/>
      <w:lvlJc w:val="left"/>
      <w:pPr>
        <w:ind w:left="574" w:hanging="432"/>
      </w:pPr>
      <w:rPr>
        <w:rFonts w:hint="default" w:ascii="Times New Roman" w:hAnsi="Times New Roman" w:cs="Times New Roman"/>
        <w:b w:val="0"/>
        <w:bCs/>
        <w:i w:val="0"/>
        <w:strike w:val="0"/>
        <w:color w:val="auto"/>
        <w:sz w:val="24"/>
        <w:szCs w:val="24"/>
        <w:u w:val="none"/>
      </w:rPr>
    </w:lvl>
    <w:lvl w:ilvl="2" w:tentative="0">
      <w:start w:val="1"/>
      <w:numFmt w:val="decimal"/>
      <w:pStyle w:val="213"/>
      <w:lvlText w:val="%1.%2.%3."/>
      <w:lvlJc w:val="left"/>
      <w:pPr>
        <w:ind w:left="1497" w:hanging="504"/>
      </w:pPr>
      <w:rPr>
        <w:rFonts w:hint="default" w:ascii="Times New Roman" w:hAnsi="Times New Roman" w:cs="Times New Roman"/>
        <w:b w:val="0"/>
        <w:i w:val="0"/>
        <w:strike w:val="0"/>
        <w:color w:val="auto"/>
        <w:sz w:val="24"/>
        <w:szCs w:val="24"/>
      </w:rPr>
    </w:lvl>
    <w:lvl w:ilvl="3" w:tentative="0">
      <w:start w:val="1"/>
      <w:numFmt w:val="decimal"/>
      <w:pStyle w:val="215"/>
      <w:lvlText w:val="%1.%2.%3.%4."/>
      <w:lvlJc w:val="left"/>
      <w:pPr>
        <w:ind w:left="249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2">
    <w:nsid w:val="31926557"/>
    <w:multiLevelType w:val="multilevel"/>
    <w:tmpl w:val="31926557"/>
    <w:lvl w:ilvl="0" w:tentative="0">
      <w:start w:val="1"/>
      <w:numFmt w:val="lowerLetter"/>
      <w:lvlText w:val="%1)"/>
      <w:lvlJc w:val="left"/>
      <w:pPr>
        <w:ind w:left="2988" w:hanging="360"/>
      </w:pPr>
    </w:lvl>
    <w:lvl w:ilvl="1" w:tentative="0">
      <w:start w:val="1"/>
      <w:numFmt w:val="lowerLetter"/>
      <w:lvlText w:val="%2."/>
      <w:lvlJc w:val="left"/>
      <w:pPr>
        <w:ind w:left="3708" w:hanging="360"/>
      </w:pPr>
    </w:lvl>
    <w:lvl w:ilvl="2" w:tentative="0">
      <w:start w:val="1"/>
      <w:numFmt w:val="lowerRoman"/>
      <w:lvlText w:val="%3."/>
      <w:lvlJc w:val="right"/>
      <w:pPr>
        <w:ind w:left="4428" w:hanging="180"/>
      </w:pPr>
    </w:lvl>
    <w:lvl w:ilvl="3" w:tentative="0">
      <w:start w:val="1"/>
      <w:numFmt w:val="decimal"/>
      <w:lvlText w:val="%4."/>
      <w:lvlJc w:val="left"/>
      <w:pPr>
        <w:ind w:left="5148" w:hanging="360"/>
      </w:pPr>
    </w:lvl>
    <w:lvl w:ilvl="4" w:tentative="0">
      <w:start w:val="1"/>
      <w:numFmt w:val="lowerLetter"/>
      <w:lvlText w:val="%5."/>
      <w:lvlJc w:val="left"/>
      <w:pPr>
        <w:ind w:left="5868" w:hanging="360"/>
      </w:pPr>
    </w:lvl>
    <w:lvl w:ilvl="5" w:tentative="0">
      <w:start w:val="1"/>
      <w:numFmt w:val="lowerRoman"/>
      <w:lvlText w:val="%6."/>
      <w:lvlJc w:val="right"/>
      <w:pPr>
        <w:ind w:left="6588" w:hanging="180"/>
      </w:pPr>
    </w:lvl>
    <w:lvl w:ilvl="6" w:tentative="0">
      <w:start w:val="1"/>
      <w:numFmt w:val="decimal"/>
      <w:lvlText w:val="%7."/>
      <w:lvlJc w:val="left"/>
      <w:pPr>
        <w:ind w:left="7308" w:hanging="360"/>
      </w:pPr>
    </w:lvl>
    <w:lvl w:ilvl="7" w:tentative="0">
      <w:start w:val="1"/>
      <w:numFmt w:val="lowerLetter"/>
      <w:lvlText w:val="%8."/>
      <w:lvlJc w:val="left"/>
      <w:pPr>
        <w:ind w:left="8028" w:hanging="360"/>
      </w:pPr>
    </w:lvl>
    <w:lvl w:ilvl="8" w:tentative="0">
      <w:start w:val="1"/>
      <w:numFmt w:val="lowerRoman"/>
      <w:lvlText w:val="%9."/>
      <w:lvlJc w:val="right"/>
      <w:pPr>
        <w:ind w:left="8748" w:hanging="180"/>
      </w:pPr>
    </w:lvl>
  </w:abstractNum>
  <w:abstractNum w:abstractNumId="3">
    <w:nsid w:val="3FE33FE7"/>
    <w:multiLevelType w:val="multilevel"/>
    <w:tmpl w:val="3FE33FE7"/>
    <w:lvl w:ilvl="0" w:tentative="0">
      <w:start w:val="1"/>
      <w:numFmt w:val="bullet"/>
      <w:lvlText w:val="o"/>
      <w:lvlJc w:val="left"/>
      <w:pPr>
        <w:ind w:left="720" w:hanging="360"/>
      </w:pPr>
      <w:rPr>
        <w:rFonts w:hint="default" w:ascii="Courier New" w:hAnsi="Courier New"/>
      </w:rPr>
    </w:lvl>
    <w:lvl w:ilvl="1" w:tentative="0">
      <w:start w:val="1"/>
      <w:numFmt w:val="bullet"/>
      <w:lvlText w:val="o"/>
      <w:lvlJc w:val="left"/>
      <w:pPr>
        <w:ind w:left="1440" w:hanging="360"/>
      </w:pPr>
      <w:rPr>
        <w:rFonts w:hint="default" w:ascii="Courier New" w:hAnsi="Courier New"/>
      </w:rPr>
    </w:lvl>
    <w:lvl w:ilvl="2" w:tentative="0">
      <w:start w:val="1"/>
      <w:numFmt w:val="bullet"/>
      <w:pStyle w:val="245"/>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
    <w:nsid w:val="58C70088"/>
    <w:multiLevelType w:val="multilevel"/>
    <w:tmpl w:val="58C70088"/>
    <w:lvl w:ilvl="0" w:tentative="0">
      <w:start w:val="1"/>
      <w:numFmt w:val="decimal"/>
      <w:pStyle w:val="76"/>
      <w:lvlText w:val="%1."/>
      <w:lvlJc w:val="left"/>
      <w:pPr>
        <w:ind w:left="502" w:hanging="360"/>
      </w:pPr>
      <w:rPr>
        <w:rFonts w:hint="default" w:ascii="Times New Roman" w:hAnsi="Times New Roman" w:cs="Times New Roman"/>
        <w:b/>
        <w:i w:val="0"/>
        <w:strike w:val="0"/>
        <w:dstrike w:val="0"/>
        <w:color w:val="auto"/>
        <w:sz w:val="24"/>
        <w:szCs w:val="24"/>
      </w:rPr>
    </w:lvl>
    <w:lvl w:ilvl="1" w:tentative="0">
      <w:start w:val="1"/>
      <w:numFmt w:val="decimal"/>
      <w:pStyle w:val="75"/>
      <w:lvlText w:val="%1.%2."/>
      <w:lvlJc w:val="left"/>
      <w:pPr>
        <w:ind w:left="858" w:hanging="432"/>
      </w:pPr>
      <w:rPr>
        <w:b w:val="0"/>
        <w:strike w:val="0"/>
      </w:rPr>
    </w:lvl>
    <w:lvl w:ilvl="2" w:tentative="0">
      <w:start w:val="1"/>
      <w:numFmt w:val="decimal"/>
      <w:pStyle w:val="77"/>
      <w:lvlText w:val="%1.%2.%3."/>
      <w:lvlJc w:val="left"/>
      <w:pPr>
        <w:ind w:left="1224" w:hanging="504"/>
      </w:pPr>
      <w:rPr>
        <w:i w:val="0"/>
        <w:strike w:val="0"/>
      </w:rPr>
    </w:lvl>
    <w:lvl w:ilvl="3" w:tentative="0">
      <w:start w:val="1"/>
      <w:numFmt w:val="decimal"/>
      <w:pStyle w:val="78"/>
      <w:lvlText w:val="%1.%2.%3.%4."/>
      <w:lvlJc w:val="left"/>
      <w:pPr>
        <w:ind w:left="1728" w:hanging="648"/>
      </w:pPr>
    </w:lvl>
    <w:lvl w:ilvl="4" w:tentative="0">
      <w:start w:val="1"/>
      <w:numFmt w:val="decimal"/>
      <w:pStyle w:val="79"/>
      <w:lvlText w:val="%1.%2.%3.%4.%5."/>
      <w:lvlJc w:val="left"/>
      <w:pPr>
        <w:ind w:left="4053"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6A8241D1"/>
    <w:multiLevelType w:val="multilevel"/>
    <w:tmpl w:val="6A8241D1"/>
    <w:lvl w:ilvl="0" w:tentative="0">
      <w:start w:val="3"/>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6E2005A1"/>
    <w:multiLevelType w:val="multilevel"/>
    <w:tmpl w:val="6E2005A1"/>
    <w:lvl w:ilvl="0" w:tentative="0">
      <w:start w:val="2"/>
      <w:numFmt w:val="decimal"/>
      <w:lvlText w:val="%1"/>
      <w:lvlJc w:val="left"/>
      <w:pPr>
        <w:ind w:left="360" w:hanging="360"/>
      </w:pPr>
      <w:rPr>
        <w:rFonts w:hint="default"/>
        <w:color w:val="auto"/>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num w:numId="1">
    <w:abstractNumId w:val="0"/>
  </w:num>
  <w:num w:numId="2">
    <w:abstractNumId w:val="1"/>
  </w:num>
  <w:num w:numId="3">
    <w:abstractNumId w:val="4"/>
  </w:num>
  <w:num w:numId="4">
    <w:abstractNumId w:val="3"/>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autoHyphenation/>
  <w:hyphenationZone w:val="425"/>
  <w:characterSpacingControl w:val="doNotCompress"/>
  <w:hdrShapeDefaults>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8C"/>
    <w:rsid w:val="000202D1"/>
    <w:rsid w:val="000257C5"/>
    <w:rsid w:val="00025885"/>
    <w:rsid w:val="00031950"/>
    <w:rsid w:val="00035BA0"/>
    <w:rsid w:val="00037FC5"/>
    <w:rsid w:val="00040310"/>
    <w:rsid w:val="000405D8"/>
    <w:rsid w:val="000406AA"/>
    <w:rsid w:val="00044645"/>
    <w:rsid w:val="00045051"/>
    <w:rsid w:val="00045A4B"/>
    <w:rsid w:val="00051BE6"/>
    <w:rsid w:val="000556E8"/>
    <w:rsid w:val="0006387F"/>
    <w:rsid w:val="000679D6"/>
    <w:rsid w:val="00074676"/>
    <w:rsid w:val="00074FED"/>
    <w:rsid w:val="000751F7"/>
    <w:rsid w:val="000771F4"/>
    <w:rsid w:val="00077D06"/>
    <w:rsid w:val="00083239"/>
    <w:rsid w:val="000A3915"/>
    <w:rsid w:val="000A64DE"/>
    <w:rsid w:val="000B251C"/>
    <w:rsid w:val="000C0B58"/>
    <w:rsid w:val="000C5A75"/>
    <w:rsid w:val="000C7F42"/>
    <w:rsid w:val="000D30AB"/>
    <w:rsid w:val="000D6D31"/>
    <w:rsid w:val="000E2F7C"/>
    <w:rsid w:val="000E3880"/>
    <w:rsid w:val="000E6E27"/>
    <w:rsid w:val="000F01DF"/>
    <w:rsid w:val="000F0389"/>
    <w:rsid w:val="000F3885"/>
    <w:rsid w:val="000F5AD1"/>
    <w:rsid w:val="000F61D2"/>
    <w:rsid w:val="000F6D5A"/>
    <w:rsid w:val="00104F7A"/>
    <w:rsid w:val="00107C3C"/>
    <w:rsid w:val="00111FDD"/>
    <w:rsid w:val="00120F86"/>
    <w:rsid w:val="00121979"/>
    <w:rsid w:val="001251EF"/>
    <w:rsid w:val="001271E1"/>
    <w:rsid w:val="00130824"/>
    <w:rsid w:val="001318D3"/>
    <w:rsid w:val="001429E4"/>
    <w:rsid w:val="001463E8"/>
    <w:rsid w:val="00146ED8"/>
    <w:rsid w:val="00147A28"/>
    <w:rsid w:val="001531D5"/>
    <w:rsid w:val="00160772"/>
    <w:rsid w:val="00163E26"/>
    <w:rsid w:val="001729F2"/>
    <w:rsid w:val="00173796"/>
    <w:rsid w:val="001764C9"/>
    <w:rsid w:val="001776B3"/>
    <w:rsid w:val="00184505"/>
    <w:rsid w:val="001859D3"/>
    <w:rsid w:val="001A32DE"/>
    <w:rsid w:val="001B126F"/>
    <w:rsid w:val="001B2E69"/>
    <w:rsid w:val="001B3254"/>
    <w:rsid w:val="001B3944"/>
    <w:rsid w:val="001B40A9"/>
    <w:rsid w:val="001C5368"/>
    <w:rsid w:val="001C78E6"/>
    <w:rsid w:val="001D34E1"/>
    <w:rsid w:val="001E1246"/>
    <w:rsid w:val="001E22FA"/>
    <w:rsid w:val="001E3192"/>
    <w:rsid w:val="001F4944"/>
    <w:rsid w:val="002028F0"/>
    <w:rsid w:val="002143E4"/>
    <w:rsid w:val="0021563E"/>
    <w:rsid w:val="00216B5C"/>
    <w:rsid w:val="0021714D"/>
    <w:rsid w:val="00217B88"/>
    <w:rsid w:val="0022172F"/>
    <w:rsid w:val="00221A10"/>
    <w:rsid w:val="0023005A"/>
    <w:rsid w:val="00230953"/>
    <w:rsid w:val="00230B94"/>
    <w:rsid w:val="0023148F"/>
    <w:rsid w:val="00232911"/>
    <w:rsid w:val="00235AF3"/>
    <w:rsid w:val="00240404"/>
    <w:rsid w:val="00247D43"/>
    <w:rsid w:val="00250C33"/>
    <w:rsid w:val="002533E1"/>
    <w:rsid w:val="00266404"/>
    <w:rsid w:val="002664BA"/>
    <w:rsid w:val="00270247"/>
    <w:rsid w:val="002703A2"/>
    <w:rsid w:val="00272797"/>
    <w:rsid w:val="00277F73"/>
    <w:rsid w:val="00282FD3"/>
    <w:rsid w:val="00283D86"/>
    <w:rsid w:val="0029014E"/>
    <w:rsid w:val="00294388"/>
    <w:rsid w:val="002A0A60"/>
    <w:rsid w:val="002A627D"/>
    <w:rsid w:val="002A6417"/>
    <w:rsid w:val="002A78D0"/>
    <w:rsid w:val="002B0B0E"/>
    <w:rsid w:val="002B24A5"/>
    <w:rsid w:val="002B599D"/>
    <w:rsid w:val="002C515C"/>
    <w:rsid w:val="002D60B2"/>
    <w:rsid w:val="002E0CC4"/>
    <w:rsid w:val="002E3330"/>
    <w:rsid w:val="002F6377"/>
    <w:rsid w:val="003128FA"/>
    <w:rsid w:val="00315541"/>
    <w:rsid w:val="0031579E"/>
    <w:rsid w:val="003214F4"/>
    <w:rsid w:val="00323E58"/>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67F8"/>
    <w:rsid w:val="00382860"/>
    <w:rsid w:val="00384F9A"/>
    <w:rsid w:val="00391E04"/>
    <w:rsid w:val="00393A17"/>
    <w:rsid w:val="00397BDC"/>
    <w:rsid w:val="003A4C57"/>
    <w:rsid w:val="003A5A75"/>
    <w:rsid w:val="003B4234"/>
    <w:rsid w:val="003C0206"/>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427E"/>
    <w:rsid w:val="00405CDA"/>
    <w:rsid w:val="0040776F"/>
    <w:rsid w:val="00424ED0"/>
    <w:rsid w:val="004254CF"/>
    <w:rsid w:val="00431C8B"/>
    <w:rsid w:val="00432C95"/>
    <w:rsid w:val="00435A52"/>
    <w:rsid w:val="00437514"/>
    <w:rsid w:val="00444A76"/>
    <w:rsid w:val="00444A77"/>
    <w:rsid w:val="00447216"/>
    <w:rsid w:val="00450D2A"/>
    <w:rsid w:val="0045468A"/>
    <w:rsid w:val="00454CCF"/>
    <w:rsid w:val="00455043"/>
    <w:rsid w:val="004559A1"/>
    <w:rsid w:val="004602B5"/>
    <w:rsid w:val="004615A2"/>
    <w:rsid w:val="0046493C"/>
    <w:rsid w:val="004665A0"/>
    <w:rsid w:val="004704A0"/>
    <w:rsid w:val="00470939"/>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7AF9"/>
    <w:rsid w:val="004C3540"/>
    <w:rsid w:val="004C66A4"/>
    <w:rsid w:val="004D0BA1"/>
    <w:rsid w:val="004D37B5"/>
    <w:rsid w:val="004D5B77"/>
    <w:rsid w:val="004D6171"/>
    <w:rsid w:val="004D7EDE"/>
    <w:rsid w:val="004F0660"/>
    <w:rsid w:val="004F0C08"/>
    <w:rsid w:val="004F2164"/>
    <w:rsid w:val="004F384D"/>
    <w:rsid w:val="004F4B21"/>
    <w:rsid w:val="004F5749"/>
    <w:rsid w:val="00502E9B"/>
    <w:rsid w:val="00506241"/>
    <w:rsid w:val="00506F18"/>
    <w:rsid w:val="00515173"/>
    <w:rsid w:val="00521FD6"/>
    <w:rsid w:val="00522BCC"/>
    <w:rsid w:val="00523380"/>
    <w:rsid w:val="005279D3"/>
    <w:rsid w:val="00533344"/>
    <w:rsid w:val="00534DC9"/>
    <w:rsid w:val="005548A2"/>
    <w:rsid w:val="00570DBB"/>
    <w:rsid w:val="00571F5A"/>
    <w:rsid w:val="0057378D"/>
    <w:rsid w:val="00574A66"/>
    <w:rsid w:val="00577DE1"/>
    <w:rsid w:val="005A70B1"/>
    <w:rsid w:val="005B762D"/>
    <w:rsid w:val="005D15F8"/>
    <w:rsid w:val="005D66C6"/>
    <w:rsid w:val="005F0392"/>
    <w:rsid w:val="006005F2"/>
    <w:rsid w:val="006035DC"/>
    <w:rsid w:val="00611B61"/>
    <w:rsid w:val="00617220"/>
    <w:rsid w:val="006232DF"/>
    <w:rsid w:val="0062608B"/>
    <w:rsid w:val="006270EE"/>
    <w:rsid w:val="006424C9"/>
    <w:rsid w:val="00644183"/>
    <w:rsid w:val="00644259"/>
    <w:rsid w:val="00650653"/>
    <w:rsid w:val="006622C2"/>
    <w:rsid w:val="00664CFB"/>
    <w:rsid w:val="00674D62"/>
    <w:rsid w:val="006751A4"/>
    <w:rsid w:val="006752F1"/>
    <w:rsid w:val="00683E3B"/>
    <w:rsid w:val="0068697E"/>
    <w:rsid w:val="00686CAB"/>
    <w:rsid w:val="00687B67"/>
    <w:rsid w:val="00693DE7"/>
    <w:rsid w:val="006941B8"/>
    <w:rsid w:val="006954C5"/>
    <w:rsid w:val="0069596A"/>
    <w:rsid w:val="006A0B76"/>
    <w:rsid w:val="006A518F"/>
    <w:rsid w:val="006B2DF2"/>
    <w:rsid w:val="006B2FEB"/>
    <w:rsid w:val="006B3C7B"/>
    <w:rsid w:val="006B705A"/>
    <w:rsid w:val="006B7C94"/>
    <w:rsid w:val="006C06DA"/>
    <w:rsid w:val="006C0A60"/>
    <w:rsid w:val="006E4947"/>
    <w:rsid w:val="006E4AC0"/>
    <w:rsid w:val="006E7DC0"/>
    <w:rsid w:val="006F11ED"/>
    <w:rsid w:val="007059B6"/>
    <w:rsid w:val="007126BD"/>
    <w:rsid w:val="0072247A"/>
    <w:rsid w:val="00723E2A"/>
    <w:rsid w:val="0073251B"/>
    <w:rsid w:val="00732ED9"/>
    <w:rsid w:val="00741264"/>
    <w:rsid w:val="00747DAD"/>
    <w:rsid w:val="00754B8F"/>
    <w:rsid w:val="00754BE7"/>
    <w:rsid w:val="00760B8C"/>
    <w:rsid w:val="00761A02"/>
    <w:rsid w:val="00761A96"/>
    <w:rsid w:val="00765F36"/>
    <w:rsid w:val="00766253"/>
    <w:rsid w:val="00771CF4"/>
    <w:rsid w:val="00772599"/>
    <w:rsid w:val="0078364F"/>
    <w:rsid w:val="00791BE3"/>
    <w:rsid w:val="0079347E"/>
    <w:rsid w:val="00796416"/>
    <w:rsid w:val="00796952"/>
    <w:rsid w:val="007A193C"/>
    <w:rsid w:val="007B5550"/>
    <w:rsid w:val="007B67E4"/>
    <w:rsid w:val="007B75A6"/>
    <w:rsid w:val="007C1E38"/>
    <w:rsid w:val="007C2829"/>
    <w:rsid w:val="007C6314"/>
    <w:rsid w:val="007D0C25"/>
    <w:rsid w:val="007D15A6"/>
    <w:rsid w:val="007D200A"/>
    <w:rsid w:val="007D33F4"/>
    <w:rsid w:val="007D5BBC"/>
    <w:rsid w:val="007E5780"/>
    <w:rsid w:val="007F44FE"/>
    <w:rsid w:val="007F702E"/>
    <w:rsid w:val="007F74F5"/>
    <w:rsid w:val="00804297"/>
    <w:rsid w:val="00811AF2"/>
    <w:rsid w:val="00814024"/>
    <w:rsid w:val="00814D3C"/>
    <w:rsid w:val="008165D5"/>
    <w:rsid w:val="00816F8E"/>
    <w:rsid w:val="00821AE7"/>
    <w:rsid w:val="00822DBE"/>
    <w:rsid w:val="00823C3B"/>
    <w:rsid w:val="00824E49"/>
    <w:rsid w:val="00830DE9"/>
    <w:rsid w:val="008458A5"/>
    <w:rsid w:val="00852A21"/>
    <w:rsid w:val="00853D2A"/>
    <w:rsid w:val="0085790E"/>
    <w:rsid w:val="00864DB9"/>
    <w:rsid w:val="0086577B"/>
    <w:rsid w:val="00871001"/>
    <w:rsid w:val="008752D4"/>
    <w:rsid w:val="00876A5C"/>
    <w:rsid w:val="008772C6"/>
    <w:rsid w:val="0088228C"/>
    <w:rsid w:val="008822C0"/>
    <w:rsid w:val="008902C1"/>
    <w:rsid w:val="00893271"/>
    <w:rsid w:val="008A53EA"/>
    <w:rsid w:val="008B2FB6"/>
    <w:rsid w:val="008B3AD8"/>
    <w:rsid w:val="008B7244"/>
    <w:rsid w:val="008C21E9"/>
    <w:rsid w:val="008C28CB"/>
    <w:rsid w:val="008C6B27"/>
    <w:rsid w:val="008D1E5B"/>
    <w:rsid w:val="008D332C"/>
    <w:rsid w:val="008D5FA6"/>
    <w:rsid w:val="008E1384"/>
    <w:rsid w:val="008E2D29"/>
    <w:rsid w:val="008E348C"/>
    <w:rsid w:val="008E34C6"/>
    <w:rsid w:val="008E3876"/>
    <w:rsid w:val="008F129C"/>
    <w:rsid w:val="008F158F"/>
    <w:rsid w:val="008F3E3B"/>
    <w:rsid w:val="0090144F"/>
    <w:rsid w:val="00903234"/>
    <w:rsid w:val="00903CC6"/>
    <w:rsid w:val="009052D4"/>
    <w:rsid w:val="00917C09"/>
    <w:rsid w:val="00922C54"/>
    <w:rsid w:val="00931065"/>
    <w:rsid w:val="00932E1D"/>
    <w:rsid w:val="00937E2E"/>
    <w:rsid w:val="00952D13"/>
    <w:rsid w:val="00955B6E"/>
    <w:rsid w:val="009627D7"/>
    <w:rsid w:val="00970FB8"/>
    <w:rsid w:val="00983BB7"/>
    <w:rsid w:val="00984467"/>
    <w:rsid w:val="00985527"/>
    <w:rsid w:val="0099397A"/>
    <w:rsid w:val="00994826"/>
    <w:rsid w:val="009A22F1"/>
    <w:rsid w:val="009A6675"/>
    <w:rsid w:val="009B1D8C"/>
    <w:rsid w:val="009B6073"/>
    <w:rsid w:val="009C1E59"/>
    <w:rsid w:val="009D2B4A"/>
    <w:rsid w:val="009D2EFB"/>
    <w:rsid w:val="009D5FC6"/>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625B9"/>
    <w:rsid w:val="00A65C20"/>
    <w:rsid w:val="00A71EF6"/>
    <w:rsid w:val="00A72DB7"/>
    <w:rsid w:val="00A850E8"/>
    <w:rsid w:val="00A85252"/>
    <w:rsid w:val="00AA1F74"/>
    <w:rsid w:val="00AA2710"/>
    <w:rsid w:val="00AA2C2E"/>
    <w:rsid w:val="00AB2889"/>
    <w:rsid w:val="00AB3FC7"/>
    <w:rsid w:val="00AB5C07"/>
    <w:rsid w:val="00AC1D18"/>
    <w:rsid w:val="00AC3B81"/>
    <w:rsid w:val="00AC6D86"/>
    <w:rsid w:val="00AC7908"/>
    <w:rsid w:val="00AD1BC2"/>
    <w:rsid w:val="00AD5A1D"/>
    <w:rsid w:val="00AE24D0"/>
    <w:rsid w:val="00AE3CD7"/>
    <w:rsid w:val="00AE575D"/>
    <w:rsid w:val="00AF570C"/>
    <w:rsid w:val="00AF6AF2"/>
    <w:rsid w:val="00B00BA5"/>
    <w:rsid w:val="00B144DC"/>
    <w:rsid w:val="00B15D0B"/>
    <w:rsid w:val="00B22DFF"/>
    <w:rsid w:val="00B231BA"/>
    <w:rsid w:val="00B244EC"/>
    <w:rsid w:val="00B255B6"/>
    <w:rsid w:val="00B25DD8"/>
    <w:rsid w:val="00B31F4F"/>
    <w:rsid w:val="00B37577"/>
    <w:rsid w:val="00B526B7"/>
    <w:rsid w:val="00B57E3E"/>
    <w:rsid w:val="00B664D5"/>
    <w:rsid w:val="00B70495"/>
    <w:rsid w:val="00B72AEB"/>
    <w:rsid w:val="00B7497B"/>
    <w:rsid w:val="00B7582A"/>
    <w:rsid w:val="00B75AAD"/>
    <w:rsid w:val="00B75B79"/>
    <w:rsid w:val="00B84723"/>
    <w:rsid w:val="00B943E7"/>
    <w:rsid w:val="00B96614"/>
    <w:rsid w:val="00B97087"/>
    <w:rsid w:val="00BA0334"/>
    <w:rsid w:val="00BA34C0"/>
    <w:rsid w:val="00BB366A"/>
    <w:rsid w:val="00BB6AA0"/>
    <w:rsid w:val="00BC1602"/>
    <w:rsid w:val="00BD015D"/>
    <w:rsid w:val="00BD1A34"/>
    <w:rsid w:val="00BD25C3"/>
    <w:rsid w:val="00BE174D"/>
    <w:rsid w:val="00BE5F2F"/>
    <w:rsid w:val="00BE6E55"/>
    <w:rsid w:val="00BF19BD"/>
    <w:rsid w:val="00BF2F2E"/>
    <w:rsid w:val="00C103C2"/>
    <w:rsid w:val="00C119FE"/>
    <w:rsid w:val="00C1462C"/>
    <w:rsid w:val="00C160B2"/>
    <w:rsid w:val="00C24A8E"/>
    <w:rsid w:val="00C30B7C"/>
    <w:rsid w:val="00C41298"/>
    <w:rsid w:val="00C41725"/>
    <w:rsid w:val="00C41788"/>
    <w:rsid w:val="00C43AF8"/>
    <w:rsid w:val="00C45715"/>
    <w:rsid w:val="00C45AA0"/>
    <w:rsid w:val="00C45B6C"/>
    <w:rsid w:val="00C46EB7"/>
    <w:rsid w:val="00C5276E"/>
    <w:rsid w:val="00C53A6F"/>
    <w:rsid w:val="00C550CA"/>
    <w:rsid w:val="00C55681"/>
    <w:rsid w:val="00C56BB9"/>
    <w:rsid w:val="00C71F09"/>
    <w:rsid w:val="00C720E4"/>
    <w:rsid w:val="00C74874"/>
    <w:rsid w:val="00C75C0D"/>
    <w:rsid w:val="00C75E9F"/>
    <w:rsid w:val="00C77593"/>
    <w:rsid w:val="00C82D2D"/>
    <w:rsid w:val="00C850F4"/>
    <w:rsid w:val="00C9196E"/>
    <w:rsid w:val="00C92E02"/>
    <w:rsid w:val="00C94540"/>
    <w:rsid w:val="00C95186"/>
    <w:rsid w:val="00CA250F"/>
    <w:rsid w:val="00CA3384"/>
    <w:rsid w:val="00CB1A04"/>
    <w:rsid w:val="00CC1670"/>
    <w:rsid w:val="00CC5DE0"/>
    <w:rsid w:val="00CC61FE"/>
    <w:rsid w:val="00CD1066"/>
    <w:rsid w:val="00CD1415"/>
    <w:rsid w:val="00CE0D72"/>
    <w:rsid w:val="00CF1AC9"/>
    <w:rsid w:val="00CF7709"/>
    <w:rsid w:val="00D02176"/>
    <w:rsid w:val="00D02F77"/>
    <w:rsid w:val="00D104DE"/>
    <w:rsid w:val="00D117C3"/>
    <w:rsid w:val="00D1409A"/>
    <w:rsid w:val="00D158D5"/>
    <w:rsid w:val="00D20A29"/>
    <w:rsid w:val="00D26D82"/>
    <w:rsid w:val="00D26E47"/>
    <w:rsid w:val="00D426D9"/>
    <w:rsid w:val="00D52023"/>
    <w:rsid w:val="00D52528"/>
    <w:rsid w:val="00D57E00"/>
    <w:rsid w:val="00D60C86"/>
    <w:rsid w:val="00D638F1"/>
    <w:rsid w:val="00D67EE9"/>
    <w:rsid w:val="00D84597"/>
    <w:rsid w:val="00D86DBF"/>
    <w:rsid w:val="00D93CDC"/>
    <w:rsid w:val="00D94AF4"/>
    <w:rsid w:val="00DA0D5E"/>
    <w:rsid w:val="00DA6CD3"/>
    <w:rsid w:val="00DB3598"/>
    <w:rsid w:val="00DB6E3C"/>
    <w:rsid w:val="00DD0185"/>
    <w:rsid w:val="00DD1B7F"/>
    <w:rsid w:val="00DD2C61"/>
    <w:rsid w:val="00DD563F"/>
    <w:rsid w:val="00DE041C"/>
    <w:rsid w:val="00DE17DC"/>
    <w:rsid w:val="00DE6A32"/>
    <w:rsid w:val="00DF23E1"/>
    <w:rsid w:val="00DF2E00"/>
    <w:rsid w:val="00DF6678"/>
    <w:rsid w:val="00DF6D2C"/>
    <w:rsid w:val="00E10F4D"/>
    <w:rsid w:val="00E1591C"/>
    <w:rsid w:val="00E176A8"/>
    <w:rsid w:val="00E17ECA"/>
    <w:rsid w:val="00E20DE5"/>
    <w:rsid w:val="00E231A0"/>
    <w:rsid w:val="00E26CF5"/>
    <w:rsid w:val="00E32325"/>
    <w:rsid w:val="00E34DA0"/>
    <w:rsid w:val="00E352FB"/>
    <w:rsid w:val="00E37737"/>
    <w:rsid w:val="00E500E1"/>
    <w:rsid w:val="00E5741A"/>
    <w:rsid w:val="00E63E4E"/>
    <w:rsid w:val="00E85131"/>
    <w:rsid w:val="00E94400"/>
    <w:rsid w:val="00E96FCF"/>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9A6"/>
    <w:rsid w:val="00F0122C"/>
    <w:rsid w:val="00F01DFB"/>
    <w:rsid w:val="00F05669"/>
    <w:rsid w:val="00F1154A"/>
    <w:rsid w:val="00F20CC0"/>
    <w:rsid w:val="00F2154E"/>
    <w:rsid w:val="00F22750"/>
    <w:rsid w:val="00F23E4F"/>
    <w:rsid w:val="00F314DF"/>
    <w:rsid w:val="00F33468"/>
    <w:rsid w:val="00F47AEE"/>
    <w:rsid w:val="00F51D66"/>
    <w:rsid w:val="00F551D1"/>
    <w:rsid w:val="00F557DA"/>
    <w:rsid w:val="00F6219F"/>
    <w:rsid w:val="00F6629D"/>
    <w:rsid w:val="00F706CC"/>
    <w:rsid w:val="00F773F8"/>
    <w:rsid w:val="00F77C07"/>
    <w:rsid w:val="00F84364"/>
    <w:rsid w:val="00F86945"/>
    <w:rsid w:val="00F8783C"/>
    <w:rsid w:val="00F93C37"/>
    <w:rsid w:val="00FB055E"/>
    <w:rsid w:val="00FB0FB2"/>
    <w:rsid w:val="00FB177E"/>
    <w:rsid w:val="00FB2D71"/>
    <w:rsid w:val="00FB3440"/>
    <w:rsid w:val="00FB697B"/>
    <w:rsid w:val="00FB759B"/>
    <w:rsid w:val="00FC020A"/>
    <w:rsid w:val="00FC4224"/>
    <w:rsid w:val="00FC4662"/>
    <w:rsid w:val="00FD0172"/>
    <w:rsid w:val="00FD2855"/>
    <w:rsid w:val="00FD45D7"/>
    <w:rsid w:val="00FD4EA9"/>
    <w:rsid w:val="00FE222E"/>
    <w:rsid w:val="00FE3F35"/>
    <w:rsid w:val="00FE4A3D"/>
    <w:rsid w:val="00FE53FD"/>
    <w:rsid w:val="00FE7592"/>
    <w:rsid w:val="00FE75B3"/>
    <w:rsid w:val="00FF1087"/>
    <w:rsid w:val="0EB129D3"/>
    <w:rsid w:val="2358620C"/>
    <w:rsid w:val="370C57E4"/>
    <w:rsid w:val="46A10DE6"/>
    <w:rsid w:val="4A77782A"/>
    <w:rsid w:val="5A4B6C6D"/>
    <w:rsid w:val="5FF63F7F"/>
    <w:rsid w:val="680A7466"/>
    <w:rsid w:val="68DE6E9B"/>
    <w:rsid w:val="6DA55083"/>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nhideWhenUsed="0" w:uiPriority="99" w:semiHidden="0"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qFormat="1" w:unhideWhenUsed="0" w:uiPriority="0" w:semiHidden="0" w:name="Body Text 3"/>
    <w:lsdException w:uiPriority="0"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nhideWhenUsed="0" w:uiPriority="39" w:semiHidden="0" w:name="Table Grid"/>
    <w:lsdException w:uiPriority="99" w:name="Table Theme"/>
    <w:lsdException w:qFormat="1" w:unhideWhenUsed="0" w:uiPriority="67" w:name="Placeholder Text"/>
    <w:lsdException w:qFormat="1" w:unhideWhenUsed="0" w:uiPriority="0"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pPr>
      <w:suppressAutoHyphens/>
    </w:pPr>
    <w:rPr>
      <w:rFonts w:ascii="Times New Roman" w:hAnsi="Times New Roman" w:eastAsia="Times New Roman" w:cs="Times New Roman"/>
      <w:sz w:val="24"/>
      <w:lang w:val="pt-BR" w:eastAsia="ar-SA" w:bidi="ar-SA"/>
    </w:rPr>
  </w:style>
  <w:style w:type="paragraph" w:styleId="2">
    <w:name w:val="heading 1"/>
    <w:basedOn w:val="1"/>
    <w:next w:val="1"/>
    <w:link w:val="39"/>
    <w:qFormat/>
    <w:uiPriority w:val="9"/>
    <w:pPr>
      <w:keepNext/>
      <w:keepLines/>
      <w:spacing w:before="240"/>
      <w:outlineLvl w:val="0"/>
    </w:pPr>
    <w:rPr>
      <w:rFonts w:ascii="Cambria" w:hAnsi="Cambria" w:eastAsia="Cambria" w:cs="Cambria"/>
      <w:color w:val="365F91"/>
      <w:sz w:val="32"/>
      <w:szCs w:val="32"/>
    </w:rPr>
  </w:style>
  <w:style w:type="paragraph" w:styleId="3">
    <w:name w:val="heading 2"/>
    <w:basedOn w:val="1"/>
    <w:next w:val="1"/>
    <w:link w:val="47"/>
    <w:qFormat/>
    <w:uiPriority w:val="0"/>
    <w:pPr>
      <w:keepNext/>
      <w:tabs>
        <w:tab w:val="left" w:pos="1701"/>
      </w:tabs>
      <w:suppressAutoHyphens w:val="0"/>
      <w:ind w:right="-1"/>
      <w:jc w:val="center"/>
      <w:outlineLvl w:val="1"/>
    </w:pPr>
    <w:rPr>
      <w:rFonts w:eastAsia="Calibri"/>
      <w:b/>
      <w:color w:val="000000"/>
      <w:lang w:eastAsia="pt-BR"/>
    </w:rPr>
  </w:style>
  <w:style w:type="paragraph" w:styleId="4">
    <w:name w:val="heading 3"/>
    <w:basedOn w:val="1"/>
    <w:next w:val="1"/>
    <w:link w:val="36"/>
    <w:qFormat/>
    <w:uiPriority w:val="9"/>
    <w:pPr>
      <w:keepNext/>
      <w:tabs>
        <w:tab w:val="left" w:pos="0"/>
      </w:tabs>
      <w:ind w:left="720" w:hanging="720"/>
      <w:jc w:val="center"/>
      <w:outlineLvl w:val="2"/>
    </w:pPr>
    <w:rPr>
      <w:rFonts w:ascii="Garamond" w:hAnsi="Garamond"/>
      <w:b/>
      <w:i/>
    </w:rPr>
  </w:style>
  <w:style w:type="paragraph" w:styleId="5">
    <w:name w:val="heading 4"/>
    <w:basedOn w:val="1"/>
    <w:next w:val="1"/>
    <w:link w:val="48"/>
    <w:semiHidden/>
    <w:unhideWhenUsed/>
    <w:qFormat/>
    <w:uiPriority w:val="0"/>
    <w:pPr>
      <w:keepNext/>
      <w:keepLines/>
      <w:suppressAutoHyphens w:val="0"/>
      <w:spacing w:before="40"/>
      <w:outlineLvl w:val="3"/>
    </w:pPr>
    <w:rPr>
      <w:rFonts w:ascii="Cambria" w:hAnsi="Cambria" w:eastAsia="Cambria" w:cs="Cambria"/>
      <w:i/>
      <w:iCs/>
      <w:color w:val="365F91"/>
      <w:szCs w:val="24"/>
      <w:lang w:eastAsia="pt-BR"/>
    </w:rPr>
  </w:style>
  <w:style w:type="paragraph" w:styleId="6">
    <w:name w:val="heading 6"/>
    <w:basedOn w:val="1"/>
    <w:next w:val="1"/>
    <w:link w:val="181"/>
    <w:semiHidden/>
    <w:unhideWhenUsed/>
    <w:qFormat/>
    <w:uiPriority w:val="9"/>
    <w:pPr>
      <w:keepNext/>
      <w:keepLines/>
      <w:suppressAutoHyphens w:val="0"/>
      <w:spacing w:before="40" w:line="259" w:lineRule="auto"/>
      <w:outlineLvl w:val="5"/>
    </w:pPr>
    <w:rPr>
      <w:rFonts w:ascii="Calibri" w:hAnsi="Calibri" w:eastAsia="MS Gothic"/>
      <w:color w:val="243F60"/>
      <w:sz w:val="22"/>
      <w:szCs w:val="22"/>
      <w:lang w:eastAsia="en-US"/>
    </w:rPr>
  </w:style>
  <w:style w:type="character" w:default="1" w:styleId="7">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character" w:styleId="9">
    <w:name w:val="Strong"/>
    <w:qFormat/>
    <w:uiPriority w:val="0"/>
    <w:rPr>
      <w:b/>
      <w:bCs/>
    </w:rPr>
  </w:style>
  <w:style w:type="character" w:styleId="10">
    <w:name w:val="annotation reference"/>
    <w:unhideWhenUsed/>
    <w:qFormat/>
    <w:uiPriority w:val="0"/>
    <w:rPr>
      <w:sz w:val="16"/>
      <w:szCs w:val="16"/>
    </w:rPr>
  </w:style>
  <w:style w:type="character" w:styleId="11">
    <w:name w:val="FollowedHyperlink"/>
    <w:semiHidden/>
    <w:unhideWhenUsed/>
    <w:qFormat/>
    <w:uiPriority w:val="99"/>
    <w:rPr>
      <w:color w:val="800080"/>
      <w:u w:val="single"/>
    </w:rPr>
  </w:style>
  <w:style w:type="character" w:styleId="12">
    <w:name w:val="Emphasis"/>
    <w:qFormat/>
    <w:uiPriority w:val="20"/>
    <w:rPr>
      <w:i/>
      <w:iCs/>
    </w:rPr>
  </w:style>
  <w:style w:type="character" w:styleId="13">
    <w:name w:val="Hyperlink"/>
    <w:qFormat/>
    <w:uiPriority w:val="0"/>
    <w:rPr>
      <w:color w:val="000080"/>
      <w:u w:val="single"/>
    </w:rPr>
  </w:style>
  <w:style w:type="character" w:styleId="14">
    <w:name w:val="page number"/>
    <w:qFormat/>
    <w:uiPriority w:val="0"/>
  </w:style>
  <w:style w:type="paragraph" w:styleId="15">
    <w:name w:val="List"/>
    <w:basedOn w:val="16"/>
    <w:qFormat/>
    <w:uiPriority w:val="0"/>
    <w:rPr>
      <w:rFonts w:cs="Lohit Devanagari"/>
    </w:rPr>
  </w:style>
  <w:style w:type="paragraph" w:styleId="16">
    <w:name w:val="Body Text"/>
    <w:basedOn w:val="1"/>
    <w:link w:val="71"/>
    <w:qFormat/>
    <w:uiPriority w:val="99"/>
    <w:pPr>
      <w:spacing w:after="140" w:line="276" w:lineRule="auto"/>
    </w:pPr>
  </w:style>
  <w:style w:type="paragraph" w:styleId="17">
    <w:name w:val="annotation text"/>
    <w:basedOn w:val="1"/>
    <w:link w:val="57"/>
    <w:unhideWhenUsed/>
    <w:qFormat/>
    <w:uiPriority w:val="99"/>
    <w:pPr>
      <w:suppressAutoHyphens w:val="0"/>
    </w:pPr>
    <w:rPr>
      <w:rFonts w:ascii="Ecofont_Spranq_eco_Sans" w:hAnsi="Ecofont_Spranq_eco_Sans" w:eastAsia="Calibri" w:cs="Tahoma"/>
      <w:sz w:val="20"/>
      <w:lang w:eastAsia="pt-BR"/>
    </w:rPr>
  </w:style>
  <w:style w:type="paragraph" w:styleId="18">
    <w:name w:val="Body Text Indent 2"/>
    <w:basedOn w:val="1"/>
    <w:link w:val="85"/>
    <w:semiHidden/>
    <w:unhideWhenUsed/>
    <w:uiPriority w:val="0"/>
    <w:pPr>
      <w:spacing w:after="120" w:line="480" w:lineRule="auto"/>
      <w:ind w:left="283"/>
    </w:pPr>
  </w:style>
  <w:style w:type="paragraph" w:styleId="19">
    <w:name w:val="Title"/>
    <w:basedOn w:val="1"/>
    <w:next w:val="16"/>
    <w:link w:val="61"/>
    <w:qFormat/>
    <w:uiPriority w:val="10"/>
    <w:pPr>
      <w:keepNext/>
      <w:spacing w:before="240" w:after="120"/>
    </w:pPr>
    <w:rPr>
      <w:rFonts w:ascii="Liberation Sans" w:hAnsi="Liberation Sans" w:eastAsia="Noto Sans CJK SC" w:cs="Lohit Devanagari"/>
      <w:sz w:val="28"/>
      <w:szCs w:val="28"/>
    </w:rPr>
  </w:style>
  <w:style w:type="paragraph" w:styleId="20">
    <w:name w:val="List Bullet 5"/>
    <w:basedOn w:val="1"/>
    <w:uiPriority w:val="99"/>
    <w:pPr>
      <w:numPr>
        <w:ilvl w:val="0"/>
        <w:numId w:val="1"/>
      </w:numPr>
      <w:suppressAutoHyphens w:val="0"/>
      <w:contextualSpacing/>
    </w:pPr>
    <w:rPr>
      <w:rFonts w:ascii="Ecofont_Spranq_eco_Sans" w:hAnsi="Ecofont_Spranq_eco_Sans" w:eastAsia="Calibri" w:cs="Tahoma"/>
      <w:szCs w:val="24"/>
      <w:lang w:eastAsia="pt-BR"/>
    </w:rPr>
  </w:style>
  <w:style w:type="paragraph" w:styleId="21">
    <w:name w:val="Normal (Web)"/>
    <w:basedOn w:val="1"/>
    <w:unhideWhenUsed/>
    <w:qFormat/>
    <w:uiPriority w:val="99"/>
    <w:pPr>
      <w:suppressAutoHyphens w:val="0"/>
      <w:spacing w:beforeAutospacing="1" w:afterAutospacing="1"/>
    </w:pPr>
    <w:rPr>
      <w:szCs w:val="24"/>
      <w:lang w:eastAsia="pt-BR"/>
    </w:rPr>
  </w:style>
  <w:style w:type="paragraph" w:styleId="22">
    <w:name w:val="Body Text 3"/>
    <w:basedOn w:val="1"/>
    <w:link w:val="125"/>
    <w:qFormat/>
    <w:uiPriority w:val="0"/>
    <w:pPr>
      <w:suppressAutoHyphens w:val="0"/>
      <w:jc w:val="both"/>
    </w:pPr>
    <w:rPr>
      <w:lang w:eastAsia="pt-BR"/>
    </w:rPr>
  </w:style>
  <w:style w:type="paragraph" w:styleId="23">
    <w:name w:val="HTML Preformatted"/>
    <w:basedOn w:val="1"/>
    <w:link w:val="180"/>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24">
    <w:name w:val="Body Text 2"/>
    <w:basedOn w:val="1"/>
    <w:link w:val="124"/>
    <w:uiPriority w:val="0"/>
    <w:pPr>
      <w:suppressAutoHyphens w:val="0"/>
      <w:jc w:val="center"/>
    </w:pPr>
    <w:rPr>
      <w:lang w:eastAsia="pt-BR"/>
    </w:rPr>
  </w:style>
  <w:style w:type="paragraph" w:styleId="25">
    <w:name w:val="header"/>
    <w:basedOn w:val="1"/>
    <w:link w:val="34"/>
    <w:unhideWhenUsed/>
    <w:qFormat/>
    <w:uiPriority w:val="99"/>
    <w:pPr>
      <w:tabs>
        <w:tab w:val="center" w:pos="4252"/>
        <w:tab w:val="right" w:pos="8504"/>
      </w:tabs>
      <w:suppressAutoHyphens w:val="0"/>
    </w:pPr>
    <w:rPr>
      <w:rFonts w:ascii="Calibri" w:hAnsi="Calibri" w:eastAsia="Calibri" w:cs="Calibri"/>
      <w:sz w:val="22"/>
      <w:szCs w:val="22"/>
      <w:lang w:eastAsia="en-US"/>
    </w:rPr>
  </w:style>
  <w:style w:type="paragraph" w:styleId="26">
    <w:name w:val="annotation subject"/>
    <w:basedOn w:val="17"/>
    <w:next w:val="17"/>
    <w:link w:val="58"/>
    <w:semiHidden/>
    <w:unhideWhenUsed/>
    <w:qFormat/>
    <w:uiPriority w:val="99"/>
    <w:rPr>
      <w:b/>
      <w:bCs/>
    </w:rPr>
  </w:style>
  <w:style w:type="paragraph" w:styleId="27">
    <w:name w:val="footer"/>
    <w:basedOn w:val="1"/>
    <w:link w:val="35"/>
    <w:unhideWhenUsed/>
    <w:qFormat/>
    <w:uiPriority w:val="99"/>
    <w:pPr>
      <w:tabs>
        <w:tab w:val="center" w:pos="4252"/>
        <w:tab w:val="right" w:pos="8504"/>
      </w:tabs>
      <w:suppressAutoHyphens w:val="0"/>
    </w:pPr>
    <w:rPr>
      <w:rFonts w:ascii="Calibri" w:hAnsi="Calibri" w:eastAsia="Calibri" w:cs="Calibri"/>
      <w:sz w:val="22"/>
      <w:szCs w:val="22"/>
      <w:lang w:eastAsia="en-US"/>
    </w:rPr>
  </w:style>
  <w:style w:type="paragraph" w:styleId="28">
    <w:name w:val="Document Map"/>
    <w:basedOn w:val="1"/>
    <w:link w:val="123"/>
    <w:semiHidden/>
    <w:qFormat/>
    <w:uiPriority w:val="0"/>
    <w:pPr>
      <w:shd w:val="clear" w:color="auto" w:fill="000080"/>
      <w:suppressAutoHyphens w:val="0"/>
    </w:pPr>
    <w:rPr>
      <w:rFonts w:ascii="Tahoma" w:hAnsi="Tahoma"/>
      <w:sz w:val="20"/>
      <w:lang w:eastAsia="pt-BR"/>
    </w:rPr>
  </w:style>
  <w:style w:type="paragraph" w:styleId="29">
    <w:name w:val="caption"/>
    <w:basedOn w:val="1"/>
    <w:qFormat/>
    <w:uiPriority w:val="0"/>
    <w:pPr>
      <w:suppressLineNumbers/>
      <w:spacing w:before="120" w:after="120"/>
    </w:pPr>
    <w:rPr>
      <w:rFonts w:cs="Lohit Devanagari"/>
      <w:i/>
      <w:iCs/>
      <w:szCs w:val="24"/>
    </w:rPr>
  </w:style>
  <w:style w:type="paragraph" w:styleId="30">
    <w:name w:val="Balloon Text"/>
    <w:basedOn w:val="1"/>
    <w:link w:val="49"/>
    <w:uiPriority w:val="99"/>
    <w:pPr>
      <w:suppressAutoHyphens w:val="0"/>
    </w:pPr>
    <w:rPr>
      <w:rFonts w:ascii="Tahoma" w:hAnsi="Tahoma" w:eastAsia="Calibri" w:cs="Tahoma"/>
      <w:sz w:val="16"/>
      <w:szCs w:val="16"/>
      <w:lang w:eastAsia="pt-BR"/>
    </w:rPr>
  </w:style>
  <w:style w:type="paragraph" w:styleId="31">
    <w:name w:val="toc 1"/>
    <w:basedOn w:val="1"/>
    <w:next w:val="1"/>
    <w:autoRedefine/>
    <w:unhideWhenUsed/>
    <w:uiPriority w:val="39"/>
    <w:pPr>
      <w:tabs>
        <w:tab w:val="left" w:pos="426"/>
        <w:tab w:val="right" w:leader="dot" w:pos="9628"/>
      </w:tabs>
      <w:suppressAutoHyphens w:val="0"/>
      <w:spacing w:after="100"/>
    </w:pPr>
    <w:rPr>
      <w:rFonts w:ascii="Arial" w:hAnsi="Arial" w:cs="Tahoma"/>
      <w:sz w:val="20"/>
      <w:szCs w:val="24"/>
      <w:lang w:eastAsia="pt-BR"/>
    </w:rPr>
  </w:style>
  <w:style w:type="paragraph" w:styleId="32">
    <w:name w:val="Body Text Indent"/>
    <w:basedOn w:val="1"/>
    <w:link w:val="84"/>
    <w:unhideWhenUsed/>
    <w:uiPriority w:val="0"/>
    <w:pPr>
      <w:spacing w:after="120"/>
      <w:ind w:left="283"/>
    </w:pPr>
  </w:style>
  <w:style w:type="table" w:styleId="33">
    <w:name w:val="Table Grid"/>
    <w:basedOn w:val="8"/>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4">
    <w:name w:val="Cabeçalho Char"/>
    <w:basedOn w:val="7"/>
    <w:link w:val="25"/>
    <w:qFormat/>
    <w:uiPriority w:val="99"/>
  </w:style>
  <w:style w:type="character" w:customStyle="1" w:styleId="35">
    <w:name w:val="Rodapé Char"/>
    <w:basedOn w:val="7"/>
    <w:link w:val="27"/>
    <w:qFormat/>
    <w:uiPriority w:val="99"/>
  </w:style>
  <w:style w:type="character" w:customStyle="1" w:styleId="36">
    <w:name w:val="Título 3 Char"/>
    <w:link w:val="4"/>
    <w:qFormat/>
    <w:uiPriority w:val="9"/>
    <w:rPr>
      <w:rFonts w:ascii="Garamond" w:hAnsi="Garamond" w:eastAsia="Times New Roman" w:cs="Times New Roman"/>
      <w:b/>
      <w:i/>
      <w:sz w:val="24"/>
      <w:szCs w:val="20"/>
      <w:lang w:eastAsia="ar-SA"/>
    </w:rPr>
  </w:style>
  <w:style w:type="character" w:customStyle="1" w:styleId="37">
    <w:name w:val="Absatz-Standardschriftart"/>
    <w:qFormat/>
    <w:uiPriority w:val="0"/>
  </w:style>
  <w:style w:type="character" w:customStyle="1" w:styleId="38">
    <w:name w:val="apple-converted-space"/>
    <w:basedOn w:val="7"/>
    <w:qFormat/>
    <w:uiPriority w:val="0"/>
  </w:style>
  <w:style w:type="character" w:customStyle="1" w:styleId="39">
    <w:name w:val="Título 1 Char"/>
    <w:link w:val="2"/>
    <w:qFormat/>
    <w:uiPriority w:val="9"/>
    <w:rPr>
      <w:rFonts w:ascii="Cambria" w:hAnsi="Cambria" w:eastAsia="Cambria" w:cs="Cambria"/>
      <w:color w:val="365F91"/>
      <w:sz w:val="32"/>
      <w:szCs w:val="32"/>
      <w:lang w:eastAsia="ar-SA"/>
    </w:rPr>
  </w:style>
  <w:style w:type="character" w:customStyle="1" w:styleId="40">
    <w:name w:val="ui-pdp-color--black"/>
    <w:basedOn w:val="7"/>
    <w:qFormat/>
    <w:uiPriority w:val="0"/>
  </w:style>
  <w:style w:type="character" w:customStyle="1" w:styleId="41">
    <w:name w:val="text_exposed_show"/>
    <w:basedOn w:val="7"/>
    <w:qFormat/>
    <w:uiPriority w:val="0"/>
  </w:style>
  <w:style w:type="paragraph" w:customStyle="1" w:styleId="42">
    <w:name w:val="Índice"/>
    <w:basedOn w:val="1"/>
    <w:qFormat/>
    <w:uiPriority w:val="0"/>
    <w:pPr>
      <w:suppressLineNumbers/>
    </w:pPr>
    <w:rPr>
      <w:rFonts w:cs="Lohit Devanagari"/>
    </w:rPr>
  </w:style>
  <w:style w:type="paragraph" w:customStyle="1" w:styleId="43">
    <w:name w:val="Cabeçalho e Rodapé"/>
    <w:basedOn w:val="1"/>
    <w:qFormat/>
    <w:uiPriority w:val="0"/>
  </w:style>
  <w:style w:type="paragraph" w:styleId="44">
    <w:name w:val="List Paragraph"/>
    <w:basedOn w:val="1"/>
    <w:link w:val="201"/>
    <w:qFormat/>
    <w:uiPriority w:val="34"/>
    <w:pPr>
      <w:ind w:left="720"/>
      <w:contextualSpacing/>
    </w:pPr>
  </w:style>
  <w:style w:type="paragraph" w:customStyle="1" w:styleId="45">
    <w:name w:val="Default"/>
    <w:qFormat/>
    <w:uiPriority w:val="0"/>
    <w:pPr>
      <w:suppressAutoHyphens/>
    </w:pPr>
    <w:rPr>
      <w:rFonts w:ascii="Times New Roman" w:hAnsi="Times New Roman" w:eastAsia="Calibri" w:cs="Times New Roman"/>
      <w:color w:val="000000"/>
      <w:sz w:val="24"/>
      <w:szCs w:val="24"/>
      <w:lang w:val="pt-BR" w:eastAsia="en-US" w:bidi="ar-SA"/>
    </w:rPr>
  </w:style>
  <w:style w:type="paragraph" w:customStyle="1" w:styleId="46">
    <w:name w:val="ui-pdp-family--regular"/>
    <w:basedOn w:val="1"/>
    <w:qFormat/>
    <w:uiPriority w:val="0"/>
    <w:pPr>
      <w:suppressAutoHyphens w:val="0"/>
      <w:spacing w:beforeAutospacing="1" w:afterAutospacing="1"/>
    </w:pPr>
    <w:rPr>
      <w:szCs w:val="24"/>
      <w:lang w:eastAsia="pt-BR"/>
    </w:rPr>
  </w:style>
  <w:style w:type="character" w:customStyle="1" w:styleId="47">
    <w:name w:val="Título 2 Char"/>
    <w:link w:val="3"/>
    <w:qFormat/>
    <w:uiPriority w:val="0"/>
    <w:rPr>
      <w:rFonts w:ascii="Times New Roman" w:hAnsi="Times New Roman" w:eastAsia="Calibri" w:cs="Times New Roman"/>
      <w:b/>
      <w:color w:val="000000"/>
      <w:sz w:val="24"/>
      <w:szCs w:val="20"/>
      <w:lang w:eastAsia="pt-BR"/>
    </w:rPr>
  </w:style>
  <w:style w:type="character" w:customStyle="1" w:styleId="48">
    <w:name w:val="Título 4 Char"/>
    <w:link w:val="5"/>
    <w:qFormat/>
    <w:uiPriority w:val="0"/>
    <w:rPr>
      <w:rFonts w:ascii="Cambria" w:hAnsi="Cambria" w:eastAsia="Cambria" w:cs="Cambria"/>
      <w:i/>
      <w:iCs/>
      <w:color w:val="365F91"/>
      <w:sz w:val="24"/>
      <w:szCs w:val="24"/>
      <w:lang w:eastAsia="pt-BR"/>
    </w:rPr>
  </w:style>
  <w:style w:type="character" w:customStyle="1" w:styleId="49">
    <w:name w:val="Texto de balão Char"/>
    <w:link w:val="30"/>
    <w:qFormat/>
    <w:uiPriority w:val="99"/>
    <w:rPr>
      <w:rFonts w:ascii="Tahoma" w:hAnsi="Tahoma" w:eastAsia="Calibri" w:cs="Tahoma"/>
      <w:sz w:val="16"/>
      <w:szCs w:val="16"/>
      <w:lang w:eastAsia="pt-BR"/>
    </w:rPr>
  </w:style>
  <w:style w:type="paragraph" w:customStyle="1" w:styleId="50">
    <w:name w:val="Nível 2"/>
    <w:basedOn w:val="1"/>
    <w:next w:val="1"/>
    <w:qFormat/>
    <w:uiPriority w:val="99"/>
    <w:pPr>
      <w:suppressAutoHyphens w:val="0"/>
      <w:spacing w:after="120"/>
      <w:jc w:val="both"/>
    </w:pPr>
    <w:rPr>
      <w:rFonts w:ascii="Arial" w:hAnsi="Arial" w:eastAsia="Calibri"/>
      <w:b/>
      <w:lang w:eastAsia="pt-BR"/>
    </w:rPr>
  </w:style>
  <w:style w:type="character" w:customStyle="1" w:styleId="51">
    <w:name w:val="normal__char1"/>
    <w:qFormat/>
    <w:uiPriority w:val="0"/>
    <w:rPr>
      <w:rFonts w:hint="default" w:ascii="Arial" w:hAnsi="Arial" w:cs="Arial"/>
      <w:sz w:val="24"/>
      <w:szCs w:val="24"/>
      <w:u w:val="none"/>
    </w:rPr>
  </w:style>
  <w:style w:type="character" w:customStyle="1" w:styleId="52">
    <w:name w:val="apple-style-span"/>
    <w:basedOn w:val="7"/>
    <w:qFormat/>
    <w:uiPriority w:val="0"/>
  </w:style>
  <w:style w:type="paragraph" w:styleId="53">
    <w:name w:val="Quote"/>
    <w:basedOn w:val="1"/>
    <w:next w:val="1"/>
    <w:link w:val="54"/>
    <w:qFormat/>
    <w:uiPriority w:val="0"/>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Arial" w:hAnsi="Arial" w:eastAsia="Calibri" w:cs="Tahoma"/>
      <w:i/>
      <w:iCs/>
      <w:color w:val="000000"/>
      <w:sz w:val="20"/>
      <w:szCs w:val="24"/>
      <w:lang w:eastAsia="en-US"/>
    </w:rPr>
  </w:style>
  <w:style w:type="character" w:customStyle="1" w:styleId="54">
    <w:name w:val="Citação Char"/>
    <w:link w:val="53"/>
    <w:qFormat/>
    <w:uiPriority w:val="0"/>
    <w:rPr>
      <w:rFonts w:ascii="Arial" w:hAnsi="Arial" w:eastAsia="Calibri" w:cs="Tahoma"/>
      <w:i/>
      <w:iCs/>
      <w:color w:val="000000"/>
      <w:szCs w:val="24"/>
      <w:shd w:val="clear" w:color="auto" w:fill="FFFFCC"/>
    </w:rPr>
  </w:style>
  <w:style w:type="paragraph" w:customStyle="1" w:styleId="55">
    <w:name w:val="citação 2"/>
    <w:basedOn w:val="53"/>
    <w:link w:val="56"/>
    <w:qFormat/>
    <w:uiPriority w:val="99"/>
    <w:rPr>
      <w:szCs w:val="20"/>
    </w:rPr>
  </w:style>
  <w:style w:type="character" w:customStyle="1" w:styleId="56">
    <w:name w:val="citação 2 Char"/>
    <w:link w:val="55"/>
    <w:qFormat/>
    <w:uiPriority w:val="0"/>
    <w:rPr>
      <w:rFonts w:ascii="Arial" w:hAnsi="Arial" w:eastAsia="Calibri" w:cs="Tahoma"/>
      <w:i/>
      <w:iCs/>
      <w:color w:val="000000"/>
      <w:szCs w:val="20"/>
      <w:shd w:val="clear" w:color="auto" w:fill="FFFFCC"/>
    </w:rPr>
  </w:style>
  <w:style w:type="character" w:customStyle="1" w:styleId="57">
    <w:name w:val="Texto de comentário Char"/>
    <w:link w:val="17"/>
    <w:qFormat/>
    <w:uiPriority w:val="99"/>
    <w:rPr>
      <w:rFonts w:ascii="Ecofont_Spranq_eco_Sans" w:hAnsi="Ecofont_Spranq_eco_Sans" w:eastAsia="Calibri" w:cs="Tahoma"/>
      <w:szCs w:val="20"/>
      <w:lang w:eastAsia="pt-BR"/>
    </w:rPr>
  </w:style>
  <w:style w:type="character" w:customStyle="1" w:styleId="58">
    <w:name w:val="Assunto do comentário Char"/>
    <w:link w:val="26"/>
    <w:semiHidden/>
    <w:qFormat/>
    <w:uiPriority w:val="99"/>
    <w:rPr>
      <w:rFonts w:ascii="Ecofont_Spranq_eco_Sans" w:hAnsi="Ecofont_Spranq_eco_Sans" w:eastAsia="Calibri" w:cs="Tahoma"/>
      <w:b/>
      <w:bCs/>
      <w:szCs w:val="20"/>
      <w:lang w:eastAsia="pt-BR"/>
    </w:rPr>
  </w:style>
  <w:style w:type="paragraph" w:customStyle="1" w:styleId="59">
    <w:name w:val="Nivel 01"/>
    <w:basedOn w:val="2"/>
    <w:next w:val="1"/>
    <w:link w:val="62"/>
    <w:qFormat/>
    <w:uiPriority w:val="0"/>
    <w:pPr>
      <w:numPr>
        <w:ilvl w:val="0"/>
        <w:numId w:val="2"/>
      </w:numPr>
      <w:tabs>
        <w:tab w:val="left" w:pos="567"/>
      </w:tabs>
      <w:suppressAutoHyphens w:val="0"/>
      <w:jc w:val="both"/>
    </w:pPr>
    <w:rPr>
      <w:rFonts w:ascii="Ecofont_Spranq_eco_Sans" w:hAnsi="Ecofont_Spranq_eco_Sans" w:eastAsia="Noto Sans CJK SC" w:cs="Times New Roman"/>
      <w:b/>
      <w:bCs/>
      <w:color w:val="000000"/>
      <w:sz w:val="28"/>
      <w:szCs w:val="20"/>
    </w:rPr>
  </w:style>
  <w:style w:type="paragraph" w:customStyle="1" w:styleId="60">
    <w:name w:val="Nivel_01_Titulo"/>
    <w:basedOn w:val="59"/>
    <w:link w:val="63"/>
    <w:qFormat/>
    <w:uiPriority w:val="0"/>
    <w:pPr>
      <w:jc w:val="left"/>
    </w:pPr>
    <w:rPr>
      <w:rFonts w:cs="Cambria"/>
      <w:szCs w:val="52"/>
    </w:rPr>
  </w:style>
  <w:style w:type="character" w:customStyle="1" w:styleId="61">
    <w:name w:val="Título Char"/>
    <w:link w:val="19"/>
    <w:qFormat/>
    <w:uiPriority w:val="99"/>
    <w:rPr>
      <w:rFonts w:ascii="Liberation Sans" w:hAnsi="Liberation Sans" w:eastAsia="Noto Sans CJK SC" w:cs="Lohit Devanagari"/>
      <w:sz w:val="28"/>
      <w:szCs w:val="28"/>
      <w:lang w:eastAsia="ar-SA"/>
    </w:rPr>
  </w:style>
  <w:style w:type="character" w:customStyle="1" w:styleId="62">
    <w:name w:val="Nivel 01 Char"/>
    <w:link w:val="59"/>
    <w:qFormat/>
    <w:uiPriority w:val="0"/>
    <w:rPr>
      <w:rFonts w:ascii="Ecofont_Spranq_eco_Sans" w:hAnsi="Ecofont_Spranq_eco_Sans" w:eastAsia="Noto Sans CJK SC" w:cs="Times New Roman"/>
      <w:b/>
      <w:bCs/>
      <w:color w:val="000000"/>
      <w:sz w:val="28"/>
      <w:lang w:eastAsia="ar-SA"/>
    </w:rPr>
  </w:style>
  <w:style w:type="character" w:customStyle="1" w:styleId="63">
    <w:name w:val="Nivel_01_Titulo Char"/>
    <w:link w:val="60"/>
    <w:qFormat/>
    <w:uiPriority w:val="0"/>
    <w:rPr>
      <w:rFonts w:ascii="Ecofont_Spranq_eco_Sans" w:hAnsi="Ecofont_Spranq_eco_Sans" w:eastAsia="Noto Sans CJK SC" w:cs="Cambria"/>
      <w:b/>
      <w:bCs/>
      <w:color w:val="000000"/>
      <w:sz w:val="28"/>
      <w:szCs w:val="52"/>
      <w:lang w:eastAsia="ar-SA"/>
    </w:rPr>
  </w:style>
  <w:style w:type="paragraph" w:customStyle="1" w:styleId="64">
    <w:name w:val="PADRÃO"/>
    <w:uiPriority w:val="99"/>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65">
    <w:name w:val="Quote Char"/>
    <w:link w:val="66"/>
    <w:uiPriority w:val="0"/>
    <w:rPr>
      <w:rFonts w:ascii="Ecofont_Spranq_eco_Sans" w:hAnsi="Ecofont_Spranq_eco_Sans" w:eastAsia="Calibri" w:cs="Tahoma"/>
      <w:i/>
      <w:iCs/>
      <w:color w:val="000000"/>
      <w:shd w:val="clear" w:color="auto" w:fill="FFFFCC"/>
    </w:rPr>
  </w:style>
  <w:style w:type="paragraph" w:customStyle="1" w:styleId="66">
    <w:name w:val="Citação1"/>
    <w:basedOn w:val="1"/>
    <w:next w:val="1"/>
    <w:link w:val="65"/>
    <w:qFormat/>
    <w:uiPriority w:val="0"/>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Ecofont_Spranq_eco_Sans" w:hAnsi="Ecofont_Spranq_eco_Sans" w:eastAsia="Calibri" w:cs="Tahoma"/>
      <w:i/>
      <w:iCs/>
      <w:color w:val="000000"/>
      <w:sz w:val="20"/>
      <w:szCs w:val="22"/>
      <w:lang w:eastAsia="en-US"/>
    </w:rPr>
  </w:style>
  <w:style w:type="paragraph" w:customStyle="1" w:styleId="67">
    <w:name w:val="paragraph"/>
    <w:basedOn w:val="1"/>
    <w:uiPriority w:val="99"/>
    <w:pPr>
      <w:suppressAutoHyphens w:val="0"/>
      <w:spacing w:before="100" w:beforeAutospacing="1" w:after="100" w:afterAutospacing="1"/>
    </w:pPr>
    <w:rPr>
      <w:szCs w:val="24"/>
      <w:lang w:eastAsia="pt-BR"/>
    </w:rPr>
  </w:style>
  <w:style w:type="character" w:customStyle="1" w:styleId="68">
    <w:name w:val="normaltextrun"/>
    <w:basedOn w:val="7"/>
    <w:qFormat/>
    <w:uiPriority w:val="0"/>
  </w:style>
  <w:style w:type="character" w:customStyle="1" w:styleId="69">
    <w:name w:val="eop"/>
    <w:basedOn w:val="7"/>
    <w:uiPriority w:val="0"/>
  </w:style>
  <w:style w:type="character" w:customStyle="1" w:styleId="70">
    <w:name w:val="spellingerror"/>
    <w:basedOn w:val="7"/>
    <w:uiPriority w:val="0"/>
  </w:style>
  <w:style w:type="character" w:customStyle="1" w:styleId="71">
    <w:name w:val="Corpo de texto Char"/>
    <w:link w:val="16"/>
    <w:uiPriority w:val="99"/>
    <w:rPr>
      <w:rFonts w:ascii="Times New Roman" w:hAnsi="Times New Roman" w:eastAsia="Times New Roman" w:cs="Times New Roman"/>
      <w:sz w:val="24"/>
      <w:szCs w:val="20"/>
      <w:lang w:eastAsia="ar-SA"/>
    </w:rPr>
  </w:style>
  <w:style w:type="paragraph" w:customStyle="1" w:styleId="72">
    <w:name w:val="Nivel1"/>
    <w:basedOn w:val="2"/>
    <w:link w:val="73"/>
    <w:qFormat/>
    <w:uiPriority w:val="0"/>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73">
    <w:name w:val="Nivel1 Char"/>
    <w:link w:val="72"/>
    <w:uiPriority w:val="0"/>
    <w:rPr>
      <w:rFonts w:ascii="Arial" w:hAnsi="Arial" w:eastAsia="Cambria" w:cs="Arial"/>
      <w:b/>
      <w:color w:val="000000"/>
      <w:sz w:val="28"/>
      <w:szCs w:val="28"/>
      <w:lang w:eastAsia="pt-BR"/>
    </w:rPr>
  </w:style>
  <w:style w:type="paragraph" w:customStyle="1" w:styleId="74">
    <w:name w:val="Parágrafo da Lista1"/>
    <w:basedOn w:val="1"/>
    <w:qFormat/>
    <w:uiPriority w:val="99"/>
    <w:pPr>
      <w:suppressAutoHyphens w:val="0"/>
      <w:ind w:left="720"/>
    </w:pPr>
    <w:rPr>
      <w:rFonts w:ascii="Ecofont_Spranq_eco_Sans" w:hAnsi="Ecofont_Spranq_eco_Sans" w:cs="Ecofont_Spranq_eco_Sans"/>
      <w:szCs w:val="24"/>
      <w:lang w:eastAsia="pt-BR"/>
    </w:rPr>
  </w:style>
  <w:style w:type="paragraph" w:customStyle="1" w:styleId="75">
    <w:name w:val="Nivel 2"/>
    <w:link w:val="92"/>
    <w:qFormat/>
    <w:uiPriority w:val="0"/>
    <w:pPr>
      <w:numPr>
        <w:ilvl w:val="1"/>
        <w:numId w:val="3"/>
      </w:numPr>
      <w:spacing w:before="120" w:after="120" w:line="276" w:lineRule="auto"/>
      <w:jc w:val="both"/>
    </w:pPr>
    <w:rPr>
      <w:rFonts w:ascii="Ecofont_Spranq_eco_Sans" w:hAnsi="Ecofont_Spranq_eco_Sans" w:eastAsia="Arial Unicode MS" w:cs="Times New Roman"/>
      <w:lang w:val="pt-BR" w:eastAsia="pt-BR" w:bidi="ar-SA"/>
    </w:rPr>
  </w:style>
  <w:style w:type="paragraph" w:customStyle="1" w:styleId="76">
    <w:name w:val="Nivel 1"/>
    <w:basedOn w:val="75"/>
    <w:next w:val="75"/>
    <w:qFormat/>
    <w:uiPriority w:val="0"/>
    <w:pPr>
      <w:numPr>
        <w:ilvl w:val="0"/>
      </w:numPr>
    </w:pPr>
    <w:rPr>
      <w:rFonts w:cs="Arial"/>
      <w:b/>
    </w:rPr>
  </w:style>
  <w:style w:type="paragraph" w:customStyle="1" w:styleId="77">
    <w:name w:val="Nivel 3"/>
    <w:basedOn w:val="75"/>
    <w:link w:val="216"/>
    <w:qFormat/>
    <w:uiPriority w:val="0"/>
    <w:pPr>
      <w:numPr>
        <w:ilvl w:val="2"/>
      </w:numPr>
    </w:pPr>
    <w:rPr>
      <w:rFonts w:cs="Arial"/>
      <w:color w:val="000000"/>
    </w:rPr>
  </w:style>
  <w:style w:type="paragraph" w:customStyle="1" w:styleId="78">
    <w:name w:val="Nivel 4"/>
    <w:basedOn w:val="77"/>
    <w:link w:val="80"/>
    <w:qFormat/>
    <w:uiPriority w:val="0"/>
    <w:pPr>
      <w:numPr>
        <w:ilvl w:val="3"/>
      </w:numPr>
    </w:pPr>
    <w:rPr>
      <w:color w:val="auto"/>
    </w:rPr>
  </w:style>
  <w:style w:type="paragraph" w:customStyle="1" w:styleId="79">
    <w:name w:val="Nivel 5"/>
    <w:basedOn w:val="78"/>
    <w:qFormat/>
    <w:uiPriority w:val="0"/>
    <w:pPr>
      <w:numPr>
        <w:ilvl w:val="4"/>
      </w:numPr>
      <w:tabs>
        <w:tab w:val="left" w:pos="360"/>
      </w:tabs>
      <w:ind w:left="3348" w:hanging="1080"/>
    </w:pPr>
  </w:style>
  <w:style w:type="character" w:customStyle="1" w:styleId="80">
    <w:name w:val="Nivel 4 Char"/>
    <w:link w:val="78"/>
    <w:qFormat/>
    <w:uiPriority w:val="0"/>
    <w:rPr>
      <w:rFonts w:ascii="Ecofont_Spranq_eco_Sans" w:hAnsi="Ecofont_Spranq_eco_Sans" w:eastAsia="Arial Unicode MS" w:cs="Arial"/>
    </w:rPr>
  </w:style>
  <w:style w:type="paragraph" w:customStyle="1" w:styleId="81">
    <w:name w:val="textbody"/>
    <w:basedOn w:val="1"/>
    <w:qFormat/>
    <w:uiPriority w:val="99"/>
    <w:pPr>
      <w:suppressAutoHyphens w:val="0"/>
      <w:spacing w:before="100" w:beforeAutospacing="1" w:after="100" w:afterAutospacing="1"/>
    </w:pPr>
    <w:rPr>
      <w:szCs w:val="24"/>
      <w:lang w:eastAsia="pt-BR"/>
    </w:rPr>
  </w:style>
  <w:style w:type="character" w:customStyle="1" w:styleId="82">
    <w:name w:val="Menção Pendente1"/>
    <w:semiHidden/>
    <w:unhideWhenUsed/>
    <w:uiPriority w:val="99"/>
    <w:rPr>
      <w:color w:val="605E5C"/>
      <w:shd w:val="clear" w:color="auto" w:fill="E1DFDD"/>
    </w:rPr>
  </w:style>
  <w:style w:type="character" w:customStyle="1" w:styleId="83">
    <w:name w:val="Menção Pendente2"/>
    <w:semiHidden/>
    <w:unhideWhenUsed/>
    <w:qFormat/>
    <w:uiPriority w:val="99"/>
    <w:rPr>
      <w:color w:val="605E5C"/>
      <w:shd w:val="clear" w:color="auto" w:fill="E1DFDD"/>
    </w:rPr>
  </w:style>
  <w:style w:type="character" w:customStyle="1" w:styleId="84">
    <w:name w:val="Recuo de corpo de texto Char"/>
    <w:link w:val="32"/>
    <w:qFormat/>
    <w:uiPriority w:val="0"/>
    <w:rPr>
      <w:rFonts w:ascii="Times New Roman" w:hAnsi="Times New Roman" w:eastAsia="Times New Roman" w:cs="Times New Roman"/>
      <w:sz w:val="24"/>
      <w:szCs w:val="20"/>
      <w:lang w:eastAsia="ar-SA"/>
    </w:rPr>
  </w:style>
  <w:style w:type="character" w:customStyle="1" w:styleId="85">
    <w:name w:val="Recuo de corpo de texto 2 Char"/>
    <w:link w:val="18"/>
    <w:semiHidden/>
    <w:qFormat/>
    <w:uiPriority w:val="0"/>
    <w:rPr>
      <w:rFonts w:ascii="Times New Roman" w:hAnsi="Times New Roman" w:eastAsia="Times New Roman" w:cs="Times New Roman"/>
      <w:sz w:val="24"/>
      <w:szCs w:val="20"/>
      <w:lang w:eastAsia="ar-SA"/>
    </w:rPr>
  </w:style>
  <w:style w:type="paragraph" w:customStyle="1" w:styleId="86">
    <w:name w:val="Recuo de corpo de texto 21"/>
    <w:basedOn w:val="1"/>
    <w:qFormat/>
    <w:uiPriority w:val="0"/>
    <w:pPr>
      <w:ind w:left="360"/>
      <w:jc w:val="both"/>
    </w:pPr>
    <w:rPr>
      <w:lang w:eastAsia="zh-CN"/>
    </w:rPr>
  </w:style>
  <w:style w:type="paragraph" w:customStyle="1" w:styleId="87">
    <w:name w:val="Corpo de texto1"/>
    <w:qFormat/>
    <w:uiPriority w:val="0"/>
    <w:pPr>
      <w:suppressAutoHyphens/>
      <w:jc w:val="center"/>
    </w:pPr>
    <w:rPr>
      <w:rFonts w:ascii="Bookman Old Style" w:hAnsi="Bookman Old Style" w:eastAsia="Times New Roman" w:cs="Bookman Old Style"/>
      <w:color w:val="000000"/>
      <w:sz w:val="24"/>
      <w:lang w:val="en-US" w:eastAsia="zh-CN" w:bidi="ar-SA"/>
    </w:rPr>
  </w:style>
  <w:style w:type="paragraph" w:customStyle="1" w:styleId="88">
    <w:name w:val="Corpo de texto 21"/>
    <w:basedOn w:val="1"/>
    <w:qFormat/>
    <w:uiPriority w:val="0"/>
    <w:pPr>
      <w:jc w:val="both"/>
    </w:pPr>
    <w:rPr>
      <w:b/>
      <w:sz w:val="28"/>
      <w:lang w:eastAsia="zh-CN"/>
    </w:rPr>
  </w:style>
  <w:style w:type="paragraph" w:styleId="89">
    <w:name w:val="No Spacing"/>
    <w:link w:val="90"/>
    <w:qFormat/>
    <w:uiPriority w:val="0"/>
    <w:rPr>
      <w:rFonts w:ascii="Calibri" w:hAnsi="Calibri" w:eastAsia="Calibri" w:cs="Calibri"/>
      <w:sz w:val="22"/>
      <w:szCs w:val="22"/>
      <w:lang w:val="pt-BR" w:eastAsia="pt-BR" w:bidi="ar-SA"/>
    </w:rPr>
  </w:style>
  <w:style w:type="character" w:customStyle="1" w:styleId="90">
    <w:name w:val="Sem Espaçamento Char"/>
    <w:link w:val="89"/>
    <w:qFormat/>
    <w:uiPriority w:val="1"/>
    <w:rPr>
      <w:rFonts w:eastAsia="Calibri"/>
      <w:sz w:val="22"/>
      <w:lang w:eastAsia="pt-BR"/>
    </w:rPr>
  </w:style>
  <w:style w:type="paragraph" w:customStyle="1" w:styleId="91">
    <w:name w:val="texto1"/>
    <w:basedOn w:val="1"/>
    <w:qFormat/>
    <w:uiPriority w:val="99"/>
    <w:pPr>
      <w:suppressAutoHyphens w:val="0"/>
      <w:spacing w:before="100" w:beforeAutospacing="1" w:after="100" w:afterAutospacing="1"/>
    </w:pPr>
    <w:rPr>
      <w:szCs w:val="24"/>
      <w:lang w:eastAsia="pt-BR"/>
    </w:rPr>
  </w:style>
  <w:style w:type="character" w:customStyle="1" w:styleId="92">
    <w:name w:val="Nivel 2 Char"/>
    <w:link w:val="75"/>
    <w:qFormat/>
    <w:uiPriority w:val="0"/>
    <w:rPr>
      <w:rFonts w:ascii="Ecofont_Spranq_eco_Sans" w:hAnsi="Ecofont_Spranq_eco_Sans" w:eastAsia="Arial Unicode MS" w:cs="Times New Roman"/>
    </w:rPr>
  </w:style>
  <w:style w:type="paragraph" w:customStyle="1" w:styleId="93">
    <w:name w:val="dou-paragraph"/>
    <w:basedOn w:val="1"/>
    <w:qFormat/>
    <w:uiPriority w:val="0"/>
    <w:pPr>
      <w:suppressAutoHyphens w:val="0"/>
      <w:spacing w:before="100" w:beforeAutospacing="1" w:after="100" w:afterAutospacing="1"/>
    </w:pPr>
    <w:rPr>
      <w:szCs w:val="24"/>
      <w:lang w:eastAsia="pt-BR"/>
    </w:rPr>
  </w:style>
  <w:style w:type="table" w:customStyle="1" w:styleId="94">
    <w:name w:val="Table Normal"/>
    <w:semiHidden/>
    <w:unhideWhenUsed/>
    <w:qFormat/>
    <w:uiPriority w:val="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95">
    <w:name w:val="Table Paragraph"/>
    <w:basedOn w:val="1"/>
    <w:qFormat/>
    <w:uiPriority w:val="1"/>
    <w:pPr>
      <w:widowControl w:val="0"/>
      <w:suppressAutoHyphens w:val="0"/>
      <w:autoSpaceDE w:val="0"/>
      <w:autoSpaceDN w:val="0"/>
      <w:spacing w:before="2"/>
    </w:pPr>
    <w:rPr>
      <w:rFonts w:ascii="Arial MT" w:hAnsi="Arial MT" w:eastAsia="Arial MT" w:cs="Arial MT"/>
      <w:sz w:val="22"/>
      <w:szCs w:val="22"/>
      <w:lang w:val="pt-PT" w:eastAsia="en-US"/>
    </w:rPr>
  </w:style>
  <w:style w:type="paragraph" w:customStyle="1" w:styleId="96">
    <w:name w:val="font5"/>
    <w:basedOn w:val="1"/>
    <w:uiPriority w:val="0"/>
    <w:pPr>
      <w:suppressAutoHyphens w:val="0"/>
      <w:spacing w:before="100" w:beforeAutospacing="1" w:after="100" w:afterAutospacing="1"/>
    </w:pPr>
    <w:rPr>
      <w:rFonts w:ascii="Arial" w:hAnsi="Arial" w:cs="Arial"/>
      <w:b/>
      <w:bCs/>
      <w:sz w:val="20"/>
      <w:lang w:eastAsia="pt-BR"/>
    </w:rPr>
  </w:style>
  <w:style w:type="paragraph" w:customStyle="1" w:styleId="97">
    <w:name w:val="font6"/>
    <w:basedOn w:val="1"/>
    <w:qFormat/>
    <w:uiPriority w:val="0"/>
    <w:pPr>
      <w:suppressAutoHyphens w:val="0"/>
      <w:spacing w:before="100" w:beforeAutospacing="1" w:after="100" w:afterAutospacing="1"/>
    </w:pPr>
    <w:rPr>
      <w:rFonts w:ascii="Arial MT" w:hAnsi="Arial MT"/>
      <w:sz w:val="14"/>
      <w:szCs w:val="14"/>
      <w:lang w:eastAsia="pt-BR"/>
    </w:rPr>
  </w:style>
  <w:style w:type="paragraph" w:customStyle="1" w:styleId="98">
    <w:name w:val="font7"/>
    <w:basedOn w:val="1"/>
    <w:qFormat/>
    <w:uiPriority w:val="0"/>
    <w:pPr>
      <w:suppressAutoHyphens w:val="0"/>
      <w:spacing w:before="100" w:beforeAutospacing="1" w:after="100" w:afterAutospacing="1"/>
    </w:pPr>
    <w:rPr>
      <w:rFonts w:ascii="Arial MT" w:hAnsi="Arial MT"/>
      <w:sz w:val="16"/>
      <w:szCs w:val="16"/>
      <w:lang w:eastAsia="pt-BR"/>
    </w:rPr>
  </w:style>
  <w:style w:type="paragraph" w:customStyle="1" w:styleId="99">
    <w:name w:val="font8"/>
    <w:basedOn w:val="1"/>
    <w:qFormat/>
    <w:uiPriority w:val="0"/>
    <w:pPr>
      <w:suppressAutoHyphens w:val="0"/>
      <w:spacing w:before="100" w:beforeAutospacing="1" w:after="100" w:afterAutospacing="1"/>
    </w:pPr>
    <w:rPr>
      <w:rFonts w:ascii="Arial" w:hAnsi="Arial" w:cs="Arial"/>
      <w:b/>
      <w:bCs/>
      <w:sz w:val="16"/>
      <w:szCs w:val="16"/>
      <w:lang w:eastAsia="pt-BR"/>
    </w:rPr>
  </w:style>
  <w:style w:type="paragraph" w:customStyle="1" w:styleId="100">
    <w:name w:val="xl65"/>
    <w:basedOn w:val="1"/>
    <w:qFormat/>
    <w:uiPriority w:val="0"/>
    <w:pPr>
      <w:pBdr>
        <w:top w:val="single" w:color="000000" w:sz="4" w:space="0"/>
        <w:left w:val="single" w:color="000000" w:sz="4" w:space="0"/>
        <w:bottom w:val="single" w:color="000000" w:sz="4" w:space="0"/>
        <w:right w:val="single" w:color="000000" w:sz="4" w:space="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101">
    <w:name w:val="xl66"/>
    <w:basedOn w:val="1"/>
    <w:qFormat/>
    <w:uiPriority w:val="0"/>
    <w:pPr>
      <w:pBdr>
        <w:top w:val="single" w:color="000000" w:sz="4" w:space="0"/>
        <w:left w:val="single" w:color="000000" w:sz="4" w:space="0"/>
        <w:bottom w:val="single" w:color="000000" w:sz="4" w:space="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102">
    <w:name w:val="xl67"/>
    <w:basedOn w:val="1"/>
    <w:qFormat/>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rFonts w:ascii="Arial MT" w:hAnsi="Arial MT"/>
      <w:sz w:val="16"/>
      <w:szCs w:val="16"/>
      <w:lang w:eastAsia="pt-BR"/>
    </w:rPr>
  </w:style>
  <w:style w:type="paragraph" w:customStyle="1" w:styleId="103">
    <w:name w:val="xl68"/>
    <w:basedOn w:val="1"/>
    <w:qFormat/>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rFonts w:ascii="Arial MT" w:hAnsi="Arial MT"/>
      <w:sz w:val="16"/>
      <w:szCs w:val="16"/>
      <w:lang w:eastAsia="pt-BR"/>
    </w:rPr>
  </w:style>
  <w:style w:type="paragraph" w:customStyle="1" w:styleId="104">
    <w:name w:val="xl69"/>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05">
    <w:name w:val="xl70"/>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textAlignment w:val="bottom"/>
    </w:pPr>
    <w:rPr>
      <w:szCs w:val="24"/>
      <w:lang w:eastAsia="pt-BR"/>
    </w:rPr>
  </w:style>
  <w:style w:type="paragraph" w:customStyle="1" w:styleId="106">
    <w:name w:val="xl71"/>
    <w:basedOn w:val="1"/>
    <w:uiPriority w:val="0"/>
    <w:pPr>
      <w:pBdr>
        <w:top w:val="single" w:color="000000" w:sz="4" w:space="0"/>
        <w:left w:val="single" w:color="000000" w:sz="4" w:space="0"/>
        <w:bottom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07">
    <w:name w:val="xl72"/>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08">
    <w:name w:val="xl73"/>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textAlignment w:val="center"/>
    </w:pPr>
    <w:rPr>
      <w:szCs w:val="24"/>
      <w:lang w:eastAsia="pt-BR"/>
    </w:rPr>
  </w:style>
  <w:style w:type="paragraph" w:customStyle="1" w:styleId="109">
    <w:name w:val="xl74"/>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szCs w:val="24"/>
      <w:lang w:eastAsia="pt-BR"/>
    </w:rPr>
  </w:style>
  <w:style w:type="paragraph" w:customStyle="1" w:styleId="110">
    <w:name w:val="xl75"/>
    <w:basedOn w:val="1"/>
    <w:uiPriority w:val="0"/>
    <w:pPr>
      <w:pBdr>
        <w:top w:val="single" w:color="000000" w:sz="4" w:space="0"/>
        <w:left w:val="single" w:color="000000" w:sz="4" w:space="0"/>
        <w:bottom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11">
    <w:name w:val="xl76"/>
    <w:basedOn w:val="1"/>
    <w:uiPriority w:val="0"/>
    <w:pPr>
      <w:pBdr>
        <w:top w:val="single" w:color="000000" w:sz="4" w:space="0"/>
        <w:bottom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12">
    <w:name w:val="xl77"/>
    <w:basedOn w:val="1"/>
    <w:uiPriority w:val="0"/>
    <w:pPr>
      <w:pBdr>
        <w:top w:val="single" w:color="000000" w:sz="4" w:space="0"/>
        <w:bottom w:val="single" w:color="000000" w:sz="4" w:space="0"/>
        <w:right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13">
    <w:name w:val="xl78"/>
    <w:basedOn w:val="1"/>
    <w:uiPriority w:val="0"/>
    <w:pPr>
      <w:pBdr>
        <w:top w:val="single" w:color="000000" w:sz="4" w:space="0"/>
        <w:left w:val="single" w:color="000000" w:sz="4" w:space="0"/>
        <w:bottom w:val="single" w:color="000000" w:sz="4" w:space="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114">
    <w:name w:val="xl79"/>
    <w:basedOn w:val="1"/>
    <w:uiPriority w:val="0"/>
    <w:pPr>
      <w:pBdr>
        <w:top w:val="single" w:color="000000" w:sz="4" w:space="0"/>
        <w:left w:val="single" w:color="000000" w:sz="4" w:space="0"/>
        <w:bottom w:val="single" w:color="000000" w:sz="4" w:space="0"/>
      </w:pBdr>
      <w:suppressAutoHyphens w:val="0"/>
      <w:spacing w:before="100" w:beforeAutospacing="1" w:after="100" w:afterAutospacing="1"/>
    </w:pPr>
    <w:rPr>
      <w:rFonts w:ascii="Arial MT" w:hAnsi="Arial MT"/>
      <w:sz w:val="14"/>
      <w:szCs w:val="14"/>
      <w:lang w:eastAsia="pt-BR"/>
    </w:rPr>
  </w:style>
  <w:style w:type="paragraph" w:customStyle="1" w:styleId="115">
    <w:name w:val="xl80"/>
    <w:basedOn w:val="1"/>
    <w:uiPriority w:val="0"/>
    <w:pPr>
      <w:pBdr>
        <w:top w:val="single" w:color="000000" w:sz="4" w:space="0"/>
        <w:left w:val="single" w:color="000000" w:sz="4" w:space="0"/>
        <w:bottom w:val="single" w:color="000000" w:sz="4" w:space="0"/>
      </w:pBdr>
      <w:suppressAutoHyphens w:val="0"/>
      <w:spacing w:before="100" w:beforeAutospacing="1" w:after="100" w:afterAutospacing="1"/>
    </w:pPr>
    <w:rPr>
      <w:szCs w:val="24"/>
      <w:lang w:eastAsia="pt-BR"/>
    </w:rPr>
  </w:style>
  <w:style w:type="paragraph" w:customStyle="1" w:styleId="116">
    <w:name w:val="Grade Colorida - Ênfase 11"/>
    <w:basedOn w:val="1"/>
    <w:next w:val="1"/>
    <w:link w:val="117"/>
    <w:qFormat/>
    <w:uiPriority w:val="29"/>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Arial" w:hAnsi="Arial" w:eastAsia="Calibri"/>
      <w:i/>
      <w:iCs/>
      <w:color w:val="000000"/>
      <w:sz w:val="20"/>
      <w:szCs w:val="24"/>
      <w:lang w:val="zh-CN" w:eastAsia="en-US"/>
    </w:rPr>
  </w:style>
  <w:style w:type="character" w:customStyle="1" w:styleId="117">
    <w:name w:val="Grade Colorida - Ênfase 1 Char"/>
    <w:link w:val="116"/>
    <w:uiPriority w:val="29"/>
    <w:rPr>
      <w:rFonts w:ascii="Arial" w:hAnsi="Arial" w:cs="Times New Roman"/>
      <w:i/>
      <w:iCs/>
      <w:color w:val="000000"/>
      <w:szCs w:val="24"/>
      <w:shd w:val="clear" w:color="auto" w:fill="FFFFCC"/>
      <w:lang w:val="zh-CN" w:eastAsia="en-US"/>
    </w:rPr>
  </w:style>
  <w:style w:type="paragraph" w:customStyle="1" w:styleId="118">
    <w:name w:val="Nivel_01"/>
    <w:basedOn w:val="2"/>
    <w:link w:val="119"/>
    <w:qFormat/>
    <w:uiPriority w:val="0"/>
    <w:pPr>
      <w:tabs>
        <w:tab w:val="left" w:pos="567"/>
      </w:tabs>
      <w:suppressAutoHyphens w:val="0"/>
      <w:jc w:val="both"/>
    </w:pPr>
    <w:rPr>
      <w:rFonts w:ascii="Ecofont_Spranq_eco_Sans" w:hAnsi="Ecofont_Spranq_eco_Sans" w:eastAsia="MS Gothic" w:cs="Times New Roman"/>
      <w:b/>
      <w:bCs/>
      <w:color w:val="auto"/>
      <w:sz w:val="20"/>
      <w:szCs w:val="20"/>
      <w:lang w:eastAsia="pt-BR"/>
    </w:rPr>
  </w:style>
  <w:style w:type="character" w:customStyle="1" w:styleId="119">
    <w:name w:val="Nivel_01 Char"/>
    <w:link w:val="118"/>
    <w:uiPriority w:val="0"/>
    <w:rPr>
      <w:rFonts w:ascii="Ecofont_Spranq_eco_Sans" w:hAnsi="Ecofont_Spranq_eco_Sans" w:eastAsia="MS Gothic" w:cs="Times New Roman"/>
      <w:b/>
      <w:bCs/>
    </w:rPr>
  </w:style>
  <w:style w:type="paragraph" w:customStyle="1" w:styleId="120">
    <w:name w:val="Sombreamento Médio 1 - Ênfase 31"/>
    <w:basedOn w:val="1"/>
    <w:next w:val="1"/>
    <w:uiPriority w:val="99"/>
    <w:pPr>
      <w:pBdr>
        <w:top w:val="single" w:color="000080" w:sz="4" w:space="1"/>
        <w:left w:val="single" w:color="000080" w:sz="4" w:space="4"/>
        <w:bottom w:val="single" w:color="000080" w:sz="4" w:space="1"/>
        <w:right w:val="single" w:color="000080" w:sz="4" w:space="4"/>
      </w:pBdr>
      <w:shd w:val="clear" w:color="auto" w:fill="FFFFCC"/>
      <w:spacing w:before="120"/>
      <w:jc w:val="both"/>
    </w:pPr>
    <w:rPr>
      <w:rFonts w:ascii="Ecofont_Spranq_eco_Sans" w:hAnsi="Ecofont_Spranq_eco_Sans" w:eastAsia="Calibri" w:cs="Tahoma"/>
      <w:i/>
      <w:iCs/>
      <w:color w:val="000000"/>
      <w:sz w:val="20"/>
      <w:szCs w:val="24"/>
      <w:lang w:eastAsia="zh-CN"/>
    </w:rPr>
  </w:style>
  <w:style w:type="character" w:customStyle="1" w:styleId="121">
    <w:name w:val="scayt-misspell-word"/>
    <w:qFormat/>
    <w:uiPriority w:val="0"/>
  </w:style>
  <w:style w:type="character" w:customStyle="1" w:styleId="122">
    <w:name w:val="highlight"/>
    <w:qFormat/>
    <w:uiPriority w:val="0"/>
  </w:style>
  <w:style w:type="character" w:customStyle="1" w:styleId="123">
    <w:name w:val="Mapa do Documento Char"/>
    <w:link w:val="28"/>
    <w:semiHidden/>
    <w:qFormat/>
    <w:uiPriority w:val="0"/>
    <w:rPr>
      <w:rFonts w:ascii="Tahoma" w:hAnsi="Tahoma" w:eastAsia="Times New Roman" w:cs="Times New Roman"/>
      <w:shd w:val="clear" w:color="auto" w:fill="000080"/>
    </w:rPr>
  </w:style>
  <w:style w:type="character" w:customStyle="1" w:styleId="124">
    <w:name w:val="Corpo de texto 2 Char"/>
    <w:link w:val="24"/>
    <w:qFormat/>
    <w:uiPriority w:val="0"/>
    <w:rPr>
      <w:rFonts w:ascii="Times New Roman" w:hAnsi="Times New Roman" w:eastAsia="Times New Roman" w:cs="Times New Roman"/>
      <w:sz w:val="24"/>
    </w:rPr>
  </w:style>
  <w:style w:type="character" w:customStyle="1" w:styleId="125">
    <w:name w:val="Corpo de texto 3 Char"/>
    <w:link w:val="22"/>
    <w:qFormat/>
    <w:uiPriority w:val="0"/>
    <w:rPr>
      <w:rFonts w:ascii="Times New Roman" w:hAnsi="Times New Roman" w:eastAsia="Times New Roman" w:cs="Times New Roman"/>
      <w:sz w:val="24"/>
    </w:rPr>
  </w:style>
  <w:style w:type="paragraph" w:customStyle="1" w:styleId="126">
    <w:name w:val="texto_justificado"/>
    <w:basedOn w:val="1"/>
    <w:qFormat/>
    <w:uiPriority w:val="0"/>
    <w:pPr>
      <w:suppressAutoHyphens w:val="0"/>
      <w:spacing w:before="100" w:beforeAutospacing="1" w:after="100" w:afterAutospacing="1"/>
    </w:pPr>
    <w:rPr>
      <w:szCs w:val="24"/>
      <w:lang w:eastAsia="pt-BR"/>
    </w:rPr>
  </w:style>
  <w:style w:type="paragraph" w:customStyle="1" w:styleId="127">
    <w:name w:val="tabela_texto_centralizado"/>
    <w:basedOn w:val="1"/>
    <w:qFormat/>
    <w:uiPriority w:val="0"/>
    <w:pPr>
      <w:suppressAutoHyphens w:val="0"/>
      <w:spacing w:before="100" w:beforeAutospacing="1" w:after="100" w:afterAutospacing="1"/>
    </w:pPr>
    <w:rPr>
      <w:szCs w:val="24"/>
      <w:lang w:eastAsia="pt-BR"/>
    </w:rPr>
  </w:style>
  <w:style w:type="paragraph" w:customStyle="1" w:styleId="128">
    <w:name w:val="coment1"/>
    <w:basedOn w:val="1"/>
    <w:qFormat/>
    <w:uiPriority w:val="0"/>
    <w:pPr>
      <w:suppressAutoHyphens w:val="0"/>
      <w:spacing w:before="100" w:beforeAutospacing="1" w:after="100" w:afterAutospacing="1"/>
    </w:pPr>
    <w:rPr>
      <w:szCs w:val="24"/>
      <w:lang w:eastAsia="pt-BR"/>
    </w:rPr>
  </w:style>
  <w:style w:type="paragraph" w:customStyle="1" w:styleId="129">
    <w:name w:val="item_nivel2"/>
    <w:basedOn w:val="1"/>
    <w:qFormat/>
    <w:uiPriority w:val="0"/>
    <w:pPr>
      <w:suppressAutoHyphens w:val="0"/>
      <w:spacing w:before="100" w:beforeAutospacing="1" w:after="100" w:afterAutospacing="1"/>
    </w:pPr>
    <w:rPr>
      <w:szCs w:val="24"/>
      <w:lang w:eastAsia="pt-BR"/>
    </w:rPr>
  </w:style>
  <w:style w:type="paragraph" w:customStyle="1" w:styleId="130">
    <w:name w:val="item_nivel3"/>
    <w:basedOn w:val="1"/>
    <w:qFormat/>
    <w:uiPriority w:val="0"/>
    <w:pPr>
      <w:suppressAutoHyphens w:val="0"/>
      <w:spacing w:before="100" w:beforeAutospacing="1" w:after="100" w:afterAutospacing="1"/>
    </w:pPr>
    <w:rPr>
      <w:szCs w:val="24"/>
      <w:lang w:eastAsia="pt-BR"/>
    </w:rPr>
  </w:style>
  <w:style w:type="character" w:customStyle="1" w:styleId="131">
    <w:name w:val="Recuo de corpo de texto 2 Char1"/>
    <w:semiHidden/>
    <w:qFormat/>
    <w:uiPriority w:val="99"/>
  </w:style>
  <w:style w:type="paragraph" w:customStyle="1" w:styleId="132">
    <w:name w:val="Style5"/>
    <w:basedOn w:val="1"/>
    <w:qFormat/>
    <w:uiPriority w:val="99"/>
    <w:pPr>
      <w:widowControl w:val="0"/>
      <w:suppressAutoHyphens w:val="0"/>
      <w:autoSpaceDE w:val="0"/>
      <w:autoSpaceDN w:val="0"/>
      <w:adjustRightInd w:val="0"/>
      <w:spacing w:line="261" w:lineRule="exact"/>
      <w:jc w:val="both"/>
    </w:pPr>
    <w:rPr>
      <w:rFonts w:ascii="Arial Unicode MS" w:hAnsi="Calibri" w:eastAsia="Arial Unicode MS" w:cs="Arial Unicode MS"/>
      <w:szCs w:val="24"/>
      <w:lang w:eastAsia="pt-BR"/>
    </w:rPr>
  </w:style>
  <w:style w:type="character" w:customStyle="1" w:styleId="133">
    <w:name w:val="Font Style13"/>
    <w:qFormat/>
    <w:uiPriority w:val="99"/>
    <w:rPr>
      <w:rFonts w:hint="eastAsia" w:ascii="Arial Unicode MS" w:hAnsi="Arial Unicode MS" w:eastAsia="Arial Unicode MS" w:cs="Arial Unicode MS"/>
      <w:b/>
      <w:bCs/>
      <w:sz w:val="18"/>
      <w:szCs w:val="18"/>
    </w:rPr>
  </w:style>
  <w:style w:type="character" w:customStyle="1" w:styleId="134">
    <w:name w:val="Font Style14"/>
    <w:qFormat/>
    <w:uiPriority w:val="99"/>
    <w:rPr>
      <w:rFonts w:hint="eastAsia" w:ascii="Arial Unicode MS" w:hAnsi="Arial Unicode MS" w:eastAsia="Arial Unicode MS" w:cs="Arial Unicode MS"/>
      <w:sz w:val="18"/>
      <w:szCs w:val="18"/>
    </w:rPr>
  </w:style>
  <w:style w:type="paragraph" w:customStyle="1" w:styleId="135">
    <w:name w:val="font_8"/>
    <w:basedOn w:val="1"/>
    <w:qFormat/>
    <w:uiPriority w:val="0"/>
    <w:pPr>
      <w:suppressAutoHyphens w:val="0"/>
      <w:spacing w:before="100" w:beforeAutospacing="1" w:after="100" w:afterAutospacing="1"/>
    </w:pPr>
    <w:rPr>
      <w:szCs w:val="24"/>
      <w:lang w:eastAsia="pt-BR"/>
    </w:rPr>
  </w:style>
  <w:style w:type="character" w:customStyle="1" w:styleId="136">
    <w:name w:val="color_15"/>
    <w:qFormat/>
    <w:uiPriority w:val="0"/>
  </w:style>
  <w:style w:type="character" w:customStyle="1" w:styleId="137">
    <w:name w:val="wixguard"/>
    <w:qFormat/>
    <w:uiPriority w:val="0"/>
  </w:style>
  <w:style w:type="character" w:customStyle="1" w:styleId="138">
    <w:name w:val="fontstyle01"/>
    <w:qFormat/>
    <w:uiPriority w:val="0"/>
    <w:rPr>
      <w:rFonts w:hint="default" w:ascii="Arial" w:hAnsi="Arial" w:cs="Arial"/>
      <w:color w:val="000000"/>
      <w:sz w:val="20"/>
      <w:szCs w:val="20"/>
    </w:rPr>
  </w:style>
  <w:style w:type="table" w:customStyle="1" w:styleId="139">
    <w:name w:val="Tabela com grade1"/>
    <w:basedOn w:val="8"/>
    <w:qFormat/>
    <w:uiPriority w:val="39"/>
    <w:rPr>
      <w:rFonts w:cs="Arial"/>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
    <w:name w:val="Tabela com grade2"/>
    <w:basedOn w:val="8"/>
    <w:qFormat/>
    <w:uiPriority w:val="59"/>
    <w:rPr>
      <w:rFonts w:cs="Arial"/>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1">
    <w:name w:val="01_Título"/>
    <w:basedOn w:val="2"/>
    <w:link w:val="142"/>
    <w:autoRedefine/>
    <w:qFormat/>
    <w:uiPriority w:val="0"/>
    <w:pPr>
      <w:keepLines w:val="0"/>
      <w:widowControl w:val="0"/>
      <w:shd w:val="clear" w:color="auto" w:fill="FFFFFF"/>
      <w:autoSpaceDN w:val="0"/>
      <w:spacing w:before="0"/>
      <w:jc w:val="both"/>
      <w:textAlignment w:val="baseline"/>
    </w:pPr>
    <w:rPr>
      <w:rFonts w:ascii="Courier New" w:hAnsi="Courier New" w:eastAsia="Times New Roman" w:cs="Courier New"/>
      <w:bCs/>
      <w:caps/>
      <w:color w:val="000000"/>
      <w:kern w:val="36"/>
      <w:sz w:val="20"/>
      <w:szCs w:val="20"/>
      <w:lang w:eastAsia="en-US"/>
    </w:rPr>
  </w:style>
  <w:style w:type="character" w:customStyle="1" w:styleId="142">
    <w:name w:val="01_Título Char"/>
    <w:link w:val="141"/>
    <w:qFormat/>
    <w:uiPriority w:val="0"/>
    <w:rPr>
      <w:rFonts w:ascii="Courier New" w:hAnsi="Courier New" w:eastAsia="Times New Roman" w:cs="Courier New"/>
      <w:bCs/>
      <w:caps/>
      <w:color w:val="000000"/>
      <w:kern w:val="36"/>
      <w:shd w:val="clear" w:color="auto" w:fill="FFFFFF"/>
      <w:lang w:eastAsia="en-US"/>
    </w:rPr>
  </w:style>
  <w:style w:type="paragraph" w:customStyle="1" w:styleId="143">
    <w:name w:val="WW-Lista 2"/>
    <w:basedOn w:val="1"/>
    <w:qFormat/>
    <w:uiPriority w:val="0"/>
    <w:pPr>
      <w:overflowPunct w:val="0"/>
      <w:autoSpaceDE w:val="0"/>
      <w:ind w:left="566" w:hanging="283"/>
      <w:textAlignment w:val="baseline"/>
    </w:pPr>
    <w:rPr>
      <w:lang w:eastAsia="zh-CN"/>
    </w:rPr>
  </w:style>
  <w:style w:type="character" w:customStyle="1" w:styleId="144">
    <w:name w:val="fontstyle21"/>
    <w:qFormat/>
    <w:uiPriority w:val="0"/>
    <w:rPr>
      <w:rFonts w:hint="default" w:ascii="Calibri-Bold" w:hAnsi="Calibri-Bold"/>
      <w:b/>
      <w:bCs/>
      <w:color w:val="000000"/>
      <w:sz w:val="24"/>
      <w:szCs w:val="24"/>
    </w:rPr>
  </w:style>
  <w:style w:type="paragraph" w:customStyle="1" w:styleId="145">
    <w:name w:val="ui-pdp-description__content"/>
    <w:basedOn w:val="1"/>
    <w:qFormat/>
    <w:uiPriority w:val="0"/>
    <w:pPr>
      <w:suppressAutoHyphens w:val="0"/>
      <w:spacing w:before="100" w:beforeAutospacing="1" w:after="100" w:afterAutospacing="1"/>
    </w:pPr>
    <w:rPr>
      <w:szCs w:val="24"/>
      <w:lang w:eastAsia="pt-BR"/>
    </w:rPr>
  </w:style>
  <w:style w:type="character" w:customStyle="1" w:styleId="146">
    <w:name w:val="base"/>
    <w:qFormat/>
    <w:uiPriority w:val="0"/>
  </w:style>
  <w:style w:type="paragraph" w:customStyle="1" w:styleId="147">
    <w:name w:val="msonormal"/>
    <w:basedOn w:val="1"/>
    <w:qFormat/>
    <w:uiPriority w:val="99"/>
    <w:pPr>
      <w:suppressAutoHyphens w:val="0"/>
      <w:spacing w:before="100" w:beforeAutospacing="1" w:after="100" w:afterAutospacing="1"/>
    </w:pPr>
    <w:rPr>
      <w:szCs w:val="24"/>
      <w:lang w:eastAsia="pt-BR"/>
    </w:rPr>
  </w:style>
  <w:style w:type="paragraph" w:customStyle="1" w:styleId="148">
    <w:name w:val="nome"/>
    <w:basedOn w:val="1"/>
    <w:semiHidden/>
    <w:qFormat/>
    <w:uiPriority w:val="99"/>
    <w:pPr>
      <w:suppressAutoHyphens w:val="0"/>
      <w:spacing w:before="100" w:beforeAutospacing="1" w:after="100" w:afterAutospacing="1"/>
    </w:pPr>
    <w:rPr>
      <w:szCs w:val="24"/>
      <w:lang w:eastAsia="pt-BR"/>
    </w:rPr>
  </w:style>
  <w:style w:type="character" w:customStyle="1" w:styleId="149">
    <w:name w:val="Estilo1 Char"/>
    <w:semiHidden/>
    <w:qFormat/>
    <w:locked/>
    <w:uiPriority w:val="0"/>
    <w:rPr>
      <w:rFonts w:ascii="Arial" w:hAnsi="Arial" w:eastAsia="Times New Roman" w:cs="Arial"/>
      <w:b/>
      <w:bCs/>
      <w:caps/>
      <w:color w:val="5B5B5B"/>
      <w:spacing w:val="4"/>
      <w:sz w:val="33"/>
      <w:szCs w:val="33"/>
      <w:shd w:val="clear" w:color="auto" w:fill="FFFFFF"/>
      <w:lang w:val="pt-PT" w:eastAsia="ar-SA"/>
    </w:rPr>
  </w:style>
  <w:style w:type="paragraph" w:customStyle="1" w:styleId="150">
    <w:name w:val="xl63"/>
    <w:basedOn w:val="1"/>
    <w:qFormat/>
    <w:uiPriority w:val="0"/>
    <w:pPr>
      <w:suppressAutoHyphens w:val="0"/>
      <w:spacing w:before="100" w:beforeAutospacing="1" w:after="100" w:afterAutospacing="1"/>
    </w:pPr>
    <w:rPr>
      <w:sz w:val="20"/>
      <w:lang w:eastAsia="pt-BR"/>
    </w:rPr>
  </w:style>
  <w:style w:type="paragraph" w:customStyle="1" w:styleId="151">
    <w:name w:val="xl64"/>
    <w:basedOn w:val="1"/>
    <w:qFormat/>
    <w:uiPriority w:val="0"/>
    <w:pPr>
      <w:suppressAutoHyphens w:val="0"/>
      <w:spacing w:before="100" w:beforeAutospacing="1" w:after="100" w:afterAutospacing="1"/>
      <w:jc w:val="center"/>
    </w:pPr>
    <w:rPr>
      <w:sz w:val="20"/>
      <w:lang w:eastAsia="pt-BR"/>
    </w:rPr>
  </w:style>
  <w:style w:type="paragraph" w:customStyle="1" w:styleId="152">
    <w:name w:val="xl81"/>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53">
    <w:name w:val="xl82"/>
    <w:basedOn w:val="1"/>
    <w:qFormat/>
    <w:uiPriority w:val="0"/>
    <w:pPr>
      <w:pBdr>
        <w:top w:val="single" w:color="auto" w:sz="8" w:space="0"/>
        <w:left w:val="single" w:color="auto" w:sz="4" w:space="0"/>
        <w:bottom w:val="single" w:color="auto" w:sz="4"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54">
    <w:name w:val="xl83"/>
    <w:basedOn w:val="1"/>
    <w:qFormat/>
    <w:uiPriority w:val="0"/>
    <w:pPr>
      <w:pBdr>
        <w:top w:val="single" w:color="auto" w:sz="4" w:space="0"/>
        <w:left w:val="single" w:color="auto" w:sz="8" w:space="0"/>
        <w:bottom w:val="single" w:color="auto" w:sz="4" w:space="0"/>
        <w:right w:val="single" w:color="auto" w:sz="4" w:space="0"/>
      </w:pBdr>
      <w:suppressAutoHyphens w:val="0"/>
      <w:spacing w:before="100" w:beforeAutospacing="1" w:after="100" w:afterAutospacing="1"/>
      <w:jc w:val="center"/>
    </w:pPr>
    <w:rPr>
      <w:sz w:val="20"/>
      <w:lang w:eastAsia="pt-BR"/>
    </w:rPr>
  </w:style>
  <w:style w:type="paragraph" w:customStyle="1" w:styleId="155">
    <w:name w:val="xl84"/>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56">
    <w:name w:val="xl85"/>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color w:val="000000"/>
      <w:szCs w:val="24"/>
      <w:lang w:eastAsia="pt-BR"/>
    </w:rPr>
  </w:style>
  <w:style w:type="paragraph" w:customStyle="1" w:styleId="157">
    <w:name w:val="xl86"/>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b/>
      <w:bCs/>
      <w:color w:val="000000"/>
      <w:szCs w:val="24"/>
      <w:lang w:eastAsia="pt-BR"/>
    </w:rPr>
  </w:style>
  <w:style w:type="paragraph" w:customStyle="1" w:styleId="158">
    <w:name w:val="xl87"/>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b/>
      <w:bCs/>
      <w:color w:val="000000"/>
      <w:szCs w:val="24"/>
      <w:lang w:eastAsia="pt-BR"/>
    </w:rPr>
  </w:style>
  <w:style w:type="paragraph" w:customStyle="1" w:styleId="159">
    <w:name w:val="xl88"/>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szCs w:val="24"/>
      <w:lang w:eastAsia="pt-BR"/>
    </w:rPr>
  </w:style>
  <w:style w:type="paragraph" w:customStyle="1" w:styleId="160">
    <w:name w:val="xl89"/>
    <w:basedOn w:val="1"/>
    <w:qFormat/>
    <w:uiPriority w:val="0"/>
    <w:pPr>
      <w:pBdr>
        <w:top w:val="single" w:color="auto" w:sz="4" w:space="0"/>
        <w:left w:val="single" w:color="auto" w:sz="4" w:space="0"/>
        <w:bottom w:val="single" w:color="auto" w:sz="8" w:space="0"/>
        <w:right w:val="single" w:color="auto" w:sz="4" w:space="0"/>
      </w:pBdr>
      <w:shd w:val="clear" w:color="auto" w:fill="00B050"/>
      <w:suppressAutoHyphens w:val="0"/>
      <w:spacing w:before="100" w:beforeAutospacing="1" w:after="100" w:afterAutospacing="1"/>
      <w:jc w:val="center"/>
    </w:pPr>
    <w:rPr>
      <w:sz w:val="20"/>
      <w:lang w:eastAsia="pt-BR"/>
    </w:rPr>
  </w:style>
  <w:style w:type="paragraph" w:customStyle="1" w:styleId="161">
    <w:name w:val="xl90"/>
    <w:basedOn w:val="1"/>
    <w:qFormat/>
    <w:uiPriority w:val="0"/>
    <w:pPr>
      <w:pBdr>
        <w:top w:val="single" w:color="auto" w:sz="4" w:space="0"/>
        <w:left w:val="single" w:color="auto" w:sz="4" w:space="0"/>
        <w:bottom w:val="single" w:color="auto" w:sz="8" w:space="0"/>
        <w:right w:val="single" w:color="auto" w:sz="4" w:space="0"/>
      </w:pBdr>
      <w:shd w:val="clear" w:color="auto" w:fill="00B0F0"/>
      <w:suppressAutoHyphens w:val="0"/>
      <w:spacing w:before="100" w:beforeAutospacing="1" w:after="100" w:afterAutospacing="1"/>
      <w:jc w:val="center"/>
    </w:pPr>
    <w:rPr>
      <w:sz w:val="20"/>
      <w:lang w:eastAsia="pt-BR"/>
    </w:rPr>
  </w:style>
  <w:style w:type="paragraph" w:customStyle="1" w:styleId="162">
    <w:name w:val="xl91"/>
    <w:basedOn w:val="1"/>
    <w:qFormat/>
    <w:uiPriority w:val="0"/>
    <w:pPr>
      <w:pBdr>
        <w:top w:val="single" w:color="auto" w:sz="8" w:space="0"/>
        <w:left w:val="single" w:color="auto" w:sz="4" w:space="0"/>
        <w:bottom w:val="single" w:color="auto" w:sz="4"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63">
    <w:name w:val="xl92"/>
    <w:basedOn w:val="1"/>
    <w:qFormat/>
    <w:uiPriority w:val="0"/>
    <w:pPr>
      <w:pBdr>
        <w:top w:val="single" w:color="auto" w:sz="4" w:space="0"/>
        <w:left w:val="single" w:color="auto" w:sz="4" w:space="0"/>
        <w:bottom w:val="single" w:color="auto" w:sz="4"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64">
    <w:name w:val="xl93"/>
    <w:basedOn w:val="1"/>
    <w:qFormat/>
    <w:uiPriority w:val="0"/>
    <w:pPr>
      <w:pBdr>
        <w:top w:val="single" w:color="auto" w:sz="4" w:space="0"/>
        <w:left w:val="single" w:color="auto" w:sz="8" w:space="0"/>
        <w:bottom w:val="single" w:color="auto" w:sz="8" w:space="0"/>
        <w:right w:val="single" w:color="auto" w:sz="4" w:space="0"/>
      </w:pBdr>
      <w:suppressAutoHyphens w:val="0"/>
      <w:spacing w:before="100" w:beforeAutospacing="1" w:after="100" w:afterAutospacing="1"/>
      <w:jc w:val="center"/>
    </w:pPr>
    <w:rPr>
      <w:sz w:val="20"/>
      <w:lang w:eastAsia="pt-BR"/>
    </w:rPr>
  </w:style>
  <w:style w:type="paragraph" w:customStyle="1" w:styleId="165">
    <w:name w:val="xl94"/>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szCs w:val="24"/>
      <w:lang w:eastAsia="pt-BR"/>
    </w:rPr>
  </w:style>
  <w:style w:type="paragraph" w:customStyle="1" w:styleId="166">
    <w:name w:val="xl95"/>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sz w:val="20"/>
      <w:lang w:eastAsia="pt-BR"/>
    </w:rPr>
  </w:style>
  <w:style w:type="paragraph" w:customStyle="1" w:styleId="167">
    <w:name w:val="xl96"/>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paragraph" w:customStyle="1" w:styleId="168">
    <w:name w:val="xl97"/>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paragraph" w:customStyle="1" w:styleId="169">
    <w:name w:val="xl98"/>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 w:val="20"/>
      <w:lang w:eastAsia="pt-BR"/>
    </w:rPr>
  </w:style>
  <w:style w:type="paragraph" w:customStyle="1" w:styleId="170">
    <w:name w:val="xl99"/>
    <w:basedOn w:val="1"/>
    <w:semiHidden/>
    <w:qFormat/>
    <w:uiPriority w:val="99"/>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 w:val="20"/>
      <w:lang w:eastAsia="pt-BR"/>
    </w:rPr>
  </w:style>
  <w:style w:type="paragraph" w:customStyle="1" w:styleId="171">
    <w:name w:val="xl100"/>
    <w:basedOn w:val="1"/>
    <w:semiHidden/>
    <w:qFormat/>
    <w:uiPriority w:val="99"/>
    <w:pPr>
      <w:pBdr>
        <w:top w:val="single" w:color="auto" w:sz="4" w:space="0"/>
        <w:left w:val="single" w:color="auto" w:sz="4" w:space="0"/>
        <w:bottom w:val="single" w:color="auto" w:sz="8"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72">
    <w:name w:val="xl101"/>
    <w:basedOn w:val="1"/>
    <w:semiHidden/>
    <w:qFormat/>
    <w:uiPriority w:val="99"/>
    <w:pPr>
      <w:pBdr>
        <w:top w:val="single" w:color="auto" w:sz="4" w:space="0"/>
        <w:left w:val="single" w:color="auto" w:sz="4" w:space="0"/>
        <w:bottom w:val="single" w:color="auto" w:sz="8"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73">
    <w:name w:val="xl102"/>
    <w:basedOn w:val="1"/>
    <w:semiHidden/>
    <w:qFormat/>
    <w:uiPriority w:val="99"/>
    <w:pPr>
      <w:pBdr>
        <w:top w:val="single" w:color="auto" w:sz="4" w:space="0"/>
        <w:left w:val="single" w:color="auto" w:sz="4" w:space="0"/>
        <w:bottom w:val="single" w:color="auto" w:sz="8"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74">
    <w:name w:val="xl103"/>
    <w:basedOn w:val="1"/>
    <w:semiHidden/>
    <w:qFormat/>
    <w:uiPriority w:val="99"/>
    <w:pPr>
      <w:pBdr>
        <w:top w:val="single" w:color="auto" w:sz="8"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75">
    <w:name w:val="xl104"/>
    <w:basedOn w:val="1"/>
    <w:semiHidden/>
    <w:qFormat/>
    <w:uiPriority w:val="99"/>
    <w:pPr>
      <w:pBdr>
        <w:top w:val="single" w:color="auto" w:sz="4" w:space="0"/>
        <w:left w:val="single" w:color="auto" w:sz="4" w:space="0"/>
        <w:bottom w:val="single" w:color="auto" w:sz="8"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76">
    <w:name w:val="xl105"/>
    <w:basedOn w:val="1"/>
    <w:semiHidden/>
    <w:qFormat/>
    <w:uiPriority w:val="99"/>
    <w:pPr>
      <w:pBdr>
        <w:top w:val="single" w:color="auto" w:sz="8"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77">
    <w:name w:val="xl106"/>
    <w:basedOn w:val="1"/>
    <w:semiHidden/>
    <w:qFormat/>
    <w:uiPriority w:val="99"/>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character" w:customStyle="1" w:styleId="178">
    <w:name w:val="tex3b"/>
    <w:qFormat/>
    <w:uiPriority w:val="0"/>
  </w:style>
  <w:style w:type="character" w:customStyle="1" w:styleId="179">
    <w:name w:val="tex3"/>
    <w:qFormat/>
    <w:uiPriority w:val="0"/>
  </w:style>
  <w:style w:type="character" w:customStyle="1" w:styleId="180">
    <w:name w:val="Pré-formatação HTML Char"/>
    <w:link w:val="23"/>
    <w:qFormat/>
    <w:uiPriority w:val="99"/>
    <w:rPr>
      <w:rFonts w:ascii="Courier New" w:hAnsi="Courier New" w:eastAsia="Times New Roman" w:cs="Courier New"/>
    </w:rPr>
  </w:style>
  <w:style w:type="character" w:customStyle="1" w:styleId="181">
    <w:name w:val="Título 6 Char"/>
    <w:link w:val="6"/>
    <w:semiHidden/>
    <w:qFormat/>
    <w:uiPriority w:val="9"/>
    <w:rPr>
      <w:rFonts w:eastAsia="MS Gothic" w:cs="Times New Roman"/>
      <w:color w:val="243F60"/>
      <w:sz w:val="22"/>
      <w:szCs w:val="22"/>
      <w:lang w:eastAsia="en-US"/>
    </w:rPr>
  </w:style>
  <w:style w:type="paragraph" w:customStyle="1" w:styleId="182">
    <w:name w:val="Nota explicativa"/>
    <w:basedOn w:val="53"/>
    <w:link w:val="183"/>
    <w:qFormat/>
    <w:uiPriority w:val="0"/>
    <w:rPr>
      <w:szCs w:val="20"/>
    </w:rPr>
  </w:style>
  <w:style w:type="character" w:customStyle="1" w:styleId="183">
    <w:name w:val="Nota explicativa Char"/>
    <w:link w:val="182"/>
    <w:qFormat/>
    <w:uiPriority w:val="0"/>
    <w:rPr>
      <w:rFonts w:ascii="Arial" w:hAnsi="Arial" w:cs="Tahoma"/>
      <w:i/>
      <w:iCs/>
      <w:color w:val="000000"/>
      <w:shd w:val="clear" w:color="auto" w:fill="FFFFCC"/>
      <w:lang w:eastAsia="en-US"/>
    </w:rPr>
  </w:style>
  <w:style w:type="paragraph" w:customStyle="1" w:styleId="184">
    <w:name w:val="em_0020ementa"/>
    <w:basedOn w:val="1"/>
    <w:qFormat/>
    <w:uiPriority w:val="99"/>
    <w:pPr>
      <w:suppressAutoHyphens w:val="0"/>
      <w:ind w:left="4160"/>
      <w:jc w:val="both"/>
    </w:pPr>
    <w:rPr>
      <w:sz w:val="28"/>
      <w:szCs w:val="28"/>
      <w:lang w:eastAsia="pt-BR"/>
    </w:rPr>
  </w:style>
  <w:style w:type="character" w:customStyle="1" w:styleId="185">
    <w:name w:val="cp_0020corpodespacho__char1"/>
    <w:qFormat/>
    <w:uiPriority w:val="0"/>
    <w:rPr>
      <w:rFonts w:hint="default" w:ascii="Times New Roman" w:hAnsi="Times New Roman" w:cs="Times New Roman"/>
      <w:sz w:val="26"/>
      <w:szCs w:val="26"/>
      <w:u w:val="none"/>
    </w:rPr>
  </w:style>
  <w:style w:type="character" w:customStyle="1" w:styleId="186">
    <w:name w:val="em_0020ementa__char1"/>
    <w:qFormat/>
    <w:uiPriority w:val="0"/>
    <w:rPr>
      <w:rFonts w:hint="default" w:ascii="Times New Roman" w:hAnsi="Times New Roman" w:cs="Times New Roman"/>
      <w:sz w:val="28"/>
      <w:szCs w:val="28"/>
      <w:u w:val="none"/>
    </w:rPr>
  </w:style>
  <w:style w:type="paragraph" w:customStyle="1" w:styleId="187">
    <w:name w:val="Revisão1"/>
    <w:hidden/>
    <w:semiHidden/>
    <w:qFormat/>
    <w:uiPriority w:val="99"/>
    <w:rPr>
      <w:rFonts w:ascii="Ecofont_Spranq_eco_Sans" w:hAnsi="Ecofont_Spranq_eco_Sans" w:eastAsia="Times New Roman" w:cs="Tahoma"/>
      <w:sz w:val="24"/>
      <w:szCs w:val="24"/>
      <w:lang w:val="pt-BR" w:eastAsia="pt-BR" w:bidi="ar-SA"/>
    </w:rPr>
  </w:style>
  <w:style w:type="character" w:customStyle="1" w:styleId="188">
    <w:name w:val="Manoel"/>
    <w:qFormat/>
    <w:uiPriority w:val="0"/>
    <w:rPr>
      <w:rFonts w:ascii="Arial" w:hAnsi="Arial" w:cs="Arial"/>
      <w:color w:val="7030A0"/>
      <w:sz w:val="20"/>
    </w:rPr>
  </w:style>
  <w:style w:type="character" w:customStyle="1" w:styleId="189">
    <w:name w:val="ListLabel 12"/>
    <w:qFormat/>
    <w:uiPriority w:val="0"/>
    <w:rPr>
      <w:b/>
    </w:rPr>
  </w:style>
  <w:style w:type="paragraph" w:customStyle="1" w:styleId="190">
    <w:name w:val="x_western"/>
    <w:basedOn w:val="1"/>
    <w:qFormat/>
    <w:uiPriority w:val="99"/>
    <w:pPr>
      <w:suppressAutoHyphens w:val="0"/>
      <w:spacing w:before="100" w:beforeAutospacing="1" w:after="100" w:afterAutospacing="1"/>
    </w:pPr>
    <w:rPr>
      <w:szCs w:val="24"/>
      <w:lang w:eastAsia="pt-BR"/>
    </w:rPr>
  </w:style>
  <w:style w:type="paragraph" w:customStyle="1" w:styleId="191">
    <w:name w:val="TCU - Ac - item 9 - §§_0"/>
    <w:basedOn w:val="1"/>
    <w:qFormat/>
    <w:uiPriority w:val="99"/>
    <w:pPr>
      <w:suppressAutoHyphens w:val="0"/>
      <w:ind w:firstLine="1134"/>
      <w:jc w:val="both"/>
    </w:pPr>
    <w:rPr>
      <w:szCs w:val="22"/>
      <w:lang w:eastAsia="en-US"/>
    </w:rPr>
  </w:style>
  <w:style w:type="paragraph" w:customStyle="1" w:styleId="192">
    <w:name w:val="Normal_1"/>
    <w:qFormat/>
    <w:uiPriority w:val="99"/>
    <w:rPr>
      <w:rFonts w:ascii="Times New Roman" w:hAnsi="Times New Roman" w:eastAsia="Times New Roman" w:cs="Times New Roman"/>
      <w:sz w:val="24"/>
      <w:szCs w:val="22"/>
      <w:lang w:val="pt-BR" w:eastAsia="en-US" w:bidi="ar-SA"/>
    </w:rPr>
  </w:style>
  <w:style w:type="paragraph" w:customStyle="1" w:styleId="193">
    <w:name w:val="tcu_-__ac_-_item_9_-_1ª_linha"/>
    <w:basedOn w:val="1"/>
    <w:qFormat/>
    <w:uiPriority w:val="99"/>
    <w:pPr>
      <w:suppressAutoHyphens w:val="0"/>
      <w:spacing w:before="100" w:beforeAutospacing="1" w:after="100" w:afterAutospacing="1"/>
    </w:pPr>
    <w:rPr>
      <w:szCs w:val="24"/>
      <w:lang w:eastAsia="pt-BR"/>
    </w:rPr>
  </w:style>
  <w:style w:type="paragraph" w:customStyle="1" w:styleId="194">
    <w:name w:val="texto_justificado_recuo_primeira_linha"/>
    <w:basedOn w:val="1"/>
    <w:qFormat/>
    <w:uiPriority w:val="99"/>
    <w:pPr>
      <w:suppressAutoHyphens w:val="0"/>
      <w:spacing w:before="100" w:beforeAutospacing="1" w:after="100" w:afterAutospacing="1"/>
    </w:pPr>
    <w:rPr>
      <w:szCs w:val="24"/>
      <w:lang w:eastAsia="pt-BR"/>
    </w:rPr>
  </w:style>
  <w:style w:type="character" w:customStyle="1" w:styleId="195">
    <w:name w:val="Menção Pendente21"/>
    <w:semiHidden/>
    <w:unhideWhenUsed/>
    <w:qFormat/>
    <w:uiPriority w:val="99"/>
    <w:rPr>
      <w:color w:val="605E5C"/>
      <w:shd w:val="clear" w:color="auto" w:fill="E1DFDD"/>
    </w:rPr>
  </w:style>
  <w:style w:type="paragraph" w:customStyle="1" w:styleId="196">
    <w:name w:val="Nível 2 Opcional"/>
    <w:basedOn w:val="75"/>
    <w:link w:val="198"/>
    <w:qFormat/>
    <w:uiPriority w:val="0"/>
    <w:pPr>
      <w:numPr>
        <w:ilvl w:val="0"/>
        <w:numId w:val="0"/>
      </w:numPr>
      <w:ind w:left="432" w:hanging="432"/>
    </w:pPr>
    <w:rPr>
      <w:rFonts w:ascii="Arial" w:hAnsi="Arial" w:eastAsia="Times New Roman" w:cs="Arial"/>
      <w:i/>
      <w:color w:val="FF0000"/>
    </w:rPr>
  </w:style>
  <w:style w:type="paragraph" w:customStyle="1" w:styleId="197">
    <w:name w:val="Nível 3 Opcional"/>
    <w:basedOn w:val="77"/>
    <w:link w:val="199"/>
    <w:qFormat/>
    <w:uiPriority w:val="0"/>
    <w:pPr>
      <w:numPr>
        <w:ilvl w:val="0"/>
        <w:numId w:val="0"/>
      </w:numPr>
      <w:ind w:left="1072" w:hanging="504"/>
    </w:pPr>
    <w:rPr>
      <w:rFonts w:ascii="Arial" w:hAnsi="Arial" w:eastAsia="Times New Roman"/>
      <w:i/>
      <w:iCs/>
      <w:color w:val="FF0000"/>
    </w:rPr>
  </w:style>
  <w:style w:type="character" w:customStyle="1" w:styleId="198">
    <w:name w:val="Nível 2 Opcional Char"/>
    <w:link w:val="196"/>
    <w:qFormat/>
    <w:uiPriority w:val="0"/>
    <w:rPr>
      <w:rFonts w:ascii="Arial" w:hAnsi="Arial" w:eastAsia="Times New Roman" w:cs="Arial"/>
      <w:i/>
      <w:color w:val="FF0000"/>
    </w:rPr>
  </w:style>
  <w:style w:type="character" w:customStyle="1" w:styleId="199">
    <w:name w:val="Nível 3 Opcional Char"/>
    <w:link w:val="197"/>
    <w:qFormat/>
    <w:uiPriority w:val="0"/>
    <w:rPr>
      <w:rFonts w:ascii="Arial" w:hAnsi="Arial" w:eastAsia="Times New Roman" w:cs="Arial"/>
      <w:i/>
      <w:iCs/>
      <w:color w:val="FF0000"/>
    </w:rPr>
  </w:style>
  <w:style w:type="character" w:styleId="200">
    <w:name w:val="Placeholder Text"/>
    <w:semiHidden/>
    <w:qFormat/>
    <w:uiPriority w:val="67"/>
    <w:rPr>
      <w:color w:val="808080"/>
    </w:rPr>
  </w:style>
  <w:style w:type="character" w:customStyle="1" w:styleId="201">
    <w:name w:val="Parágrafo da Lista Char"/>
    <w:link w:val="44"/>
    <w:qFormat/>
    <w:uiPriority w:val="34"/>
    <w:rPr>
      <w:rFonts w:ascii="Times New Roman" w:hAnsi="Times New Roman" w:eastAsia="Times New Roman" w:cs="Times New Roman"/>
      <w:sz w:val="24"/>
      <w:lang w:eastAsia="ar-SA"/>
    </w:rPr>
  </w:style>
  <w:style w:type="paragraph" w:customStyle="1" w:styleId="202">
    <w:name w:val="corpo"/>
    <w:basedOn w:val="1"/>
    <w:qFormat/>
    <w:uiPriority w:val="99"/>
    <w:pPr>
      <w:suppressAutoHyphens w:val="0"/>
      <w:spacing w:before="100" w:beforeAutospacing="1" w:after="100" w:afterAutospacing="1"/>
    </w:pPr>
    <w:rPr>
      <w:szCs w:val="24"/>
      <w:lang w:eastAsia="pt-BR"/>
    </w:rPr>
  </w:style>
  <w:style w:type="paragraph" w:customStyle="1" w:styleId="203">
    <w:name w:val="item_nivel1"/>
    <w:basedOn w:val="1"/>
    <w:qFormat/>
    <w:uiPriority w:val="99"/>
    <w:pPr>
      <w:suppressAutoHyphens w:val="0"/>
      <w:spacing w:before="100" w:beforeAutospacing="1" w:after="100" w:afterAutospacing="1"/>
    </w:pPr>
    <w:rPr>
      <w:szCs w:val="24"/>
      <w:lang w:eastAsia="pt-BR"/>
    </w:rPr>
  </w:style>
  <w:style w:type="paragraph" w:customStyle="1" w:styleId="204">
    <w:name w:val="item_alinea_letra"/>
    <w:basedOn w:val="1"/>
    <w:qFormat/>
    <w:uiPriority w:val="99"/>
    <w:pPr>
      <w:suppressAutoHyphens w:val="0"/>
      <w:spacing w:before="100" w:beforeAutospacing="1" w:after="100" w:afterAutospacing="1"/>
    </w:pPr>
    <w:rPr>
      <w:szCs w:val="24"/>
      <w:lang w:eastAsia="pt-BR"/>
    </w:rPr>
  </w:style>
  <w:style w:type="character" w:customStyle="1" w:styleId="205">
    <w:name w:val="markedcontent"/>
    <w:basedOn w:val="7"/>
    <w:qFormat/>
    <w:uiPriority w:val="0"/>
  </w:style>
  <w:style w:type="paragraph" w:customStyle="1" w:styleId="206">
    <w:name w:val="Standard"/>
    <w:qFormat/>
    <w:uiPriority w:val="0"/>
    <w:pPr>
      <w:suppressAutoHyphens/>
      <w:autoSpaceDN w:val="0"/>
    </w:pPr>
    <w:rPr>
      <w:rFonts w:ascii="Liberation Serif" w:hAnsi="Liberation Serif" w:eastAsia="NSimSun" w:cs="Lucida Sans"/>
      <w:kern w:val="3"/>
      <w:sz w:val="24"/>
      <w:szCs w:val="24"/>
      <w:lang w:val="pt-BR" w:eastAsia="zh-CN" w:bidi="hi-IN"/>
    </w:rPr>
  </w:style>
  <w:style w:type="paragraph" w:customStyle="1" w:styleId="207">
    <w:name w:val="Text body"/>
    <w:basedOn w:val="206"/>
    <w:qFormat/>
    <w:uiPriority w:val="99"/>
    <w:pPr>
      <w:spacing w:after="140" w:line="276" w:lineRule="auto"/>
    </w:pPr>
  </w:style>
  <w:style w:type="character" w:customStyle="1" w:styleId="208">
    <w:name w:val="Menção Pendente3"/>
    <w:semiHidden/>
    <w:unhideWhenUsed/>
    <w:qFormat/>
    <w:uiPriority w:val="99"/>
    <w:rPr>
      <w:color w:val="605E5C"/>
      <w:shd w:val="clear" w:color="auto" w:fill="E1DFDD"/>
    </w:rPr>
  </w:style>
  <w:style w:type="character" w:customStyle="1" w:styleId="209">
    <w:name w:val="Menção Pendente4"/>
    <w:semiHidden/>
    <w:unhideWhenUsed/>
    <w:qFormat/>
    <w:uiPriority w:val="99"/>
    <w:rPr>
      <w:color w:val="605E5C"/>
      <w:shd w:val="clear" w:color="auto" w:fill="E1DFDD"/>
    </w:rPr>
  </w:style>
  <w:style w:type="paragraph" w:customStyle="1" w:styleId="210">
    <w:name w:val="ou"/>
    <w:basedOn w:val="44"/>
    <w:link w:val="211"/>
    <w:qFormat/>
    <w:uiPriority w:val="0"/>
    <w:pPr>
      <w:suppressAutoHyphens w:val="0"/>
      <w:spacing w:before="60" w:after="60" w:line="259" w:lineRule="auto"/>
      <w:ind w:left="0"/>
      <w:contextualSpacing w:val="0"/>
      <w:jc w:val="center"/>
    </w:pPr>
    <w:rPr>
      <w:rFonts w:ascii="Arial" w:hAnsi="Arial" w:eastAsia="Cambria" w:cs="Arial"/>
      <w:b/>
      <w:bCs/>
      <w:i/>
      <w:iCs/>
      <w:color w:val="FF0000"/>
      <w:szCs w:val="24"/>
      <w:u w:val="single"/>
      <w:lang w:eastAsia="pt-BR"/>
    </w:rPr>
  </w:style>
  <w:style w:type="character" w:customStyle="1" w:styleId="211">
    <w:name w:val="ou Char"/>
    <w:link w:val="210"/>
    <w:qFormat/>
    <w:uiPriority w:val="0"/>
    <w:rPr>
      <w:rFonts w:ascii="Arial" w:hAnsi="Arial" w:eastAsia="Cambria" w:cs="Arial"/>
      <w:b/>
      <w:bCs/>
      <w:i/>
      <w:iCs/>
      <w:color w:val="FF0000"/>
      <w:sz w:val="24"/>
      <w:szCs w:val="24"/>
      <w:u w:val="single"/>
    </w:rPr>
  </w:style>
  <w:style w:type="paragraph" w:customStyle="1" w:styleId="212">
    <w:name w:val="Nível 2 -Red"/>
    <w:basedOn w:val="75"/>
    <w:link w:val="214"/>
    <w:qFormat/>
    <w:uiPriority w:val="0"/>
    <w:pPr>
      <w:numPr>
        <w:numId w:val="2"/>
      </w:numPr>
      <w:ind w:left="0" w:firstLine="0"/>
    </w:pPr>
    <w:rPr>
      <w:rFonts w:ascii="Arial" w:hAnsi="Arial" w:eastAsia="MS Mincho" w:cs="Arial"/>
      <w:i/>
      <w:iCs/>
      <w:color w:val="FF0000"/>
    </w:rPr>
  </w:style>
  <w:style w:type="paragraph" w:customStyle="1" w:styleId="213">
    <w:name w:val="Nível 3-R"/>
    <w:basedOn w:val="77"/>
    <w:link w:val="217"/>
    <w:qFormat/>
    <w:uiPriority w:val="0"/>
    <w:pPr>
      <w:numPr>
        <w:numId w:val="2"/>
      </w:numPr>
      <w:ind w:left="284" w:firstLine="0"/>
    </w:pPr>
    <w:rPr>
      <w:rFonts w:ascii="Arial" w:hAnsi="Arial" w:eastAsia="MS Mincho"/>
      <w:i/>
      <w:iCs/>
      <w:color w:val="FF0000"/>
    </w:rPr>
  </w:style>
  <w:style w:type="character" w:customStyle="1" w:styleId="214">
    <w:name w:val="Nível 2 -Red Char"/>
    <w:link w:val="212"/>
    <w:qFormat/>
    <w:uiPriority w:val="0"/>
    <w:rPr>
      <w:rFonts w:ascii="Arial" w:hAnsi="Arial" w:eastAsia="MS Mincho" w:cs="Arial"/>
      <w:i/>
      <w:iCs/>
      <w:color w:val="FF0000"/>
    </w:rPr>
  </w:style>
  <w:style w:type="paragraph" w:customStyle="1" w:styleId="215">
    <w:name w:val="Nível 4-R"/>
    <w:basedOn w:val="78"/>
    <w:link w:val="219"/>
    <w:qFormat/>
    <w:uiPriority w:val="0"/>
    <w:pPr>
      <w:numPr>
        <w:numId w:val="2"/>
      </w:numPr>
      <w:ind w:left="567" w:firstLine="0"/>
    </w:pPr>
    <w:rPr>
      <w:rFonts w:ascii="Arial" w:hAnsi="Arial" w:eastAsia="MS Mincho"/>
      <w:i/>
      <w:iCs/>
      <w:color w:val="FF0000"/>
    </w:rPr>
  </w:style>
  <w:style w:type="character" w:customStyle="1" w:styleId="216">
    <w:name w:val="Nivel 3 Char"/>
    <w:link w:val="77"/>
    <w:qFormat/>
    <w:uiPriority w:val="0"/>
    <w:rPr>
      <w:rFonts w:ascii="Ecofont_Spranq_eco_Sans" w:hAnsi="Ecofont_Spranq_eco_Sans" w:eastAsia="Arial Unicode MS" w:cs="Arial"/>
      <w:color w:val="000000"/>
    </w:rPr>
  </w:style>
  <w:style w:type="character" w:customStyle="1" w:styleId="217">
    <w:name w:val="Nível 3-R Char"/>
    <w:link w:val="213"/>
    <w:qFormat/>
    <w:uiPriority w:val="0"/>
    <w:rPr>
      <w:rFonts w:ascii="Arial" w:hAnsi="Arial" w:eastAsia="MS Mincho" w:cs="Arial"/>
      <w:i/>
      <w:iCs/>
      <w:color w:val="FF0000"/>
    </w:rPr>
  </w:style>
  <w:style w:type="paragraph" w:customStyle="1" w:styleId="218">
    <w:name w:val="Nível 1-Sem Num"/>
    <w:basedOn w:val="59"/>
    <w:link w:val="221"/>
    <w:qFormat/>
    <w:uiPriority w:val="0"/>
    <w:pPr>
      <w:numPr>
        <w:numId w:val="0"/>
      </w:numPr>
      <w:spacing w:beforeLines="120" w:afterLines="120" w:line="312" w:lineRule="auto"/>
      <w:outlineLvl w:val="1"/>
    </w:pPr>
    <w:rPr>
      <w:rFonts w:ascii="Arial" w:hAnsi="Arial" w:eastAsia="MS Gothic" w:cs="Arial"/>
      <w:color w:val="FF0000"/>
      <w:sz w:val="20"/>
      <w:lang w:eastAsia="en-US"/>
    </w:rPr>
  </w:style>
  <w:style w:type="character" w:customStyle="1" w:styleId="219">
    <w:name w:val="Nível 4-R Char"/>
    <w:link w:val="215"/>
    <w:qFormat/>
    <w:uiPriority w:val="99"/>
    <w:rPr>
      <w:rFonts w:ascii="Arial" w:hAnsi="Arial" w:eastAsia="MS Mincho" w:cs="Arial"/>
      <w:i/>
      <w:iCs/>
      <w:color w:val="FF0000"/>
    </w:rPr>
  </w:style>
  <w:style w:type="character" w:customStyle="1" w:styleId="220">
    <w:name w:val="Link da Internet"/>
    <w:unhideWhenUsed/>
    <w:qFormat/>
    <w:uiPriority w:val="99"/>
    <w:rPr>
      <w:color w:val="0000FF"/>
      <w:u w:val="single"/>
    </w:rPr>
  </w:style>
  <w:style w:type="character" w:customStyle="1" w:styleId="221">
    <w:name w:val="Nível 1-Sem Num Char"/>
    <w:link w:val="218"/>
    <w:qFormat/>
    <w:uiPriority w:val="0"/>
    <w:rPr>
      <w:rFonts w:ascii="Arial" w:hAnsi="Arial" w:eastAsia="MS Gothic" w:cs="Arial"/>
      <w:b/>
      <w:bCs/>
      <w:color w:val="FF0000"/>
      <w:lang w:eastAsia="en-US"/>
    </w:rPr>
  </w:style>
  <w:style w:type="paragraph" w:customStyle="1" w:styleId="222">
    <w:name w:val="Preâmbulo"/>
    <w:basedOn w:val="1"/>
    <w:link w:val="223"/>
    <w:qFormat/>
    <w:uiPriority w:val="0"/>
    <w:pPr>
      <w:suppressAutoHyphens w:val="0"/>
      <w:spacing w:before="480" w:after="120" w:line="360" w:lineRule="auto"/>
      <w:ind w:left="4253" w:right="-17"/>
      <w:jc w:val="both"/>
    </w:pPr>
    <w:rPr>
      <w:rFonts w:ascii="Arial" w:hAnsi="Arial" w:eastAsia="Arial" w:cs="Arial"/>
      <w:bCs/>
      <w:sz w:val="20"/>
      <w:lang w:eastAsia="pt-BR"/>
    </w:rPr>
  </w:style>
  <w:style w:type="character" w:customStyle="1" w:styleId="223">
    <w:name w:val="Preâmbulo Char"/>
    <w:link w:val="222"/>
    <w:qFormat/>
    <w:uiPriority w:val="0"/>
    <w:rPr>
      <w:rFonts w:ascii="Arial" w:hAnsi="Arial" w:eastAsia="Arial" w:cs="Arial"/>
      <w:bCs/>
    </w:rPr>
  </w:style>
  <w:style w:type="character" w:customStyle="1" w:styleId="224">
    <w:name w:val="Menção Pendente5"/>
    <w:semiHidden/>
    <w:unhideWhenUsed/>
    <w:qFormat/>
    <w:uiPriority w:val="99"/>
    <w:rPr>
      <w:color w:val="605E5C"/>
      <w:shd w:val="clear" w:color="auto" w:fill="E1DFDD"/>
    </w:rPr>
  </w:style>
  <w:style w:type="paragraph" w:customStyle="1" w:styleId="225">
    <w:name w:val="Cabeçalho do Sumário1"/>
    <w:basedOn w:val="2"/>
    <w:next w:val="1"/>
    <w:unhideWhenUsed/>
    <w:qFormat/>
    <w:uiPriority w:val="39"/>
    <w:pPr>
      <w:suppressAutoHyphens w:val="0"/>
      <w:spacing w:line="259" w:lineRule="auto"/>
      <w:outlineLvl w:val="9"/>
    </w:pPr>
    <w:rPr>
      <w:rFonts w:ascii="Calibri" w:hAnsi="Calibri" w:eastAsia="MS Gothic" w:cs="Times New Roman"/>
      <w:lang w:eastAsia="pt-BR"/>
    </w:rPr>
  </w:style>
  <w:style w:type="character" w:customStyle="1" w:styleId="226">
    <w:name w:val="Menção Pendente6"/>
    <w:semiHidden/>
    <w:unhideWhenUsed/>
    <w:qFormat/>
    <w:uiPriority w:val="99"/>
    <w:rPr>
      <w:color w:val="605E5C"/>
      <w:shd w:val="clear" w:color="auto" w:fill="E1DFDD"/>
    </w:rPr>
  </w:style>
  <w:style w:type="character" w:customStyle="1" w:styleId="227">
    <w:name w:val="Mention non résolue1"/>
    <w:semiHidden/>
    <w:unhideWhenUsed/>
    <w:qFormat/>
    <w:uiPriority w:val="99"/>
    <w:rPr>
      <w:color w:val="605E5C"/>
      <w:shd w:val="clear" w:color="auto" w:fill="E1DFDD"/>
    </w:rPr>
  </w:style>
  <w:style w:type="character" w:customStyle="1" w:styleId="228">
    <w:name w:val="Menção Pendente7"/>
    <w:semiHidden/>
    <w:unhideWhenUsed/>
    <w:qFormat/>
    <w:uiPriority w:val="99"/>
    <w:rPr>
      <w:color w:val="605E5C"/>
      <w:shd w:val="clear" w:color="auto" w:fill="E1DFDD"/>
    </w:rPr>
  </w:style>
  <w:style w:type="paragraph" w:customStyle="1" w:styleId="229">
    <w:name w:val="pf0"/>
    <w:basedOn w:val="1"/>
    <w:qFormat/>
    <w:uiPriority w:val="0"/>
    <w:pPr>
      <w:suppressAutoHyphens w:val="0"/>
      <w:spacing w:before="100" w:beforeAutospacing="1" w:after="100" w:afterAutospacing="1"/>
    </w:pPr>
    <w:rPr>
      <w:szCs w:val="24"/>
      <w:lang w:eastAsia="pt-BR"/>
    </w:rPr>
  </w:style>
  <w:style w:type="character" w:customStyle="1" w:styleId="230">
    <w:name w:val="cf01"/>
    <w:qFormat/>
    <w:uiPriority w:val="0"/>
    <w:rPr>
      <w:rFonts w:hint="default" w:ascii="Segoe UI" w:hAnsi="Segoe UI" w:cs="Segoe UI"/>
      <w:b/>
      <w:bCs/>
      <w:i/>
      <w:iCs/>
      <w:sz w:val="18"/>
      <w:szCs w:val="18"/>
    </w:rPr>
  </w:style>
  <w:style w:type="character" w:customStyle="1" w:styleId="231">
    <w:name w:val="cf11"/>
    <w:qFormat/>
    <w:uiPriority w:val="0"/>
    <w:rPr>
      <w:rFonts w:hint="default" w:ascii="Segoe UI" w:hAnsi="Segoe UI" w:cs="Segoe UI"/>
      <w:i/>
      <w:iCs/>
      <w:sz w:val="18"/>
      <w:szCs w:val="18"/>
    </w:rPr>
  </w:style>
  <w:style w:type="character" w:customStyle="1" w:styleId="232">
    <w:name w:val="cf21"/>
    <w:qFormat/>
    <w:uiPriority w:val="0"/>
    <w:rPr>
      <w:rFonts w:hint="default" w:ascii="Segoe UI" w:hAnsi="Segoe UI" w:cs="Segoe UI"/>
      <w:i/>
      <w:iCs/>
      <w:sz w:val="18"/>
      <w:szCs w:val="18"/>
    </w:rPr>
  </w:style>
  <w:style w:type="character" w:customStyle="1" w:styleId="233">
    <w:name w:val="Nível 1-Sem Num Preto Char"/>
    <w:link w:val="234"/>
    <w:qFormat/>
    <w:locked/>
    <w:uiPriority w:val="0"/>
    <w:rPr>
      <w:rFonts w:ascii="Arial" w:hAnsi="Arial" w:cs="Arial"/>
      <w:b/>
      <w:bCs/>
      <w:color w:val="000000"/>
      <w:lang w:eastAsia="zh-CN" w:bidi="hi-IN"/>
    </w:rPr>
  </w:style>
  <w:style w:type="paragraph" w:customStyle="1" w:styleId="234">
    <w:name w:val="Nível 1-Sem Num Preto"/>
    <w:basedOn w:val="1"/>
    <w:link w:val="233"/>
    <w:qFormat/>
    <w:uiPriority w:val="0"/>
    <w:pPr>
      <w:keepNext/>
      <w:keepLines/>
      <w:tabs>
        <w:tab w:val="left" w:pos="567"/>
      </w:tabs>
      <w:suppressAutoHyphens w:val="0"/>
      <w:spacing w:before="240" w:after="120" w:line="276" w:lineRule="auto"/>
      <w:jc w:val="both"/>
      <w:outlineLvl w:val="1"/>
    </w:pPr>
    <w:rPr>
      <w:rFonts w:ascii="Arial" w:hAnsi="Arial" w:eastAsia="Calibri" w:cs="Arial"/>
      <w:b/>
      <w:bCs/>
      <w:color w:val="000000"/>
      <w:sz w:val="20"/>
      <w:lang w:eastAsia="zh-CN" w:bidi="hi-IN"/>
    </w:rPr>
  </w:style>
  <w:style w:type="character" w:customStyle="1" w:styleId="235">
    <w:name w:val="Menção Pendente8"/>
    <w:semiHidden/>
    <w:unhideWhenUsed/>
    <w:qFormat/>
    <w:uiPriority w:val="99"/>
    <w:rPr>
      <w:color w:val="605E5C"/>
      <w:shd w:val="clear" w:color="auto" w:fill="E1DFDD"/>
    </w:rPr>
  </w:style>
  <w:style w:type="paragraph" w:customStyle="1" w:styleId="236">
    <w:name w:val="Nível 01-Sem Numeração"/>
    <w:basedOn w:val="1"/>
    <w:link w:val="237"/>
    <w:autoRedefine/>
    <w:qFormat/>
    <w:uiPriority w:val="0"/>
    <w:pPr>
      <w:keepNext/>
      <w:keepLines/>
      <w:suppressAutoHyphens w:val="0"/>
      <w:spacing w:before="240" w:after="120" w:line="276" w:lineRule="auto"/>
      <w:jc w:val="both"/>
      <w:outlineLvl w:val="1"/>
    </w:pPr>
    <w:rPr>
      <w:rFonts w:eastAsia="MS Gothic"/>
      <w:b/>
      <w:szCs w:val="24"/>
      <w:lang w:eastAsia="pt-BR"/>
    </w:rPr>
  </w:style>
  <w:style w:type="character" w:customStyle="1" w:styleId="237">
    <w:name w:val="Nível 01-Sem Numeração Char"/>
    <w:link w:val="236"/>
    <w:qFormat/>
    <w:uiPriority w:val="1"/>
    <w:rPr>
      <w:rFonts w:ascii="Times New Roman" w:hAnsi="Times New Roman" w:eastAsia="MS Gothic" w:cs="Times New Roman"/>
      <w:b/>
      <w:sz w:val="24"/>
      <w:szCs w:val="24"/>
    </w:rPr>
  </w:style>
  <w:style w:type="paragraph" w:customStyle="1" w:styleId="238">
    <w:name w:val="Nível 3"/>
    <w:basedOn w:val="213"/>
    <w:link w:val="240"/>
    <w:qFormat/>
    <w:uiPriority w:val="0"/>
    <w:rPr>
      <w:rFonts w:eastAsia="Times New Roman"/>
      <w:i w:val="0"/>
      <w:iCs w:val="0"/>
      <w:color w:val="auto"/>
    </w:rPr>
  </w:style>
  <w:style w:type="paragraph" w:customStyle="1" w:styleId="239">
    <w:name w:val="Nível 4"/>
    <w:basedOn w:val="238"/>
    <w:link w:val="241"/>
    <w:qFormat/>
    <w:uiPriority w:val="0"/>
    <w:pPr>
      <w:numPr>
        <w:ilvl w:val="0"/>
        <w:numId w:val="0"/>
      </w:numPr>
      <w:ind w:left="567"/>
    </w:pPr>
  </w:style>
  <w:style w:type="character" w:customStyle="1" w:styleId="240">
    <w:name w:val="Nível 3 Char"/>
    <w:basedOn w:val="7"/>
    <w:link w:val="238"/>
    <w:qFormat/>
    <w:uiPriority w:val="0"/>
    <w:rPr>
      <w:rFonts w:ascii="Arial" w:hAnsi="Arial" w:eastAsia="Times New Roman" w:cs="Arial"/>
    </w:rPr>
  </w:style>
  <w:style w:type="character" w:customStyle="1" w:styleId="241">
    <w:name w:val="Nível 4 Char"/>
    <w:basedOn w:val="240"/>
    <w:link w:val="239"/>
    <w:qFormat/>
    <w:uiPriority w:val="0"/>
    <w:rPr>
      <w:rFonts w:ascii="Arial" w:hAnsi="Arial" w:eastAsia="Times New Roman" w:cs="Arial"/>
    </w:rPr>
  </w:style>
  <w:style w:type="character" w:customStyle="1" w:styleId="242">
    <w:name w:val="Menção Pendente9"/>
    <w:basedOn w:val="7"/>
    <w:semiHidden/>
    <w:unhideWhenUsed/>
    <w:qFormat/>
    <w:uiPriority w:val="99"/>
    <w:rPr>
      <w:color w:val="605E5C"/>
      <w:shd w:val="clear" w:color="auto" w:fill="E1DFDD"/>
    </w:rPr>
  </w:style>
  <w:style w:type="character" w:customStyle="1" w:styleId="243">
    <w:name w:val="Menção Pendente10"/>
    <w:semiHidden/>
    <w:unhideWhenUsed/>
    <w:qFormat/>
    <w:uiPriority w:val="99"/>
    <w:rPr>
      <w:color w:val="605E5C"/>
      <w:shd w:val="clear" w:color="auto" w:fill="E1DFDD"/>
    </w:rPr>
  </w:style>
  <w:style w:type="character" w:customStyle="1" w:styleId="244">
    <w:name w:val="findhit"/>
    <w:basedOn w:val="7"/>
    <w:qFormat/>
    <w:uiPriority w:val="0"/>
  </w:style>
  <w:style w:type="paragraph" w:customStyle="1" w:styleId="245">
    <w:name w:val="Nivel 3-erro"/>
    <w:basedOn w:val="77"/>
    <w:link w:val="246"/>
    <w:qFormat/>
    <w:uiPriority w:val="99"/>
    <w:pPr>
      <w:numPr>
        <w:numId w:val="4"/>
      </w:numPr>
      <w:spacing w:line="240" w:lineRule="auto"/>
      <w:ind w:left="425" w:firstLine="0"/>
    </w:pPr>
    <w:rPr>
      <w:rFonts w:ascii="Arial" w:hAnsi="Arial" w:cs="Tahoma" w:eastAsiaTheme="minorEastAsia"/>
      <w:color w:val="auto"/>
      <w:szCs w:val="24"/>
    </w:rPr>
  </w:style>
  <w:style w:type="character" w:customStyle="1" w:styleId="246">
    <w:name w:val="Nivel 3-erro Char"/>
    <w:basedOn w:val="7"/>
    <w:link w:val="245"/>
    <w:qFormat/>
    <w:uiPriority w:val="99"/>
    <w:rPr>
      <w:rFonts w:ascii="Arial" w:hAnsi="Arial" w:cs="Tahoma" w:eastAsiaTheme="minorEastAsia"/>
      <w:szCs w:val="24"/>
    </w:rPr>
  </w:style>
  <w:style w:type="paragraph" w:customStyle="1" w:styleId="247">
    <w:name w:val="Alterações"/>
    <w:basedOn w:val="1"/>
    <w:link w:val="248"/>
    <w:qFormat/>
    <w:uiPriority w:val="1"/>
    <w:pPr>
      <w:suppressAutoHyphens w:val="0"/>
      <w:spacing w:before="120" w:after="120" w:line="276" w:lineRule="auto"/>
      <w:jc w:val="both"/>
      <w:outlineLvl w:val="1"/>
    </w:pPr>
    <w:rPr>
      <w:rFonts w:ascii="Arial" w:hAnsi="Arial" w:cs="Arial" w:eastAsiaTheme="minorEastAsia"/>
      <w:i/>
      <w:iCs/>
      <w:color w:val="0000FF"/>
      <w:sz w:val="20"/>
      <w:lang w:eastAsia="pt-BR"/>
    </w:rPr>
  </w:style>
  <w:style w:type="character" w:customStyle="1" w:styleId="248">
    <w:name w:val="Alterações Char"/>
    <w:basedOn w:val="7"/>
    <w:link w:val="247"/>
    <w:qFormat/>
    <w:uiPriority w:val="1"/>
    <w:rPr>
      <w:rFonts w:ascii="Arial" w:hAnsi="Arial" w:cs="Arial" w:eastAsiaTheme="minorEastAsia"/>
      <w:i/>
      <w:iCs/>
      <w:color w:val="0000FF"/>
    </w:rPr>
  </w:style>
  <w:style w:type="character" w:customStyle="1" w:styleId="249">
    <w:name w:val="Menção1"/>
    <w:basedOn w:val="7"/>
    <w:unhideWhenUsed/>
    <w:qFormat/>
    <w:uiPriority w:val="99"/>
    <w:rPr>
      <w:color w:val="2B579A"/>
      <w:shd w:val="clear" w:color="auto" w:fill="E6E6E6"/>
    </w:rPr>
  </w:style>
  <w:style w:type="character" w:customStyle="1" w:styleId="250">
    <w:name w:val="cf41"/>
    <w:basedOn w:val="7"/>
    <w:qFormat/>
    <w:uiPriority w:val="0"/>
    <w:rPr>
      <w:rFonts w:hint="default" w:ascii="Segoe UI" w:hAnsi="Segoe UI" w:cs="Segoe UI"/>
      <w:i/>
      <w:iCs/>
      <w:sz w:val="18"/>
      <w:szCs w:val="18"/>
    </w:rPr>
  </w:style>
  <w:style w:type="character" w:customStyle="1" w:styleId="251">
    <w:name w:val="cf31"/>
    <w:basedOn w:val="7"/>
    <w:qFormat/>
    <w:uiPriority w:val="0"/>
    <w:rPr>
      <w:rFonts w:hint="default" w:ascii="Segoe UI" w:hAnsi="Segoe UI" w:cs="Segoe UI"/>
      <w:i/>
      <w:iCs/>
      <w:sz w:val="18"/>
      <w:szCs w:val="18"/>
    </w:rPr>
  </w:style>
  <w:style w:type="character" w:customStyle="1" w:styleId="252">
    <w:name w:val="Cabeçalho Char1"/>
    <w:basedOn w:val="7"/>
    <w:semiHidden/>
    <w:qFormat/>
    <w:uiPriority w:val="0"/>
    <w:rPr>
      <w:rFonts w:ascii="Times New Roman" w:hAnsi="Times New Roman" w:eastAsia="Times New Roman" w:cs="Times New Roman"/>
      <w:sz w:val="24"/>
      <w:lang w:eastAsia="ar-SA"/>
    </w:rPr>
  </w:style>
  <w:style w:type="character" w:customStyle="1" w:styleId="253">
    <w:name w:val="Rodapé Char1"/>
    <w:basedOn w:val="7"/>
    <w:semiHidden/>
    <w:qFormat/>
    <w:uiPriority w:val="99"/>
    <w:rPr>
      <w:rFonts w:ascii="Times New Roman" w:hAnsi="Times New Roman" w:eastAsia="Times New Roman" w:cs="Times New Roman"/>
      <w:sz w:val="24"/>
      <w:lang w:eastAsia="ar-SA"/>
    </w:rPr>
  </w:style>
  <w:style w:type="character" w:customStyle="1" w:styleId="254">
    <w:name w:val="Citação Char1"/>
    <w:basedOn w:val="7"/>
    <w:qFormat/>
    <w:uiPriority w:val="0"/>
    <w:rPr>
      <w:rFonts w:ascii="Ecofont_Spranq_eco_Sans" w:hAnsi="Ecofont_Spranq_eco_Sans" w:cs="Tahoma" w:eastAsiaTheme="minorEastAsia"/>
      <w:i/>
      <w:iCs/>
      <w:color w:val="404040" w:themeColor="text1" w:themeTint="BF"/>
      <w:sz w:val="24"/>
      <w:szCs w:val="24"/>
      <w14:textFill>
        <w14:solidFill>
          <w14:schemeClr w14:val="tx1">
            <w14:lumMod w14:val="75000"/>
            <w14:lumOff w14:val="25000"/>
          </w14:schemeClr>
        </w14:solidFill>
      </w14:textFill>
    </w:rPr>
  </w:style>
  <w:style w:type="character" w:customStyle="1" w:styleId="255">
    <w:name w:val="Menção Pendente11"/>
    <w:basedOn w:val="7"/>
    <w:semiHidden/>
    <w:unhideWhenUsed/>
    <w:qFormat/>
    <w:uiPriority w:val="99"/>
    <w:rPr>
      <w:color w:val="605E5C"/>
      <w:shd w:val="clear" w:color="auto" w:fill="E1DFDD"/>
    </w:rPr>
  </w:style>
  <w:style w:type="paragraph" w:customStyle="1" w:styleId="256">
    <w:name w:val="Body Text Indent 21"/>
    <w:basedOn w:val="1"/>
    <w:qFormat/>
    <w:uiPriority w:val="0"/>
    <w:pPr>
      <w:spacing w:after="120" w:line="480" w:lineRule="auto"/>
      <w:ind w:left="283"/>
    </w:pPr>
    <w:rPr>
      <w:sz w:val="20"/>
      <w:lang w:eastAsia="zh-CN"/>
    </w:rPr>
  </w:style>
  <w:style w:type="character" w:customStyle="1" w:styleId="257">
    <w:name w:val="Menção Pendente12"/>
    <w:basedOn w:val="7"/>
    <w:semiHidden/>
    <w:unhideWhenUsed/>
    <w:qFormat/>
    <w:uiPriority w:val="99"/>
    <w:rPr>
      <w:color w:val="605E5C"/>
      <w:shd w:val="clear" w:color="auto" w:fill="E1DFDD"/>
    </w:rPr>
  </w:style>
  <w:style w:type="character" w:customStyle="1" w:styleId="258">
    <w:name w:val="Unresolved Mention"/>
    <w:basedOn w:val="7"/>
    <w:semiHidden/>
    <w:unhideWhenUsed/>
    <w:qFormat/>
    <w:uiPriority w:val="99"/>
    <w:rPr>
      <w:color w:val="605E5C"/>
      <w:shd w:val="clear" w:color="auto" w:fill="E1DFDD"/>
    </w:rPr>
  </w:style>
  <w:style w:type="character" w:customStyle="1" w:styleId="259">
    <w:name w:val="Internet link1"/>
    <w:basedOn w:val="7"/>
    <w:qFormat/>
    <w:uiPriority w:val="0"/>
    <w:rPr>
      <w:color w:val="0563C1"/>
      <w:u w:val="single"/>
    </w:rPr>
  </w:style>
  <w:style w:type="paragraph" w:customStyle="1" w:styleId="260">
    <w:name w:val="Texto Normal"/>
    <w:qFormat/>
    <w:uiPriority w:val="0"/>
    <w:pPr>
      <w:suppressAutoHyphens/>
      <w:spacing w:line="276" w:lineRule="auto"/>
      <w:jc w:val="both"/>
    </w:pPr>
    <w:rPr>
      <w:rFonts w:ascii="Arial" w:hAnsi="Arial" w:eastAsia="Calibri" w:cs="Times New Roman"/>
      <w:color w:val="000000"/>
      <w:sz w:val="24"/>
      <w:szCs w:val="24"/>
      <w:lang w:val="pt-BR"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30"/>
    <customShpInfo spid="_x0000_s1026" textRotate="1"/>
    <customShpInfo spid="_x0000_s1029"/>
    <customShpInfo spid="_x0000_s102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1B2F3A-FE7B-408A-AF6C-A715C09E4C05}">
  <ds:schemaRefs/>
</ds:datastoreItem>
</file>

<file path=docProps/app.xml><?xml version="1.0" encoding="utf-8"?>
<Properties xmlns="http://schemas.openxmlformats.org/officeDocument/2006/extended-properties" xmlns:vt="http://schemas.openxmlformats.org/officeDocument/2006/docPropsVTypes">
  <Template>Normal.dotm</Template>
  <Pages>145</Pages>
  <Words>47733</Words>
  <Characters>257759</Characters>
  <Lines>2147</Lines>
  <Paragraphs>609</Paragraphs>
  <TotalTime>73</TotalTime>
  <ScaleCrop>false</ScaleCrop>
  <LinksUpToDate>false</LinksUpToDate>
  <CharactersWithSpaces>304883</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2025-04-09T22:07:00Z</dcterms:created>
  <dc:creator>Administrador</dc:creator>
  <cp:lastModifiedBy>User</cp:lastModifiedBy>
  <cp:lastPrinted>2025-06-30T20:22:57Z</cp:lastPrinted>
  <dcterms:modified xsi:type="dcterms:W3CDTF">2025-06-30T20:23:51Z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1046-12.2.0.21546</vt:lpwstr>
  </property>
  <property fmtid="{D5CDD505-2E9C-101B-9397-08002B2CF9AE}" pid="9" name="ICV">
    <vt:lpwstr>46731528BBC048D1A82C272D954530C8_13</vt:lpwstr>
  </property>
</Properties>
</file>