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B4EC9">
      <w:pPr>
        <w:autoSpaceDE w:val="0"/>
        <w:autoSpaceDN w:val="0"/>
        <w:adjustRightInd w:val="0"/>
        <w:spacing w:before="72" w:beforeLines="30" w:after="72" w:afterLines="30"/>
        <w:jc w:val="both"/>
        <w:rPr>
          <w:rFonts w:eastAsia="Calibri"/>
          <w:b/>
          <w:bCs/>
          <w:szCs w:val="24"/>
          <w:lang w:eastAsia="pt-BR"/>
        </w:rPr>
      </w:pPr>
    </w:p>
    <w:p w14:paraId="28351ECE">
      <w:pPr>
        <w:autoSpaceDE w:val="0"/>
        <w:autoSpaceDN w:val="0"/>
        <w:adjustRightInd w:val="0"/>
        <w:spacing w:before="72" w:beforeLines="30" w:after="72" w:afterLines="30"/>
        <w:jc w:val="both"/>
        <w:rPr>
          <w:rFonts w:eastAsia="Calibri"/>
          <w:b/>
          <w:bCs/>
          <w:color w:val="4472C4" w:themeColor="accent1"/>
          <w:sz w:val="32"/>
          <w:szCs w:val="32"/>
          <w:lang w:eastAsia="pt-BR"/>
          <w14:textFill>
            <w14:solidFill>
              <w14:schemeClr w14:val="accent1"/>
            </w14:solidFill>
          </w14:textFill>
        </w:rPr>
      </w:pPr>
      <w:r>
        <w:rPr>
          <w:rFonts w:eastAsia="Calibri"/>
          <w:b/>
          <w:bCs/>
          <w:sz w:val="32"/>
          <w:szCs w:val="32"/>
          <w:lang w:eastAsia="pt-BR"/>
        </w:rPr>
        <w:t xml:space="preserve">PREGÃO ELETRÔNICO </w:t>
      </w:r>
      <w:r>
        <w:rPr>
          <w:rFonts w:eastAsia="Calibri"/>
          <w:b/>
          <w:bCs/>
          <w:color w:val="4472C4" w:themeColor="accent1"/>
          <w:sz w:val="32"/>
          <w:szCs w:val="32"/>
          <w:lang w:eastAsia="pt-BR"/>
          <w14:textFill>
            <w14:solidFill>
              <w14:schemeClr w14:val="accent1"/>
            </w14:solidFill>
          </w14:textFill>
        </w:rPr>
        <w:t>002/2026</w:t>
      </w:r>
    </w:p>
    <w:p w14:paraId="18EB9397">
      <w:pPr>
        <w:autoSpaceDE w:val="0"/>
        <w:autoSpaceDN w:val="0"/>
        <w:adjustRightInd w:val="0"/>
        <w:spacing w:before="72" w:beforeLines="30" w:after="72" w:afterLines="30"/>
        <w:jc w:val="both"/>
        <w:rPr>
          <w:rFonts w:eastAsia="Calibri"/>
          <w:b/>
          <w:bCs/>
          <w:sz w:val="32"/>
          <w:szCs w:val="32"/>
          <w:lang w:eastAsia="pt-BR"/>
        </w:rPr>
      </w:pPr>
    </w:p>
    <w:p w14:paraId="2089B7A9">
      <w:pPr>
        <w:autoSpaceDE w:val="0"/>
        <w:autoSpaceDN w:val="0"/>
        <w:adjustRightInd w:val="0"/>
        <w:spacing w:before="72" w:beforeLines="30" w:after="72" w:afterLines="30"/>
        <w:jc w:val="both"/>
        <w:rPr>
          <w:rFonts w:eastAsia="Calibri"/>
          <w:b/>
          <w:bCs/>
          <w:color w:val="44546A"/>
          <w:sz w:val="32"/>
          <w:szCs w:val="32"/>
          <w:lang w:eastAsia="pt-BR"/>
        </w:rPr>
      </w:pPr>
      <w:r>
        <w:rPr>
          <w:rFonts w:eastAsia="Calibri"/>
          <w:b/>
          <w:bCs/>
          <w:sz w:val="32"/>
          <w:szCs w:val="32"/>
          <w:lang w:eastAsia="pt-BR"/>
        </w:rPr>
        <w:t xml:space="preserve">CONTRATANTE </w:t>
      </w:r>
      <w:r>
        <w:rPr>
          <w:rFonts w:eastAsia="Calibri"/>
          <w:b/>
          <w:bCs/>
          <w:color w:val="4472C4"/>
          <w:sz w:val="32"/>
          <w:szCs w:val="32"/>
          <w:lang w:eastAsia="pt-BR"/>
        </w:rPr>
        <w:t>MUNICÍPIO DE CARACOL/MS</w:t>
      </w:r>
    </w:p>
    <w:p w14:paraId="5E57A3E3">
      <w:pPr>
        <w:autoSpaceDE w:val="0"/>
        <w:autoSpaceDN w:val="0"/>
        <w:adjustRightInd w:val="0"/>
        <w:spacing w:before="72" w:beforeLines="30" w:after="72" w:afterLines="30"/>
        <w:jc w:val="both"/>
        <w:rPr>
          <w:rFonts w:eastAsia="Calibri"/>
          <w:b/>
          <w:bCs/>
          <w:sz w:val="32"/>
          <w:szCs w:val="32"/>
          <w:lang w:eastAsia="pt-BR"/>
        </w:rPr>
      </w:pPr>
    </w:p>
    <w:p w14:paraId="63371EF8">
      <w:pPr>
        <w:suppressAutoHyphens w:val="0"/>
        <w:autoSpaceDE w:val="0"/>
        <w:autoSpaceDN w:val="0"/>
        <w:adjustRightInd w:val="0"/>
        <w:spacing w:before="72" w:beforeLines="30" w:after="72" w:afterLines="30"/>
        <w:jc w:val="both"/>
        <w:rPr>
          <w:b/>
          <w:bCs/>
          <w:color w:val="4472C4" w:themeColor="accent1"/>
          <w:sz w:val="32"/>
          <w:szCs w:val="32"/>
          <w:shd w:val="clear" w:color="auto" w:fill="FFFFFF"/>
          <w14:textFill>
            <w14:solidFill>
              <w14:schemeClr w14:val="accent1"/>
            </w14:solidFill>
          </w14:textFill>
        </w:rPr>
      </w:pPr>
      <w:r>
        <w:rPr>
          <w:rFonts w:eastAsia="Calibri"/>
          <w:b/>
          <w:bCs/>
          <w:sz w:val="32"/>
          <w:szCs w:val="32"/>
          <w:lang w:eastAsia="pt-BR"/>
        </w:rPr>
        <w:t xml:space="preserve">OBJETO </w:t>
      </w:r>
      <w:r>
        <w:rPr>
          <w:b/>
          <w:color w:val="4472C4" w:themeColor="accent1"/>
          <w:sz w:val="32"/>
          <w:szCs w:val="32"/>
          <w14:textFill>
            <w14:solidFill>
              <w14:schemeClr w14:val="accent1"/>
            </w14:solidFill>
          </w14:textFill>
        </w:rPr>
        <w:t>AQUISIÇÃO DE COMBUSTÍVEIS (TIPO GASOLINA COMUM, ÓLEO DIESEL S10, DIESEL COMUM E ARLA 32), NO MUNICÍPIO DE SIDROLANDIA-MS, PARA ATENDER OS VEÍCULOS DA FROTA OFICIAL DA PREFEITURA MUNICIPAL DE CARACOL MS.</w:t>
      </w:r>
    </w:p>
    <w:p w14:paraId="54ABF253">
      <w:pPr>
        <w:suppressAutoHyphens w:val="0"/>
        <w:autoSpaceDE w:val="0"/>
        <w:autoSpaceDN w:val="0"/>
        <w:adjustRightInd w:val="0"/>
        <w:spacing w:before="72" w:beforeLines="30" w:after="72" w:afterLines="30"/>
        <w:jc w:val="both"/>
        <w:rPr>
          <w:rFonts w:eastAsia="Calibri"/>
          <w:b/>
          <w:bCs/>
          <w:color w:val="4472C4" w:themeColor="accent1"/>
          <w:sz w:val="32"/>
          <w:szCs w:val="32"/>
          <w:lang w:eastAsia="pt-BR"/>
          <w14:textFill>
            <w14:solidFill>
              <w14:schemeClr w14:val="accent1"/>
            </w14:solidFill>
          </w14:textFill>
        </w:rPr>
      </w:pPr>
    </w:p>
    <w:p w14:paraId="637C3902">
      <w:pPr>
        <w:autoSpaceDE w:val="0"/>
        <w:autoSpaceDN w:val="0"/>
        <w:adjustRightInd w:val="0"/>
        <w:spacing w:before="72" w:beforeLines="30" w:after="72" w:afterLines="30"/>
        <w:jc w:val="both"/>
        <w:rPr>
          <w:rFonts w:eastAsia="Calibri"/>
          <w:b/>
          <w:bCs/>
          <w:color w:val="4472C4" w:themeColor="accent1"/>
          <w:sz w:val="32"/>
          <w:szCs w:val="32"/>
          <w:lang w:eastAsia="pt-BR"/>
          <w14:textFill>
            <w14:solidFill>
              <w14:schemeClr w14:val="accent1"/>
            </w14:solidFill>
          </w14:textFill>
        </w:rPr>
      </w:pPr>
      <w:r>
        <w:rPr>
          <w:rFonts w:eastAsia="Calibri"/>
          <w:b/>
          <w:bCs/>
          <w:sz w:val="32"/>
          <w:szCs w:val="32"/>
          <w:lang w:eastAsia="pt-BR"/>
        </w:rPr>
        <w:t>VALOR TOTAL DA CONTRATAÇÃO</w:t>
      </w:r>
      <w:r>
        <w:rPr>
          <w:rFonts w:eastAsia="Calibri"/>
          <w:b/>
          <w:bCs/>
          <w:sz w:val="32"/>
          <w:szCs w:val="32"/>
          <w:lang w:val="en-US" w:eastAsia="pt-BR"/>
        </w:rPr>
        <w:t xml:space="preserve"> </w:t>
      </w:r>
      <w:r>
        <w:rPr>
          <w:rFonts w:eastAsia="Calibri"/>
          <w:b/>
          <w:bCs/>
          <w:color w:val="4472C4" w:themeColor="accent1"/>
          <w:sz w:val="32"/>
          <w:szCs w:val="32"/>
          <w:lang w:val="en-US" w:eastAsia="pt-BR"/>
          <w14:textFill>
            <w14:solidFill>
              <w14:schemeClr w14:val="accent1"/>
            </w14:solidFill>
          </w14:textFill>
        </w:rPr>
        <w:t xml:space="preserve">R$ </w:t>
      </w:r>
      <w:r>
        <w:rPr>
          <w:b/>
          <w:bCs/>
          <w:color w:val="4472C4" w:themeColor="accent1"/>
          <w:sz w:val="32"/>
          <w:szCs w:val="32"/>
          <w14:textFill>
            <w14:solidFill>
              <w14:schemeClr w14:val="accent1"/>
            </w14:solidFill>
          </w14:textFill>
        </w:rPr>
        <w:t>1.010.255,00</w:t>
      </w:r>
    </w:p>
    <w:p w14:paraId="2FA40048">
      <w:pPr>
        <w:autoSpaceDE w:val="0"/>
        <w:autoSpaceDN w:val="0"/>
        <w:adjustRightInd w:val="0"/>
        <w:spacing w:before="72" w:beforeLines="30" w:after="72" w:afterLines="30"/>
        <w:jc w:val="both"/>
        <w:rPr>
          <w:rFonts w:eastAsia="Calibri"/>
          <w:b/>
          <w:bCs/>
          <w:color w:val="4472C4" w:themeColor="accent1"/>
          <w:sz w:val="32"/>
          <w:szCs w:val="32"/>
          <w:highlight w:val="yellow"/>
          <w:lang w:eastAsia="pt-BR"/>
          <w14:textFill>
            <w14:solidFill>
              <w14:schemeClr w14:val="accent1"/>
            </w14:solidFill>
          </w14:textFill>
        </w:rPr>
      </w:pPr>
    </w:p>
    <w:p w14:paraId="41AB9BFA">
      <w:pPr>
        <w:autoSpaceDE w:val="0"/>
        <w:autoSpaceDN w:val="0"/>
        <w:adjustRightInd w:val="0"/>
        <w:spacing w:before="72" w:beforeLines="30" w:after="72" w:afterLines="30"/>
        <w:jc w:val="both"/>
        <w:rPr>
          <w:rFonts w:eastAsia="Calibri"/>
          <w:b/>
          <w:bCs/>
          <w:sz w:val="32"/>
          <w:szCs w:val="32"/>
          <w:highlight w:val="none"/>
          <w:lang w:eastAsia="pt-BR"/>
        </w:rPr>
      </w:pPr>
      <w:r>
        <w:rPr>
          <w:rFonts w:eastAsia="Calibri"/>
          <w:b/>
          <w:bCs/>
          <w:sz w:val="32"/>
          <w:szCs w:val="32"/>
          <w:highlight w:val="none"/>
          <w:lang w:eastAsia="pt-BR"/>
        </w:rPr>
        <w:t>DATA DA SESSÃO PÚBLICA</w:t>
      </w:r>
    </w:p>
    <w:p w14:paraId="6F8BAD25">
      <w:pPr>
        <w:autoSpaceDE w:val="0"/>
        <w:autoSpaceDN w:val="0"/>
        <w:adjustRightInd w:val="0"/>
        <w:spacing w:before="72" w:beforeLines="30" w:after="72" w:afterLines="30"/>
        <w:jc w:val="both"/>
        <w:rPr>
          <w:rFonts w:eastAsia="Calibri"/>
          <w:b/>
          <w:bCs/>
          <w:color w:val="4472C4"/>
          <w:sz w:val="32"/>
          <w:szCs w:val="32"/>
          <w:highlight w:val="none"/>
          <w:lang w:eastAsia="pt-BR"/>
        </w:rPr>
      </w:pPr>
      <w:r>
        <w:rPr>
          <w:rFonts w:eastAsia="Calibri"/>
          <w:b/>
          <w:bCs/>
          <w:color w:val="4472C4"/>
          <w:sz w:val="32"/>
          <w:szCs w:val="32"/>
          <w:highlight w:val="none"/>
          <w:lang w:eastAsia="pt-BR"/>
        </w:rPr>
        <w:t xml:space="preserve">Dia </w:t>
      </w:r>
      <w:r>
        <w:rPr>
          <w:rFonts w:hint="default" w:eastAsia="Calibri"/>
          <w:b/>
          <w:bCs/>
          <w:color w:val="4472C4"/>
          <w:sz w:val="32"/>
          <w:szCs w:val="32"/>
          <w:highlight w:val="none"/>
          <w:lang w:val="en-US" w:eastAsia="pt-BR"/>
        </w:rPr>
        <w:t>31</w:t>
      </w:r>
      <w:r>
        <w:rPr>
          <w:rFonts w:eastAsia="Calibri"/>
          <w:b/>
          <w:bCs/>
          <w:color w:val="4472C4"/>
          <w:sz w:val="32"/>
          <w:szCs w:val="32"/>
          <w:highlight w:val="none"/>
          <w:lang w:eastAsia="pt-BR"/>
        </w:rPr>
        <w:t>/03/2026 às 08:00hr (horário de Brasília)</w:t>
      </w:r>
    </w:p>
    <w:p w14:paraId="5C7E50C9">
      <w:pPr>
        <w:autoSpaceDE w:val="0"/>
        <w:autoSpaceDN w:val="0"/>
        <w:adjustRightInd w:val="0"/>
        <w:spacing w:before="72" w:beforeLines="30" w:after="72" w:afterLines="30"/>
        <w:jc w:val="both"/>
        <w:rPr>
          <w:rFonts w:eastAsia="Calibri"/>
          <w:b/>
          <w:bCs/>
          <w:caps/>
          <w:sz w:val="32"/>
          <w:szCs w:val="32"/>
          <w:highlight w:val="yellow"/>
          <w:lang w:eastAsia="pt-BR"/>
        </w:rPr>
      </w:pPr>
    </w:p>
    <w:p w14:paraId="6E9C8623">
      <w:pPr>
        <w:autoSpaceDE w:val="0"/>
        <w:autoSpaceDN w:val="0"/>
        <w:adjustRightInd w:val="0"/>
        <w:spacing w:before="72" w:beforeLines="30" w:after="72" w:afterLines="30"/>
        <w:jc w:val="both"/>
        <w:rPr>
          <w:rFonts w:eastAsia="Calibri"/>
          <w:b/>
          <w:bCs/>
          <w:color w:val="4472C4"/>
          <w:sz w:val="32"/>
          <w:szCs w:val="32"/>
          <w:lang w:eastAsia="pt-BR"/>
        </w:rPr>
      </w:pPr>
      <w:r>
        <w:rPr>
          <w:rFonts w:eastAsia="Calibri"/>
          <w:b/>
          <w:bCs/>
          <w:caps/>
          <w:sz w:val="32"/>
          <w:szCs w:val="32"/>
          <w:lang w:eastAsia="pt-BR"/>
        </w:rPr>
        <w:t xml:space="preserve">Critério de Julgamento </w:t>
      </w:r>
      <w:r>
        <w:rPr>
          <w:rFonts w:eastAsia="Calibri"/>
          <w:b/>
          <w:bCs/>
          <w:color w:val="4472C4"/>
          <w:sz w:val="32"/>
          <w:szCs w:val="32"/>
          <w:lang w:eastAsia="pt-BR"/>
        </w:rPr>
        <w:t>MENOR PREÇO UNITÁRIO</w:t>
      </w:r>
    </w:p>
    <w:p w14:paraId="3BF799D2">
      <w:pPr>
        <w:autoSpaceDE w:val="0"/>
        <w:autoSpaceDN w:val="0"/>
        <w:adjustRightInd w:val="0"/>
        <w:spacing w:before="72" w:beforeLines="30" w:after="72" w:afterLines="30"/>
        <w:jc w:val="both"/>
        <w:rPr>
          <w:rFonts w:eastAsia="Calibri"/>
          <w:b/>
          <w:bCs/>
          <w:caps/>
          <w:sz w:val="32"/>
          <w:szCs w:val="32"/>
          <w:lang w:eastAsia="pt-BR"/>
        </w:rPr>
      </w:pPr>
    </w:p>
    <w:p w14:paraId="05D2E906">
      <w:pPr>
        <w:autoSpaceDE w:val="0"/>
        <w:autoSpaceDN w:val="0"/>
        <w:adjustRightInd w:val="0"/>
        <w:spacing w:before="72" w:beforeLines="30" w:after="72" w:afterLines="30"/>
        <w:jc w:val="both"/>
        <w:rPr>
          <w:rFonts w:eastAsia="Calibri"/>
          <w:b/>
          <w:bCs/>
          <w:color w:val="4472C4"/>
          <w:sz w:val="32"/>
          <w:szCs w:val="32"/>
          <w:lang w:eastAsia="pt-BR"/>
        </w:rPr>
      </w:pPr>
      <w:r>
        <w:rPr>
          <w:rFonts w:eastAsia="Calibri"/>
          <w:b/>
          <w:bCs/>
          <w:caps/>
          <w:sz w:val="32"/>
          <w:szCs w:val="32"/>
          <w:lang w:eastAsia="pt-BR"/>
        </w:rPr>
        <w:t xml:space="preserve">Modo de disputa </w:t>
      </w:r>
      <w:r>
        <w:rPr>
          <w:rFonts w:eastAsia="Calibri"/>
          <w:b/>
          <w:bCs/>
          <w:color w:val="4472C4"/>
          <w:sz w:val="32"/>
          <w:szCs w:val="32"/>
          <w:lang w:eastAsia="pt-BR"/>
        </w:rPr>
        <w:t xml:space="preserve">ABERTO </w:t>
      </w:r>
    </w:p>
    <w:p w14:paraId="07424BD9">
      <w:pPr>
        <w:autoSpaceDE w:val="0"/>
        <w:autoSpaceDN w:val="0"/>
        <w:adjustRightInd w:val="0"/>
        <w:spacing w:before="72" w:beforeLines="30" w:after="72" w:afterLines="30"/>
        <w:jc w:val="both"/>
        <w:rPr>
          <w:rFonts w:eastAsia="Calibri"/>
          <w:b/>
          <w:bCs/>
          <w:color w:val="4472C4"/>
          <w:sz w:val="32"/>
          <w:szCs w:val="32"/>
          <w:lang w:eastAsia="pt-BR"/>
        </w:rPr>
      </w:pPr>
    </w:p>
    <w:p w14:paraId="48DA9389">
      <w:pPr>
        <w:autoSpaceDE w:val="0"/>
        <w:autoSpaceDN w:val="0"/>
        <w:adjustRightInd w:val="0"/>
        <w:spacing w:before="72" w:beforeLines="30" w:after="72" w:afterLines="30"/>
        <w:jc w:val="both"/>
        <w:rPr>
          <w:rFonts w:eastAsia="Calibri"/>
          <w:color w:val="FF0000"/>
          <w:sz w:val="32"/>
          <w:szCs w:val="32"/>
          <w:lang w:eastAsia="pt-BR"/>
        </w:rPr>
      </w:pPr>
      <w:r>
        <w:rPr>
          <w:rFonts w:eastAsia="Calibri"/>
          <w:b/>
          <w:bCs/>
          <w:sz w:val="32"/>
          <w:szCs w:val="32"/>
          <w:lang w:eastAsia="pt-BR"/>
        </w:rPr>
        <w:t>REGISTRO DE PREÇO</w:t>
      </w:r>
      <w:r>
        <w:rPr>
          <w:rFonts w:eastAsia="Calibri"/>
          <w:b/>
          <w:bCs/>
          <w:color w:val="4472C4"/>
          <w:sz w:val="32"/>
          <w:szCs w:val="32"/>
          <w:lang w:eastAsia="pt-BR"/>
        </w:rPr>
        <w:t xml:space="preserve"> SIM</w:t>
      </w:r>
    </w:p>
    <w:p w14:paraId="045AD892">
      <w:pPr>
        <w:autoSpaceDE w:val="0"/>
        <w:autoSpaceDN w:val="0"/>
        <w:adjustRightInd w:val="0"/>
        <w:spacing w:before="72" w:beforeLines="30" w:after="72" w:afterLines="30"/>
        <w:jc w:val="both"/>
        <w:rPr>
          <w:rFonts w:eastAsia="Calibri"/>
          <w:b/>
          <w:bCs/>
          <w:sz w:val="32"/>
          <w:szCs w:val="32"/>
          <w:lang w:eastAsia="pt-BR"/>
        </w:rPr>
      </w:pPr>
    </w:p>
    <w:p w14:paraId="40315612">
      <w:pPr>
        <w:autoSpaceDE w:val="0"/>
        <w:autoSpaceDN w:val="0"/>
        <w:adjustRightInd w:val="0"/>
        <w:spacing w:before="72" w:beforeLines="30" w:after="72" w:afterLines="30"/>
        <w:jc w:val="both"/>
        <w:rPr>
          <w:rFonts w:eastAsia="Calibri"/>
          <w:b/>
          <w:bCs/>
          <w:sz w:val="32"/>
          <w:szCs w:val="32"/>
          <w:lang w:eastAsia="pt-BR"/>
        </w:rPr>
      </w:pPr>
      <w:r>
        <w:rPr>
          <w:rFonts w:eastAsia="Calibri"/>
          <w:b/>
          <w:bCs/>
          <w:sz w:val="32"/>
          <w:szCs w:val="32"/>
          <w:lang w:eastAsia="pt-BR"/>
        </w:rPr>
        <w:t xml:space="preserve">EXCLUSIVO ME/EPP </w:t>
      </w:r>
      <w:r>
        <w:rPr>
          <w:rFonts w:eastAsia="Calibri"/>
          <w:b/>
          <w:bCs/>
          <w:color w:val="4472C4" w:themeColor="accent1"/>
          <w:sz w:val="32"/>
          <w:szCs w:val="32"/>
          <w:lang w:eastAsia="pt-BR"/>
          <w14:textFill>
            <w14:solidFill>
              <w14:schemeClr w14:val="accent1"/>
            </w14:solidFill>
          </w14:textFill>
        </w:rPr>
        <w:t>NÃO</w:t>
      </w:r>
    </w:p>
    <w:p w14:paraId="55CABEDB">
      <w:pPr>
        <w:autoSpaceDE w:val="0"/>
        <w:autoSpaceDN w:val="0"/>
        <w:adjustRightInd w:val="0"/>
        <w:spacing w:before="72" w:beforeLines="30" w:after="72" w:afterLines="30"/>
        <w:jc w:val="both"/>
        <w:rPr>
          <w:rFonts w:eastAsia="Calibri"/>
          <w:b/>
          <w:bCs/>
          <w:color w:val="4472C4"/>
          <w:sz w:val="32"/>
          <w:szCs w:val="32"/>
          <w:lang w:eastAsia="pt-BR"/>
        </w:rPr>
      </w:pPr>
    </w:p>
    <w:p w14:paraId="3FBFC1D6">
      <w:pPr>
        <w:autoSpaceDE w:val="0"/>
        <w:autoSpaceDN w:val="0"/>
        <w:adjustRightInd w:val="0"/>
        <w:spacing w:before="72" w:beforeLines="30" w:after="72" w:afterLines="30"/>
        <w:jc w:val="both"/>
        <w:rPr>
          <w:rFonts w:eastAsia="Calibri"/>
          <w:b/>
          <w:bCs/>
          <w:color w:val="4472C4"/>
          <w:sz w:val="32"/>
          <w:szCs w:val="32"/>
          <w:lang w:eastAsia="pt-BR"/>
        </w:rPr>
      </w:pPr>
      <w:r>
        <w:rPr>
          <w:rFonts w:eastAsia="Calibri"/>
          <w:b/>
          <w:bCs/>
          <w:sz w:val="32"/>
          <w:szCs w:val="32"/>
          <w:lang w:eastAsia="pt-BR"/>
        </w:rPr>
        <w:t xml:space="preserve">TRATAMENTO DIFERENCIADO PARA EMPRESA LOCAL </w:t>
      </w:r>
      <w:r>
        <w:rPr>
          <w:rFonts w:eastAsia="Calibri"/>
          <w:b/>
          <w:bCs/>
          <w:color w:val="4472C4" w:themeColor="accent1"/>
          <w:sz w:val="32"/>
          <w:szCs w:val="32"/>
          <w:lang w:eastAsia="pt-BR"/>
          <w14:textFill>
            <w14:solidFill>
              <w14:schemeClr w14:val="accent1"/>
            </w14:solidFill>
          </w14:textFill>
        </w:rPr>
        <w:t>NÃO</w:t>
      </w:r>
    </w:p>
    <w:p w14:paraId="4CFF4061">
      <w:pPr>
        <w:autoSpaceDE w:val="0"/>
        <w:autoSpaceDN w:val="0"/>
        <w:adjustRightInd w:val="0"/>
        <w:spacing w:before="72" w:beforeLines="30" w:after="72" w:afterLines="30"/>
        <w:jc w:val="both"/>
        <w:rPr>
          <w:rFonts w:eastAsia="Calibri"/>
          <w:b/>
          <w:bCs/>
          <w:sz w:val="32"/>
          <w:szCs w:val="32"/>
          <w:lang w:eastAsia="pt-BR"/>
        </w:rPr>
      </w:pPr>
    </w:p>
    <w:p w14:paraId="7755A6D2">
      <w:pPr>
        <w:autoSpaceDE w:val="0"/>
        <w:autoSpaceDN w:val="0"/>
        <w:adjustRightInd w:val="0"/>
        <w:spacing w:before="72" w:beforeLines="30" w:after="72" w:afterLines="30"/>
        <w:jc w:val="both"/>
        <w:rPr>
          <w:rFonts w:eastAsia="Calibri"/>
          <w:b/>
          <w:bCs/>
          <w:sz w:val="32"/>
          <w:szCs w:val="32"/>
          <w:lang w:eastAsia="pt-BR"/>
        </w:rPr>
      </w:pPr>
      <w:r>
        <w:rPr>
          <w:rFonts w:eastAsia="Calibri"/>
          <w:b/>
          <w:bCs/>
          <w:sz w:val="32"/>
          <w:szCs w:val="32"/>
          <w:lang w:eastAsia="pt-BR"/>
        </w:rPr>
        <w:t>PREGOEIRO E EQUIPE DE APOIO:</w:t>
      </w:r>
    </w:p>
    <w:p w14:paraId="2BEDC179">
      <w:pPr>
        <w:autoSpaceDE w:val="0"/>
        <w:autoSpaceDN w:val="0"/>
        <w:adjustRightInd w:val="0"/>
        <w:spacing w:before="72" w:beforeLines="30" w:after="72" w:afterLines="30"/>
        <w:jc w:val="both"/>
        <w:rPr>
          <w:rFonts w:eastAsia="Calibri"/>
          <w:b/>
          <w:bCs/>
          <w:color w:val="4472C4"/>
          <w:sz w:val="32"/>
          <w:szCs w:val="32"/>
          <w:lang w:eastAsia="pt-BR"/>
        </w:rPr>
      </w:pPr>
      <w:r>
        <w:rPr>
          <w:rFonts w:eastAsia="Calibri"/>
          <w:b/>
          <w:bCs/>
          <w:color w:val="4472C4"/>
          <w:sz w:val="32"/>
          <w:szCs w:val="32"/>
          <w:lang w:eastAsia="pt-BR"/>
        </w:rPr>
        <w:t xml:space="preserve">VANDERLI VEIRA XIMENES </w:t>
      </w:r>
    </w:p>
    <w:p w14:paraId="5B240A1C">
      <w:pPr>
        <w:autoSpaceDE w:val="0"/>
        <w:autoSpaceDN w:val="0"/>
        <w:adjustRightInd w:val="0"/>
        <w:spacing w:before="72" w:beforeLines="30" w:after="72" w:afterLines="30"/>
        <w:jc w:val="both"/>
        <w:rPr>
          <w:rFonts w:eastAsia="Calibri"/>
          <w:b/>
          <w:bCs/>
          <w:color w:val="4472C4"/>
          <w:sz w:val="32"/>
          <w:szCs w:val="32"/>
          <w:lang w:eastAsia="pt-BR"/>
        </w:rPr>
      </w:pPr>
      <w:r>
        <w:rPr>
          <w:rFonts w:eastAsia="Calibri"/>
          <w:b/>
          <w:bCs/>
          <w:color w:val="4472C4"/>
          <w:sz w:val="32"/>
          <w:szCs w:val="32"/>
          <w:lang w:eastAsia="pt-BR"/>
        </w:rPr>
        <w:t>MODESTO VAZ FILHO</w:t>
      </w:r>
    </w:p>
    <w:p w14:paraId="10A4B522">
      <w:pPr>
        <w:autoSpaceDE w:val="0"/>
        <w:autoSpaceDN w:val="0"/>
        <w:adjustRightInd w:val="0"/>
        <w:spacing w:before="72" w:beforeLines="30" w:after="72" w:afterLines="30"/>
        <w:jc w:val="both"/>
        <w:rPr>
          <w:rFonts w:eastAsia="Calibri"/>
          <w:sz w:val="32"/>
          <w:szCs w:val="32"/>
          <w:lang w:eastAsia="pt-BR"/>
        </w:rPr>
      </w:pPr>
      <w:r>
        <w:rPr>
          <w:rFonts w:eastAsia="Calibri"/>
          <w:b/>
          <w:bCs/>
          <w:color w:val="4472C4"/>
          <w:sz w:val="32"/>
          <w:szCs w:val="32"/>
          <w:lang w:eastAsia="pt-BR"/>
        </w:rPr>
        <w:t>DANIEL MAGALHÃES FRANCO</w:t>
      </w:r>
    </w:p>
    <w:p w14:paraId="19C58E7A">
      <w:pPr>
        <w:suppressAutoHyphens w:val="0"/>
        <w:autoSpaceDE w:val="0"/>
        <w:autoSpaceDN w:val="0"/>
        <w:adjustRightInd w:val="0"/>
        <w:spacing w:before="72" w:beforeLines="30" w:after="72" w:afterLines="30"/>
        <w:jc w:val="both"/>
        <w:rPr>
          <w:rFonts w:eastAsia="Calibri"/>
          <w:sz w:val="32"/>
          <w:szCs w:val="32"/>
          <w:lang w:eastAsia="pt-BR"/>
        </w:rPr>
      </w:pPr>
      <w:r>
        <w:rPr>
          <w:rFonts w:eastAsia="Calibri"/>
          <w:b/>
          <w:bCs/>
          <w:sz w:val="32"/>
          <w:szCs w:val="32"/>
          <w:lang w:eastAsia="pt-BR"/>
        </w:rPr>
        <w:br w:type="page"/>
      </w:r>
    </w:p>
    <w:p w14:paraId="2502DCE4">
      <w:pPr>
        <w:autoSpaceDE w:val="0"/>
        <w:autoSpaceDN w:val="0"/>
        <w:adjustRightInd w:val="0"/>
        <w:spacing w:before="72" w:beforeLines="30" w:after="72" w:afterLines="30"/>
        <w:jc w:val="center"/>
        <w:rPr>
          <w:rFonts w:eastAsia="Calibri"/>
          <w:b/>
          <w:bCs/>
          <w:szCs w:val="24"/>
          <w:lang w:eastAsia="pt-BR"/>
        </w:rPr>
      </w:pPr>
      <w:r>
        <w:rPr>
          <w:rFonts w:eastAsia="Calibri"/>
          <w:b/>
          <w:bCs/>
          <w:szCs w:val="24"/>
          <w:lang w:eastAsia="pt-BR"/>
        </w:rPr>
        <w:t>PREGÃO ELETRÔNICO Nº 002/2026</w:t>
      </w:r>
    </w:p>
    <w:p w14:paraId="1B21BCED">
      <w:pPr>
        <w:widowControl w:val="0"/>
        <w:autoSpaceDE w:val="0"/>
        <w:autoSpaceDN w:val="0"/>
        <w:adjustRightInd w:val="0"/>
        <w:spacing w:before="72" w:beforeLines="30" w:after="72" w:afterLines="30"/>
        <w:jc w:val="center"/>
        <w:rPr>
          <w:rFonts w:eastAsia="Calibri"/>
          <w:b/>
          <w:bCs/>
          <w:szCs w:val="24"/>
          <w:lang w:eastAsia="pt-BR"/>
        </w:rPr>
      </w:pPr>
      <w:r>
        <w:rPr>
          <w:rFonts w:eastAsia="Calibri"/>
          <w:b/>
          <w:bCs/>
          <w:szCs w:val="24"/>
          <w:lang w:eastAsia="pt-BR"/>
        </w:rPr>
        <w:t>(PROCESSO ADMINISTRATIVO Nº 013/2026)</w:t>
      </w:r>
    </w:p>
    <w:p w14:paraId="78598033">
      <w:pPr>
        <w:widowControl w:val="0"/>
        <w:autoSpaceDE w:val="0"/>
        <w:autoSpaceDN w:val="0"/>
        <w:adjustRightInd w:val="0"/>
        <w:spacing w:before="72" w:beforeLines="30" w:after="72" w:afterLines="30"/>
        <w:jc w:val="both"/>
        <w:rPr>
          <w:rFonts w:eastAsia="Calibri"/>
          <w:b/>
          <w:bCs/>
          <w:szCs w:val="24"/>
          <w:lang w:eastAsia="pt-BR"/>
        </w:rPr>
      </w:pPr>
    </w:p>
    <w:p w14:paraId="1C9815E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PREGÃO, na forma ELETRÔNICA, nos termos da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1º de abril de 2021</w:t>
      </w:r>
      <w:r>
        <w:rPr>
          <w:rFonts w:eastAsia="Calibri"/>
          <w:color w:val="000080"/>
          <w:szCs w:val="24"/>
          <w:u w:val="single"/>
          <w:lang w:eastAsia="pt-BR"/>
        </w:rPr>
        <w:fldChar w:fldCharType="end"/>
      </w:r>
      <w:r>
        <w:rPr>
          <w:rFonts w:eastAsia="Calibri"/>
          <w:szCs w:val="24"/>
          <w:lang w:eastAsia="pt-BR"/>
        </w:rPr>
        <w:t xml:space="preserve">, do Decreto municipal nº 63/2025, e demais legislação aplicável (disponíveis no link </w:t>
      </w:r>
      <w:r>
        <w:fldChar w:fldCharType="begin"/>
      </w:r>
      <w:r>
        <w:instrText xml:space="preserve"> HYPERLINK "https://pmcaracol.ms.gov.br/category/lei-14133/" </w:instrText>
      </w:r>
      <w:r>
        <w:fldChar w:fldCharType="separate"/>
      </w:r>
      <w:r>
        <w:rPr>
          <w:rFonts w:eastAsia="Calibri"/>
          <w:szCs w:val="24"/>
          <w:lang w:eastAsia="pt-BR"/>
        </w:rPr>
        <w:t>https://pmcaracol.ms.gov.br/category/lei-14133/</w:t>
      </w:r>
      <w:r>
        <w:rPr>
          <w:rFonts w:eastAsia="Calibri"/>
          <w:szCs w:val="24"/>
          <w:lang w:eastAsia="pt-BR"/>
        </w:rPr>
        <w:fldChar w:fldCharType="end"/>
      </w:r>
      <w:r>
        <w:rPr>
          <w:rFonts w:eastAsia="Calibri"/>
          <w:szCs w:val="24"/>
          <w:lang w:eastAsia="pt-BR"/>
        </w:rPr>
        <w:t>) e ainda, de acordo com as condições estabelecidas neste Edital.</w:t>
      </w:r>
    </w:p>
    <w:p w14:paraId="118CC54A">
      <w:pPr>
        <w:suppressAutoHyphens w:val="0"/>
        <w:autoSpaceDE w:val="0"/>
        <w:autoSpaceDN w:val="0"/>
        <w:adjustRightInd w:val="0"/>
        <w:spacing w:before="72" w:beforeLines="30" w:after="72" w:afterLines="30"/>
        <w:jc w:val="both"/>
        <w:rPr>
          <w:rFonts w:eastAsia="Calibri"/>
          <w:szCs w:val="24"/>
          <w:lang w:eastAsia="pt-BR"/>
        </w:rPr>
      </w:pPr>
    </w:p>
    <w:p w14:paraId="60796C37">
      <w:pPr>
        <w:shd w:val="clear" w:color="auto" w:fill="FFFFFF"/>
        <w:autoSpaceDE w:val="0"/>
        <w:autoSpaceDN w:val="0"/>
        <w:adjustRightInd w:val="0"/>
        <w:spacing w:before="72" w:beforeLines="30" w:after="72" w:afterLines="30"/>
        <w:jc w:val="both"/>
        <w:rPr>
          <w:rFonts w:eastAsia="Calibri"/>
          <w:b/>
          <w:bCs/>
          <w:szCs w:val="24"/>
          <w:lang w:val="en-US" w:eastAsia="pt-BR"/>
        </w:rPr>
      </w:pPr>
      <w:r>
        <w:rPr>
          <w:rFonts w:eastAsia="Calibri"/>
          <w:b/>
          <w:bCs/>
          <w:szCs w:val="24"/>
          <w:lang w:eastAsia="pt-BR"/>
        </w:rPr>
        <w:t xml:space="preserve">Critério de Julgamento: </w:t>
      </w:r>
      <w:r>
        <w:rPr>
          <w:rFonts w:eastAsia="Calibri"/>
          <w:szCs w:val="24"/>
          <w:lang w:eastAsia="pt-BR"/>
        </w:rPr>
        <w:t xml:space="preserve">Menor preço </w:t>
      </w:r>
      <w:r>
        <w:rPr>
          <w:rFonts w:eastAsia="Calibri"/>
          <w:szCs w:val="24"/>
          <w:lang w:val="en-US" w:eastAsia="pt-BR"/>
        </w:rPr>
        <w:t>unitário</w:t>
      </w:r>
    </w:p>
    <w:p w14:paraId="2D396CFF">
      <w:pPr>
        <w:shd w:val="clear" w:color="auto" w:fill="FFFFFF"/>
        <w:tabs>
          <w:tab w:val="left" w:pos="5250"/>
        </w:tabs>
        <w:autoSpaceDE w:val="0"/>
        <w:autoSpaceDN w:val="0"/>
        <w:adjustRightInd w:val="0"/>
        <w:spacing w:before="72" w:beforeLines="30" w:after="72" w:afterLines="30"/>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0F174583">
      <w:pPr>
        <w:shd w:val="clear" w:color="auto" w:fill="FFFFFF"/>
        <w:autoSpaceDE w:val="0"/>
        <w:autoSpaceDN w:val="0"/>
        <w:adjustRightInd w:val="0"/>
        <w:spacing w:before="72" w:beforeLines="30" w:after="72" w:afterLines="30"/>
        <w:jc w:val="both"/>
        <w:rPr>
          <w:rFonts w:eastAsia="Calibri"/>
          <w:color w:val="000080"/>
          <w:szCs w:val="24"/>
          <w:u w:val="single"/>
          <w:lang w:eastAsia="pt-BR"/>
        </w:rPr>
      </w:pPr>
      <w:r>
        <w:rPr>
          <w:rFonts w:eastAsia="Calibri"/>
          <w:b/>
          <w:bCs/>
          <w:szCs w:val="24"/>
          <w:lang w:eastAsia="pt-BR"/>
        </w:rPr>
        <w:t xml:space="preserve">Endereço / Plataforma de Disputa: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p>
    <w:p w14:paraId="0AD26206">
      <w:pPr>
        <w:autoSpaceDE w:val="0"/>
        <w:autoSpaceDN w:val="0"/>
        <w:adjustRightInd w:val="0"/>
        <w:spacing w:before="72" w:beforeLines="30" w:after="72" w:afterLines="30"/>
        <w:jc w:val="both"/>
        <w:rPr>
          <w:rFonts w:eastAsia="Calibri"/>
          <w:szCs w:val="24"/>
          <w:highlight w:val="none"/>
          <w:lang w:eastAsia="pt-BR"/>
        </w:rPr>
      </w:pPr>
      <w:r>
        <w:rPr>
          <w:rFonts w:eastAsia="Calibri"/>
          <w:b/>
          <w:bCs/>
          <w:szCs w:val="24"/>
          <w:lang w:eastAsia="pt-BR"/>
        </w:rPr>
        <w:t>Data da realização do certam</w:t>
      </w:r>
      <w:r>
        <w:rPr>
          <w:rFonts w:eastAsia="Calibri"/>
          <w:b/>
          <w:bCs/>
          <w:szCs w:val="24"/>
          <w:highlight w:val="none"/>
          <w:lang w:eastAsia="pt-BR"/>
        </w:rPr>
        <w:t>e:</w:t>
      </w:r>
      <w:r>
        <w:rPr>
          <w:rFonts w:eastAsia="Calibri"/>
          <w:szCs w:val="24"/>
          <w:highlight w:val="none"/>
          <w:lang w:val="en-US" w:eastAsia="pt-BR"/>
        </w:rPr>
        <w:t xml:space="preserve"> </w:t>
      </w:r>
      <w:r>
        <w:rPr>
          <w:rFonts w:hint="default" w:eastAsia="Calibri"/>
          <w:szCs w:val="24"/>
          <w:highlight w:val="none"/>
          <w:lang w:val="en-US" w:eastAsia="pt-BR"/>
        </w:rPr>
        <w:t>31</w:t>
      </w:r>
      <w:r>
        <w:rPr>
          <w:rFonts w:eastAsia="Calibri"/>
          <w:szCs w:val="24"/>
          <w:highlight w:val="none"/>
          <w:lang w:val="en-US" w:eastAsia="pt-BR"/>
        </w:rPr>
        <w:t xml:space="preserve">/03/2026 </w:t>
      </w:r>
      <w:r>
        <w:rPr>
          <w:rFonts w:eastAsia="Calibri"/>
          <w:szCs w:val="24"/>
          <w:highlight w:val="none"/>
          <w:lang w:eastAsia="pt-BR"/>
        </w:rPr>
        <w:t xml:space="preserve">às 08:00 horas (Horário de Brasília - DF) </w:t>
      </w:r>
    </w:p>
    <w:p w14:paraId="440732D5">
      <w:pPr>
        <w:suppressAutoHyphens w:val="0"/>
        <w:autoSpaceDE w:val="0"/>
        <w:autoSpaceDN w:val="0"/>
        <w:adjustRightInd w:val="0"/>
        <w:spacing w:before="72" w:beforeLines="30" w:after="72" w:afterLines="30"/>
        <w:jc w:val="both"/>
        <w:rPr>
          <w:rFonts w:eastAsia="Calibri"/>
          <w:color w:val="00B050"/>
          <w:szCs w:val="24"/>
          <w:lang w:eastAsia="pt-BR"/>
        </w:rPr>
      </w:pPr>
    </w:p>
    <w:p w14:paraId="6335E720">
      <w:pPr>
        <w:keepNext/>
        <w:keepLines/>
        <w:tabs>
          <w:tab w:val="left" w:pos="567"/>
        </w:tabs>
        <w:suppressAutoHyphens w:val="0"/>
        <w:autoSpaceDE w:val="0"/>
        <w:autoSpaceDN w:val="0"/>
        <w:adjustRightInd w:val="0"/>
        <w:spacing w:before="72" w:beforeLines="30" w:after="72" w:afterLines="30"/>
        <w:jc w:val="both"/>
        <w:rPr>
          <w:rFonts w:eastAsia="Calibri"/>
          <w:b/>
          <w:bCs/>
          <w:color w:val="000000"/>
          <w:szCs w:val="24"/>
          <w:lang w:eastAsia="pt-BR"/>
        </w:rPr>
      </w:pPr>
      <w:r>
        <w:rPr>
          <w:rFonts w:eastAsia="Calibri"/>
          <w:b/>
          <w:bCs/>
          <w:color w:val="000000"/>
          <w:szCs w:val="24"/>
          <w:lang w:eastAsia="pt-BR"/>
        </w:rPr>
        <w:t>1. DO OBJETO</w:t>
      </w:r>
    </w:p>
    <w:p w14:paraId="25F096FC">
      <w:pPr>
        <w:suppressAutoHyphens w:val="0"/>
        <w:autoSpaceDE w:val="0"/>
        <w:autoSpaceDN w:val="0"/>
        <w:adjustRightInd w:val="0"/>
        <w:spacing w:before="72" w:beforeLines="30" w:after="72" w:afterLines="30"/>
        <w:jc w:val="both"/>
        <w:rPr>
          <w:b/>
          <w:bCs/>
          <w:color w:val="4472C4" w:themeColor="accent1"/>
          <w:szCs w:val="24"/>
          <w:shd w:val="clear" w:color="auto" w:fill="FFFFFF"/>
          <w14:textFill>
            <w14:solidFill>
              <w14:schemeClr w14:val="accent1"/>
            </w14:solidFill>
          </w14:textFill>
        </w:rPr>
      </w:pPr>
      <w:r>
        <w:rPr>
          <w:rFonts w:eastAsia="Calibri"/>
          <w:szCs w:val="24"/>
          <w:lang w:eastAsia="pt-BR"/>
        </w:rPr>
        <w:t>1.1.</w:t>
      </w:r>
      <w:r>
        <w:rPr>
          <w:rFonts w:eastAsia="Calibri"/>
          <w:szCs w:val="24"/>
          <w:lang w:eastAsia="pt-BR"/>
        </w:rPr>
        <w:tab/>
      </w:r>
      <w:r>
        <w:rPr>
          <w:rFonts w:eastAsia="Calibri"/>
          <w:szCs w:val="24"/>
          <w:lang w:eastAsia="pt-BR"/>
        </w:rPr>
        <w:t xml:space="preserve">O objeto da presente licitação é o registro de preços visando a </w:t>
      </w:r>
      <w:r>
        <w:rPr>
          <w:b/>
          <w:color w:val="000000" w:themeColor="text1"/>
          <w:szCs w:val="24"/>
          <w14:textFill>
            <w14:solidFill>
              <w14:schemeClr w14:val="tx1"/>
            </w14:solidFill>
          </w14:textFill>
        </w:rPr>
        <w:t xml:space="preserve">AQUISIÇÃO DE COMBUSTÍVEIS (TIPO GASOLINA COMUM, ÓLEO DIESEL S10, DIESEL COMUM E ARLA 32), NO MUNICÍPIO DE SIDROLANDIA-MS, PARA ATENDER OS VEÍCULOS DA FROTA OFICIAL DA PREFEITURA MUNICIPAL DE CARACOL MS, </w:t>
      </w:r>
      <w:r>
        <w:rPr>
          <w:rFonts w:eastAsia="Calibri"/>
          <w:szCs w:val="24"/>
          <w:lang w:eastAsia="pt-BR"/>
        </w:rPr>
        <w:t xml:space="preserve">conforme condições, quantidades e exigências estabelecidas neste Edital e seus anexos. </w:t>
      </w:r>
    </w:p>
    <w:p w14:paraId="19DD0BA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1.2 A licitação será realizada, conforme tabela constante no Termo de Referência, facultando-se ao licitante a participação em quantos itens forem de seu interesse.</w:t>
      </w:r>
    </w:p>
    <w:p w14:paraId="5014D1CB">
      <w:pPr>
        <w:suppressAutoHyphens w:val="0"/>
        <w:autoSpaceDE w:val="0"/>
        <w:autoSpaceDN w:val="0"/>
        <w:adjustRightInd w:val="0"/>
        <w:spacing w:before="72" w:beforeLines="30" w:after="72" w:afterLines="30"/>
        <w:jc w:val="both"/>
        <w:rPr>
          <w:rFonts w:eastAsia="Calibri"/>
          <w:szCs w:val="24"/>
          <w:lang w:eastAsia="pt-BR"/>
        </w:rPr>
      </w:pPr>
    </w:p>
    <w:p w14:paraId="49C14791">
      <w:pPr>
        <w:suppressAutoHyphens w:val="0"/>
        <w:autoSpaceDE w:val="0"/>
        <w:autoSpaceDN w:val="0"/>
        <w:adjustRightInd w:val="0"/>
        <w:spacing w:before="72" w:beforeLines="30" w:after="72" w:afterLines="30"/>
        <w:jc w:val="both"/>
        <w:rPr>
          <w:rFonts w:eastAsia="Calibri"/>
          <w:b/>
          <w:szCs w:val="24"/>
          <w:lang w:eastAsia="pt-BR"/>
        </w:rPr>
      </w:pPr>
      <w:r>
        <w:rPr>
          <w:rFonts w:eastAsia="Calibri"/>
          <w:b/>
          <w:szCs w:val="24"/>
          <w:lang w:eastAsia="pt-BR"/>
        </w:rPr>
        <w:t>2. DO REGISTRO DE PREÇOS</w:t>
      </w:r>
    </w:p>
    <w:p w14:paraId="16E351F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2.1 As regras referentes aos órgãos gerenciador e participantes, bem como a eventuais adesões</w:t>
      </w:r>
    </w:p>
    <w:p w14:paraId="29CBD40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são as que constam da minuta de Ata de Registro de Preços.</w:t>
      </w:r>
    </w:p>
    <w:p w14:paraId="0B92214F">
      <w:pPr>
        <w:suppressAutoHyphens w:val="0"/>
        <w:autoSpaceDE w:val="0"/>
        <w:autoSpaceDN w:val="0"/>
        <w:adjustRightInd w:val="0"/>
        <w:spacing w:before="72" w:beforeLines="30" w:after="72" w:afterLines="30"/>
        <w:jc w:val="both"/>
        <w:rPr>
          <w:rFonts w:eastAsia="Calibri"/>
          <w:szCs w:val="24"/>
          <w:lang w:eastAsia="pt-BR"/>
        </w:rPr>
      </w:pPr>
    </w:p>
    <w:p w14:paraId="0DAA7D5A">
      <w:pPr>
        <w:pStyle w:val="49"/>
        <w:keepNext/>
        <w:keepLines/>
        <w:numPr>
          <w:ilvl w:val="0"/>
          <w:numId w:val="5"/>
        </w:numPr>
        <w:tabs>
          <w:tab w:val="left" w:pos="567"/>
        </w:tabs>
        <w:suppressAutoHyphens w:val="0"/>
        <w:autoSpaceDE w:val="0"/>
        <w:autoSpaceDN w:val="0"/>
        <w:adjustRightInd w:val="0"/>
        <w:spacing w:before="72" w:beforeLines="30" w:after="72" w:afterLines="30"/>
        <w:ind w:left="0" w:firstLine="0"/>
        <w:jc w:val="both"/>
        <w:rPr>
          <w:rFonts w:eastAsia="Calibri"/>
          <w:b/>
          <w:bCs/>
          <w:szCs w:val="24"/>
          <w:lang w:eastAsia="pt-BR"/>
        </w:rPr>
      </w:pPr>
      <w:r>
        <w:rPr>
          <w:rFonts w:eastAsia="Calibri"/>
          <w:b/>
          <w:bCs/>
          <w:szCs w:val="24"/>
          <w:lang w:eastAsia="pt-BR"/>
        </w:rPr>
        <w:t>DA PARTICIPAÇÃO NA LICITAÇÃO</w:t>
      </w:r>
    </w:p>
    <w:p w14:paraId="2E2B1FA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3.1. Poderão participar deste Pregão os interessados que estiverem previamente credenciados no Sistema BLL COMPRAS (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szCs w:val="24"/>
          <w:lang w:eastAsia="pt-BR"/>
        </w:rPr>
        <w:t xml:space="preserve"> ). </w:t>
      </w:r>
    </w:p>
    <w:p w14:paraId="66F6ACFA">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3.1.1 A abertura da presente licitação dar-se-á em sessão pública, exclusivamente por meio de sistema eletrônico, na data, horário e local indicados neste Edital.</w:t>
      </w:r>
    </w:p>
    <w:p w14:paraId="2056CDA3">
      <w:pPr>
        <w:suppressAutoHyphens w:val="0"/>
        <w:autoSpaceDE w:val="0"/>
        <w:autoSpaceDN w:val="0"/>
        <w:adjustRightInd w:val="0"/>
        <w:spacing w:before="72" w:beforeLines="30" w:after="72" w:afterLines="30"/>
        <w:jc w:val="both"/>
        <w:rPr>
          <w:rFonts w:eastAsia="Calibri"/>
          <w:szCs w:val="24"/>
          <w:lang w:eastAsia="pt-BR"/>
        </w:rPr>
      </w:pPr>
      <w:r>
        <w:rPr>
          <w:szCs w:val="24"/>
        </w:rPr>
        <w:t>3.1.2</w:t>
      </w:r>
      <w:r>
        <w:rPr>
          <w:rFonts w:eastAsia="Calibri"/>
          <w:szCs w:val="24"/>
          <w:lang w:eastAsia="pt-BR"/>
        </w:rPr>
        <w:t xml:space="preserve"> Os trabalhos serão conduzidos por servidor público da Prefeitura Municipal de Caracol/MS, denominado Pregoeiro com auxílio da equipe de apoio.</w:t>
      </w:r>
    </w:p>
    <w:p w14:paraId="3D1B9F6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3.1.3. Caberá ao Licitante acompanhar as operações no sistema eletrônico durante a sessão pública, ficando responsável pelo ônus decorrente da perda de negócios diante da inobservância de qualquer mensagem emitida pelo sistema ou de sua desconexão.</w:t>
      </w:r>
    </w:p>
    <w:p w14:paraId="67BE6324">
      <w:pPr>
        <w:pStyle w:val="49"/>
        <w:suppressAutoHyphens w:val="0"/>
        <w:spacing w:before="72" w:beforeLines="30" w:after="72" w:afterLines="30"/>
        <w:ind w:left="0"/>
        <w:contextualSpacing w:val="0"/>
        <w:jc w:val="both"/>
        <w:rPr>
          <w:szCs w:val="24"/>
          <w:lang w:eastAsia="en-US"/>
        </w:rPr>
      </w:pPr>
      <w:r>
        <w:rPr>
          <w:szCs w:val="24"/>
          <w:lang w:eastAsia="en-US"/>
        </w:rPr>
        <w:t>3.1.4 O licitante deverá comunicar imediatamente ao provedor do sistema qualquer acontecimento que possa comprometer o sigilo ou a segurança, para imediato bloqueio de acesso.</w:t>
      </w:r>
    </w:p>
    <w:p w14:paraId="51F2018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3.1.5 Durante a sessão pública, a comunicação entre o Pregoeiro e os Licitantes ocorrerá exclusivamente mediante troca de mensagens, via Chat, em campo próprio do sistema eletrônico. Não será aceito nenhum outro tipo de contato, como meio telefônico ou email.</w:t>
      </w:r>
    </w:p>
    <w:p w14:paraId="4C72474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3.1.6 As inabilitações e a desclassificações das PROPOSTAS serão sempre fundamentadas e registradas no sistema, com acompanhamento em tempo real pelas Licitantes.</w:t>
      </w:r>
    </w:p>
    <w:p w14:paraId="5724AD4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3.1.7 O Pregoeiro poderá suspender a sessão a qualquer tempo, mediante motivação informado através de sistema eletrônico, com a nova data e horário para a continuidade desta.</w:t>
      </w:r>
    </w:p>
    <w:p w14:paraId="35196C9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3.1.8 A convocação para a reabertura da sessão pública se dará por meio de Sistema eletrônico (Chat).</w:t>
      </w:r>
    </w:p>
    <w:p w14:paraId="77A850F7">
      <w:pPr>
        <w:suppressAutoHyphens w:val="0"/>
        <w:autoSpaceDE w:val="0"/>
        <w:autoSpaceDN w:val="0"/>
        <w:adjustRightInd w:val="0"/>
        <w:spacing w:before="72" w:beforeLines="30" w:after="72" w:afterLines="30"/>
        <w:jc w:val="both"/>
        <w:rPr>
          <w:rFonts w:eastAsia="Calibri"/>
          <w:szCs w:val="24"/>
          <w:highlight w:val="yellow"/>
          <w:lang w:eastAsia="pt-BR"/>
        </w:rPr>
      </w:pPr>
      <w:r>
        <w:rPr>
          <w:rFonts w:eastAsia="Calibri"/>
          <w:szCs w:val="24"/>
          <w:lang w:eastAsia="pt-BR"/>
        </w:rPr>
        <w:t>3.1.8.1 A convocação acima deverá ter no mínimo 02 (duas) horas de antecedência para cada abertura</w:t>
      </w:r>
    </w:p>
    <w:p w14:paraId="476B042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3.2. Os interessados deverão atender às condições exigidas no cadastramento no Sistema mencionado no item 3.1. em tempo hábil para envio das propostas.</w:t>
      </w:r>
    </w:p>
    <w:p w14:paraId="6F8ACDD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3.5. A não observância do disposto no item anterior poderá ensejar desclassificação no momento da habilitação.</w:t>
      </w:r>
    </w:p>
    <w:p w14:paraId="7B62AAD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3.6. Será concedido tratamento favorecido para as microempresas e empresas de pequeno porte, para as sociedades cooperativas mencionadas no </w:t>
      </w:r>
      <w:r>
        <w:fldChar w:fldCharType="begin"/>
      </w:r>
      <w:r>
        <w:instrText xml:space="preserve"> HYPERLINK "http://www.planalto.gov.br/ccivil_03/_ato2019-2022/2021/lei/L14133.htm" \l "art16" </w:instrText>
      </w:r>
      <w:r>
        <w:fldChar w:fldCharType="separate"/>
      </w:r>
      <w:r>
        <w:rPr>
          <w:rFonts w:eastAsia="Calibri"/>
          <w:color w:val="000080"/>
          <w:szCs w:val="24"/>
          <w:u w:val="single"/>
          <w:lang w:eastAsia="pt-BR"/>
        </w:rPr>
        <w:t>artigo 16 da Lei nº 14.133, de 2021</w:t>
      </w:r>
      <w:r>
        <w:rPr>
          <w:rFonts w:eastAsia="Calibri"/>
          <w:color w:val="000080"/>
          <w:szCs w:val="24"/>
          <w:u w:val="single"/>
          <w:lang w:eastAsia="pt-BR"/>
        </w:rPr>
        <w:fldChar w:fldCharType="end"/>
      </w:r>
      <w:r>
        <w:rPr>
          <w:rFonts w:eastAsia="Calibri"/>
          <w:szCs w:val="24"/>
          <w:lang w:eastAsia="pt-BR"/>
        </w:rPr>
        <w:t xml:space="preserve">, para o agricultor familiar, o produtor rural pessoa física e para o microempreendedor individual - MEI, nos limites previstos da </w:t>
      </w:r>
      <w:r>
        <w:fldChar w:fldCharType="begin"/>
      </w:r>
      <w:r>
        <w:instrText xml:space="preserve"> HYPERLINK "https://www.planalto.gov.br/ccivil_03/leis/lcp/lcp123.htm" </w:instrText>
      </w:r>
      <w:r>
        <w:fldChar w:fldCharType="separate"/>
      </w:r>
      <w:r>
        <w:rPr>
          <w:rFonts w:eastAsia="Calibri"/>
          <w:color w:val="000080"/>
          <w:szCs w:val="24"/>
          <w:u w:val="single"/>
          <w:lang w:eastAsia="pt-BR"/>
        </w:rPr>
        <w:t>Lei Complementar nº 123, de 2006</w:t>
      </w:r>
      <w:r>
        <w:rPr>
          <w:rFonts w:eastAsia="Calibri"/>
          <w:color w:val="000080"/>
          <w:szCs w:val="24"/>
          <w:u w:val="single"/>
          <w:lang w:eastAsia="pt-BR"/>
        </w:rPr>
        <w:fldChar w:fldCharType="end"/>
      </w:r>
      <w:r>
        <w:rPr>
          <w:rFonts w:eastAsia="Calibri"/>
          <w:szCs w:val="24"/>
          <w:lang w:eastAsia="pt-BR"/>
        </w:rPr>
        <w:t xml:space="preserve"> e do Decreto n.º 8.538, de 2015.</w:t>
      </w:r>
    </w:p>
    <w:p w14:paraId="13415CE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 Não poderão disputar esta licitação:</w:t>
      </w:r>
    </w:p>
    <w:p w14:paraId="4D96504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3.7.1. aquele que não atenda às condições deste Edital e seus anexos;</w:t>
      </w:r>
    </w:p>
    <w:p w14:paraId="1A919FE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3.7.4. pessoa física ou jurídica que se encontre, ao tempo da licitação, impossibilitada de participar da licitação em decorrência de sanção que lhe foi imposta;</w:t>
      </w:r>
    </w:p>
    <w:p w14:paraId="4D587C6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3.7.6. empresas controladoras, controladas ou coligadas, nos termos da Lei nº 6.404, de 15 de dezembro de 1976, concorrendo entre si;</w:t>
      </w:r>
    </w:p>
    <w:p w14:paraId="21AFA5B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3.7.8. agente público do órgão ou entidade licitante;</w:t>
      </w:r>
    </w:p>
    <w:p w14:paraId="2EACCCE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3.7.9. pessoas jurídicas reunidas em consórcio;</w:t>
      </w:r>
    </w:p>
    <w:p w14:paraId="363D222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3.7.10. Organizações da Sociedade Civil de Interesse Público - OSCIP, atuando nessa condição;</w:t>
      </w:r>
    </w:p>
    <w:p w14:paraId="62548F3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Fonts w:eastAsia="Calibri"/>
          <w:szCs w:val="24"/>
          <w:u w:val="single"/>
          <w:lang w:eastAsia="pt-BR"/>
        </w:rPr>
        <w:t>§ 1º do art. 9º da Lei nº 14.133, de 2021</w:t>
      </w:r>
      <w:r>
        <w:rPr>
          <w:rFonts w:eastAsia="Calibri"/>
          <w:szCs w:val="24"/>
          <w:u w:val="single"/>
          <w:lang w:eastAsia="pt-BR"/>
        </w:rPr>
        <w:fldChar w:fldCharType="end"/>
      </w:r>
      <w:r>
        <w:rPr>
          <w:rFonts w:eastAsia="Calibri"/>
          <w:szCs w:val="24"/>
          <w:lang w:eastAsia="pt-BR"/>
        </w:rPr>
        <w:t>.</w:t>
      </w:r>
    </w:p>
    <w:p w14:paraId="6106B7F2">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szCs w:val="24"/>
          <w:lang w:eastAsia="pt-BR"/>
        </w:rPr>
        <w:t>3.7.12.</w:t>
      </w:r>
      <w:r>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color w:val="000000"/>
          <w:szCs w:val="24"/>
          <w:lang w:eastAsia="pt-BR"/>
        </w:rPr>
        <w:t>3.7.14. Equiparam-se aos autores do projeto as empresas integrantes do mesmo grupo econômico.</w:t>
      </w:r>
    </w:p>
    <w:p w14:paraId="3F280171">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w:instrText>
      </w:r>
      <w:r>
        <w:fldChar w:fldCharType="separate"/>
      </w:r>
      <w:r>
        <w:rPr>
          <w:rFonts w:eastAsia="Calibri"/>
          <w:szCs w:val="24"/>
          <w:u w:val="single"/>
          <w:lang w:eastAsia="pt-BR"/>
        </w:rPr>
        <w:t>Lei nº 14.133/2021</w:t>
      </w:r>
      <w:r>
        <w:rPr>
          <w:rFonts w:eastAsia="Calibri"/>
          <w:szCs w:val="24"/>
          <w:u w:val="single"/>
          <w:lang w:eastAsia="pt-BR"/>
        </w:rPr>
        <w:fldChar w:fldCharType="end"/>
      </w:r>
      <w:r>
        <w:rPr>
          <w:rFonts w:eastAsia="Calibri"/>
          <w:color w:val="000000"/>
          <w:szCs w:val="24"/>
          <w:lang w:eastAsia="pt-BR"/>
        </w:rPr>
        <w:t>.</w:t>
      </w:r>
    </w:p>
    <w:p w14:paraId="3FC7E2A3">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545AFEE9">
      <w:pPr>
        <w:suppressAutoHyphens w:val="0"/>
        <w:autoSpaceDE w:val="0"/>
        <w:autoSpaceDN w:val="0"/>
        <w:adjustRightInd w:val="0"/>
        <w:spacing w:before="72" w:beforeLines="30" w:after="72" w:afterLines="30"/>
        <w:jc w:val="both"/>
        <w:rPr>
          <w:rFonts w:eastAsia="Calibri"/>
          <w:szCs w:val="24"/>
          <w:lang w:eastAsia="pt-BR"/>
        </w:rPr>
      </w:pPr>
    </w:p>
    <w:p w14:paraId="724E5FDA">
      <w:pPr>
        <w:keepNext/>
        <w:keepLine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4. DA APRESENTAÇÃO DA PROPOSTA E DOS DOCUMENTOS DE HABILITAÇÃO</w:t>
      </w:r>
    </w:p>
    <w:p w14:paraId="43C029D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4.1 Na presente licitação, a fase de habilitação sucederá as fases de apresentação de propostas e lances e de julgamento.</w:t>
      </w:r>
    </w:p>
    <w:p w14:paraId="3E1178C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4.2 Os licitantes encaminharão, exclusivamente por meio do sistema eletrônico, a proposta com o preço, até a data e o horário estabelecidos para abertura da sessão pública.</w:t>
      </w:r>
    </w:p>
    <w:p w14:paraId="3F52CD5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4.3 No cadastramento da proposta inicial, o licitante encaminhará declaração </w:t>
      </w:r>
      <w:r>
        <w:rPr>
          <w:rFonts w:eastAsia="Calibri"/>
          <w:b/>
          <w:bCs/>
          <w:szCs w:val="24"/>
          <w:lang w:eastAsia="pt-BR"/>
        </w:rPr>
        <w:t>(CONFORME ANEXO IV),</w:t>
      </w:r>
      <w:r>
        <w:rPr>
          <w:rFonts w:eastAsia="Calibri"/>
          <w:szCs w:val="24"/>
          <w:lang w:eastAsia="pt-BR"/>
        </w:rPr>
        <w:t xml:space="preserve"> em campo próprio do sistema, que:</w:t>
      </w:r>
    </w:p>
    <w:p w14:paraId="669D8B0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4.3.3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Fonts w:eastAsia="Calibri"/>
          <w:color w:val="000080"/>
          <w:szCs w:val="24"/>
          <w:u w:val="single"/>
          <w:lang w:eastAsia="pt-BR"/>
        </w:rPr>
        <w:t>artigo 7°, XXXIII, da Constituição</w:t>
      </w:r>
      <w:r>
        <w:rPr>
          <w:rFonts w:eastAsia="Calibri"/>
          <w:color w:val="000080"/>
          <w:szCs w:val="24"/>
          <w:u w:val="single"/>
          <w:lang w:eastAsia="pt-BR"/>
        </w:rPr>
        <w:fldChar w:fldCharType="end"/>
      </w:r>
      <w:r>
        <w:rPr>
          <w:rFonts w:eastAsia="Calibri"/>
          <w:szCs w:val="24"/>
          <w:lang w:eastAsia="pt-BR"/>
        </w:rPr>
        <w:t>;</w:t>
      </w:r>
    </w:p>
    <w:p w14:paraId="0F232C9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4.3.4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Fonts w:eastAsia="Calibri"/>
          <w:color w:val="000080"/>
          <w:szCs w:val="24"/>
          <w:u w:val="single"/>
          <w:lang w:eastAsia="pt-BR"/>
        </w:rPr>
        <w:t>incisos III e IV do art. 1º e no inciso III do art. 5º da Constituição Federal</w:t>
      </w:r>
      <w:r>
        <w:rPr>
          <w:rFonts w:eastAsia="Calibri"/>
          <w:color w:val="000080"/>
          <w:szCs w:val="24"/>
          <w:u w:val="single"/>
          <w:lang w:eastAsia="pt-BR"/>
        </w:rPr>
        <w:fldChar w:fldCharType="end"/>
      </w:r>
      <w:r>
        <w:rPr>
          <w:rFonts w:eastAsia="Calibri"/>
          <w:szCs w:val="24"/>
          <w:lang w:eastAsia="pt-BR"/>
        </w:rPr>
        <w:t>;</w:t>
      </w:r>
    </w:p>
    <w:p w14:paraId="5372C1E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4.3.5 cumpre as exigências de reserva de cargos para pessoa com deficiência e para reabilitado da Previdência Social, previstas em lei e em outras normas específicas.</w:t>
      </w:r>
    </w:p>
    <w:p w14:paraId="74865A7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4.4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w:instrText>
      </w:r>
      <w:r>
        <w:fldChar w:fldCharType="separate"/>
      </w:r>
      <w:r>
        <w:rPr>
          <w:rFonts w:eastAsia="Calibri"/>
          <w:color w:val="000080"/>
          <w:szCs w:val="24"/>
          <w:u w:val="single"/>
          <w:lang w:eastAsia="pt-BR"/>
        </w:rPr>
        <w:t>artigo 16 da Lei nº 14.133, de 2021</w:t>
      </w:r>
      <w:r>
        <w:rPr>
          <w:rFonts w:eastAsia="Calibri"/>
          <w:color w:val="000080"/>
          <w:szCs w:val="24"/>
          <w:u w:val="single"/>
          <w:lang w:eastAsia="pt-BR"/>
        </w:rPr>
        <w:fldChar w:fldCharType="end"/>
      </w:r>
      <w:r>
        <w:rPr>
          <w:rFonts w:eastAsia="Calibri"/>
          <w:szCs w:val="24"/>
          <w:lang w:eastAsia="pt-BR"/>
        </w:rPr>
        <w:t>.</w:t>
      </w:r>
    </w:p>
    <w:p w14:paraId="002528BC">
      <w:pPr>
        <w:suppressAutoHyphens w:val="0"/>
        <w:autoSpaceDE w:val="0"/>
        <w:autoSpaceDN w:val="0"/>
        <w:adjustRightInd w:val="0"/>
        <w:spacing w:before="72" w:beforeLines="30" w:after="72" w:afterLines="30"/>
        <w:jc w:val="both"/>
        <w:rPr>
          <w:rFonts w:eastAsia="Calibri"/>
          <w:color w:val="000080"/>
          <w:szCs w:val="24"/>
          <w:u w:val="single"/>
          <w:lang w:eastAsia="pt-BR"/>
        </w:rPr>
      </w:pPr>
      <w:r>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r>
        <w:fldChar w:fldCharType="begin"/>
      </w:r>
      <w:r>
        <w:instrText xml:space="preserve"> HYPERLINK "https://www.planalto.gov.br/ccivil_03/leis/lcp/lcp123.htm" \l "art3" </w:instrText>
      </w:r>
      <w:r>
        <w:fldChar w:fldCharType="separate"/>
      </w:r>
      <w:r>
        <w:rPr>
          <w:rFonts w:eastAsia="Calibri"/>
          <w:color w:val="000080"/>
          <w:szCs w:val="24"/>
          <w:u w:val="single"/>
          <w:lang w:eastAsia="pt-BR"/>
        </w:rPr>
        <w:t>artigo 3° da Lei Complementar nº 123, de 2006</w:t>
      </w:r>
      <w:r>
        <w:rPr>
          <w:rFonts w:eastAsia="Calibri"/>
          <w:color w:val="000080"/>
          <w:szCs w:val="24"/>
          <w:u w:val="single"/>
          <w:lang w:eastAsia="pt-BR"/>
        </w:rPr>
        <w:fldChar w:fldCharType="end"/>
      </w:r>
      <w:r>
        <w:rPr>
          <w:rFonts w:eastAsia="Calibri"/>
          <w:szCs w:val="24"/>
          <w:lang w:eastAsia="pt-BR"/>
        </w:rPr>
        <w:t xml:space="preserve">, estando apto a usufruir do tratamento favorecido estabelecido em seus </w:t>
      </w:r>
      <w:r>
        <w:fldChar w:fldCharType="begin"/>
      </w:r>
      <w:r>
        <w:instrText xml:space="preserve"> HYPERLINK "https://www.planalto.gov.br/ccivil_03/leis/lcp/lcp123.htm" \l "art42" </w:instrText>
      </w:r>
      <w:r>
        <w:fldChar w:fldCharType="separate"/>
      </w:r>
      <w:r>
        <w:rPr>
          <w:rFonts w:eastAsia="Calibri"/>
          <w:color w:val="000080"/>
          <w:szCs w:val="24"/>
          <w:u w:val="single"/>
          <w:lang w:eastAsia="pt-BR"/>
        </w:rPr>
        <w:t>arts. 42 a 49</w:t>
      </w:r>
      <w:r>
        <w:rPr>
          <w:rFonts w:eastAsia="Calibri"/>
          <w:color w:val="000080"/>
          <w:szCs w:val="24"/>
          <w:u w:val="single"/>
          <w:lang w:eastAsia="pt-BR"/>
        </w:rPr>
        <w:fldChar w:fldCharType="end"/>
      </w:r>
      <w:r>
        <w:rPr>
          <w:rFonts w:eastAsia="Calibri"/>
          <w:szCs w:val="24"/>
          <w:lang w:eastAsia="pt-BR"/>
        </w:rPr>
        <w:t xml:space="preserve">, observado o disposto nos </w:t>
      </w:r>
      <w:r>
        <w:fldChar w:fldCharType="begin"/>
      </w:r>
      <w:r>
        <w:instrText xml:space="preserve"> HYPERLINK "http://www.planalto.gov.br/ccivil_03/_ato2019-2022/2021/lei/L14133.htm" \l "art4§1" </w:instrText>
      </w:r>
      <w:r>
        <w:fldChar w:fldCharType="separate"/>
      </w:r>
      <w:r>
        <w:rPr>
          <w:rFonts w:eastAsia="Calibri"/>
          <w:color w:val="000080"/>
          <w:szCs w:val="24"/>
          <w:u w:val="single"/>
          <w:lang w:eastAsia="pt-BR"/>
        </w:rPr>
        <w:t>§§ 1º ao 3º do art. 4º, da Lei n.º 14.133, de 2021.</w:t>
      </w:r>
      <w:r>
        <w:rPr>
          <w:rFonts w:eastAsia="Calibri"/>
          <w:color w:val="000080"/>
          <w:szCs w:val="24"/>
          <w:u w:val="single"/>
          <w:lang w:eastAsia="pt-BR"/>
        </w:rPr>
        <w:fldChar w:fldCharType="end"/>
      </w:r>
    </w:p>
    <w:p w14:paraId="2C985A5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4.5.1 no item exclusivo para participação de microempresas e empresas de pequeno porte, a assinalação do campo “não” impedirá o prosseguimento no certame, para aquele item;</w:t>
      </w:r>
    </w:p>
    <w:p w14:paraId="6BCF5FC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Fonts w:eastAsia="Calibri"/>
          <w:szCs w:val="24"/>
          <w:u w:val="single"/>
          <w:lang w:eastAsia="pt-BR"/>
        </w:rPr>
        <w:t>Lei Complementar nº 123, de 2006</w:t>
      </w:r>
      <w:r>
        <w:rPr>
          <w:rFonts w:eastAsia="Calibri"/>
          <w:szCs w:val="24"/>
          <w:u w:val="single"/>
          <w:lang w:eastAsia="pt-BR"/>
        </w:rPr>
        <w:fldChar w:fldCharType="end"/>
      </w:r>
      <w:r>
        <w:rPr>
          <w:rFonts w:eastAsia="Calibri"/>
          <w:szCs w:val="24"/>
          <w:lang w:eastAsia="pt-BR"/>
        </w:rPr>
        <w:t>, mesmo que microempresa, empresa de pequeno porte ou sociedade cooperativa.</w:t>
      </w:r>
    </w:p>
    <w:p w14:paraId="0D99394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4.6 A falsidade da declaração de que trata os itens acima sujeitará o licitante às sanções previstas na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e neste Edital.</w:t>
      </w:r>
    </w:p>
    <w:p w14:paraId="4A37C57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4.7 Os licitantes poderão retirar ou substituir a proposta até a abertura da sessão pública.</w:t>
      </w:r>
    </w:p>
    <w:p w14:paraId="58A0450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785A1C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4.9 Serão disponibilizados para acesso público os documentos que compõem a proposta dos licitantes convocados para apresentação de propostas, após a fase de envio de lances.</w:t>
      </w:r>
    </w:p>
    <w:p w14:paraId="7C9BD62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4.10 havendo apenas uma proposta válida, com preços compatíveis com o mercado, a licitação será adjudicada em favor do licitante que a ofertou. </w:t>
      </w:r>
    </w:p>
    <w:p w14:paraId="0174BE3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76B10DAD">
      <w:pPr>
        <w:suppressAutoHyphens w:val="0"/>
        <w:autoSpaceDE w:val="0"/>
        <w:autoSpaceDN w:val="0"/>
        <w:adjustRightInd w:val="0"/>
        <w:spacing w:before="72" w:beforeLines="30" w:after="72" w:afterLines="30"/>
        <w:jc w:val="both"/>
        <w:rPr>
          <w:rFonts w:eastAsia="Calibri"/>
          <w:szCs w:val="24"/>
          <w:lang w:eastAsia="pt-BR"/>
        </w:rPr>
      </w:pPr>
    </w:p>
    <w:p w14:paraId="0166A8AE">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5</w:t>
      </w:r>
      <w:r>
        <w:rPr>
          <w:rFonts w:eastAsia="Calibri"/>
          <w:b/>
          <w:bCs/>
          <w:szCs w:val="24"/>
          <w:lang w:eastAsia="pt-BR"/>
        </w:rPr>
        <w:tab/>
      </w:r>
      <w:r>
        <w:rPr>
          <w:rFonts w:eastAsia="Calibri"/>
          <w:b/>
          <w:bCs/>
          <w:szCs w:val="24"/>
          <w:lang w:eastAsia="pt-BR"/>
        </w:rPr>
        <w:t>DO PREENCHIMENTO DA PROPOSTA</w:t>
      </w:r>
    </w:p>
    <w:p w14:paraId="5A61B96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5.1 O licitante deverá enviar sua proposta mediante o preenchimento, no sistema eletrônico, dos seguintes campos:</w:t>
      </w:r>
    </w:p>
    <w:p w14:paraId="7212AC5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5.1.1 Valor unitário e total;</w:t>
      </w:r>
    </w:p>
    <w:p w14:paraId="516A579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5.1.2 Marca;</w:t>
      </w:r>
    </w:p>
    <w:p w14:paraId="77AE97D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5.2 Todas as especificações do objeto contidas na proposta vinculam o licitante.</w:t>
      </w:r>
    </w:p>
    <w:p w14:paraId="0002F89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5.2.1 </w:t>
      </w:r>
      <w:r>
        <w:rPr>
          <w:rFonts w:eastAsia="Calibri"/>
          <w:szCs w:val="24"/>
          <w:highlight w:val="white"/>
          <w:lang w:eastAsia="pt-BR"/>
        </w:rPr>
        <w:t>O licitante NÃO poderá oferecer proposta em quantitativo inferior ao máximo previsto para contratação.</w:t>
      </w:r>
    </w:p>
    <w:p w14:paraId="0D081779">
      <w:pPr>
        <w:suppressAutoHyphens w:val="0"/>
        <w:autoSpaceDE w:val="0"/>
        <w:autoSpaceDN w:val="0"/>
        <w:adjustRightInd w:val="0"/>
        <w:spacing w:before="72" w:beforeLines="30" w:after="72" w:afterLines="30"/>
        <w:jc w:val="both"/>
        <w:rPr>
          <w:rFonts w:eastAsia="Calibri"/>
          <w:szCs w:val="24"/>
          <w:lang w:eastAsia="pt-BR"/>
        </w:rPr>
      </w:pPr>
      <w:r>
        <w:rPr>
          <w:rFonts w:eastAsia="Calibri"/>
          <w:b/>
          <w:bCs/>
          <w:szCs w:val="24"/>
          <w:lang w:eastAsia="pt-BR"/>
        </w:rPr>
        <w:t xml:space="preserve">5.2.2 </w:t>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18F20481">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5.6 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78D7056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Fonts w:eastAsia="Calibri"/>
          <w:color w:val="000080"/>
          <w:szCs w:val="24"/>
          <w:u w:val="single"/>
          <w:lang w:eastAsia="pt-BR"/>
        </w:rPr>
        <w:t>art. 71, inciso IX, da Constituição</w:t>
      </w:r>
      <w:r>
        <w:rPr>
          <w:rFonts w:eastAsia="Calibri"/>
          <w:color w:val="000080"/>
          <w:szCs w:val="24"/>
          <w:u w:val="single"/>
          <w:lang w:eastAsia="pt-BR"/>
        </w:rPr>
        <w:fldChar w:fldCharType="end"/>
      </w:r>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pPr>
        <w:suppressAutoHyphens w:val="0"/>
        <w:autoSpaceDE w:val="0"/>
        <w:autoSpaceDN w:val="0"/>
        <w:adjustRightInd w:val="0"/>
        <w:spacing w:before="72" w:beforeLines="30" w:after="72" w:afterLines="30"/>
        <w:jc w:val="both"/>
        <w:rPr>
          <w:rFonts w:eastAsia="Calibri"/>
          <w:szCs w:val="24"/>
          <w:lang w:eastAsia="pt-BR"/>
        </w:rPr>
      </w:pPr>
    </w:p>
    <w:p w14:paraId="7551B67F">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6</w:t>
      </w:r>
      <w:r>
        <w:rPr>
          <w:rFonts w:eastAsia="Calibri"/>
          <w:b/>
          <w:bCs/>
          <w:szCs w:val="24"/>
          <w:lang w:eastAsia="pt-BR"/>
        </w:rPr>
        <w:tab/>
      </w:r>
      <w:r>
        <w:rPr>
          <w:rFonts w:eastAsia="Calibri"/>
          <w:b/>
          <w:bCs/>
          <w:szCs w:val="24"/>
          <w:lang w:eastAsia="pt-BR"/>
        </w:rPr>
        <w:t>DA ABERTURA DA SESSÃO, CLASSIFICAÇÃO DAS PROPOSTAS E FORMULAÇÃO DE LANCES</w:t>
      </w:r>
    </w:p>
    <w:p w14:paraId="5AD31D5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 A abertura da presente licitação dar-se-á em sessão pública, por meio de sistema eletrônico, na data, horário e local indicados neste Edital.</w:t>
      </w:r>
    </w:p>
    <w:p w14:paraId="7019B8D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6.3 O sistema disponibilizará campo próprio para troca de mensagens entre o Pregoeiro e os licitantes.</w:t>
      </w:r>
    </w:p>
    <w:p w14:paraId="2276C50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170B864">
      <w:pPr>
        <w:suppressAutoHyphens w:val="0"/>
        <w:autoSpaceDE w:val="0"/>
        <w:autoSpaceDN w:val="0"/>
        <w:adjustRightInd w:val="0"/>
        <w:spacing w:before="72" w:beforeLines="30" w:after="72" w:afterLines="30"/>
        <w:jc w:val="both"/>
        <w:rPr>
          <w:rFonts w:eastAsia="Calibri"/>
          <w:b/>
          <w:szCs w:val="24"/>
          <w:lang w:eastAsia="pt-BR"/>
        </w:rPr>
      </w:pPr>
      <w:r>
        <w:rPr>
          <w:rFonts w:eastAsia="Calibri"/>
          <w:b/>
          <w:szCs w:val="24"/>
          <w:lang w:eastAsia="pt-BR"/>
        </w:rPr>
        <w:t>6.5 O lance deverá ser ofertado pelo valor unitário do item.</w:t>
      </w:r>
    </w:p>
    <w:p w14:paraId="1C5EA5E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6.6 Os licitantes poderão oferecer lances sucessivos, observando o horário fixado para abertura da sessão e as regras estabelecidas no Edital.</w:t>
      </w:r>
    </w:p>
    <w:p w14:paraId="7610478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6.7 O licitante somente poderá oferecer lance de valor inferior ao último por ele ofertado e registrado pelo sistema. </w:t>
      </w:r>
    </w:p>
    <w:p w14:paraId="69948BA9">
      <w:pPr>
        <w:suppressAutoHyphens w:val="0"/>
        <w:autoSpaceDE w:val="0"/>
        <w:autoSpaceDN w:val="0"/>
        <w:adjustRightInd w:val="0"/>
        <w:spacing w:before="72" w:beforeLines="30" w:after="72" w:afterLines="30"/>
        <w:jc w:val="both"/>
        <w:rPr>
          <w:rFonts w:eastAsia="Calibri"/>
          <w:b/>
          <w:szCs w:val="24"/>
          <w:lang w:eastAsia="pt-BR"/>
        </w:rPr>
      </w:pPr>
      <w:r>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6.9 O licitante poderá excluir seu último lance ofertado, no intervalo de quinze segundos após o registro no sistema, na hipótese de lance inconsistente ou inexequível.</w:t>
      </w:r>
    </w:p>
    <w:p w14:paraId="6B7A221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6.10 O procedimento seguirá de acordo com o modo de disputa adotado.</w:t>
      </w:r>
    </w:p>
    <w:p w14:paraId="477A70F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 Caso seja adotado para o envio de lances no pregão eletrônico o modo de disputa “aberto”, os licitantes apresentarão lances públicos e sucessivos, com prorrogações.</w:t>
      </w:r>
    </w:p>
    <w:p w14:paraId="3F4DD0A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6.11.2</w:t>
      </w:r>
      <w:r>
        <w:rPr>
          <w:rFonts w:eastAsia="Calibri"/>
          <w:szCs w:val="24"/>
          <w:lang w:eastAsia="pt-BR"/>
        </w:rPr>
        <w:tab/>
      </w:r>
      <w:r>
        <w:rPr>
          <w:rFonts w:eastAsia="Calibri"/>
          <w:szCs w:val="24"/>
          <w:lang w:eastAsia="pt-BR"/>
        </w:rPr>
        <w:t>A prorrogação automática da etapa de lances, de que trata o subitem anterior, será de dois minutos e ocorrerá sucessivamente sempre que houver lances enviados nesse período de prorrogação, inclusive no caso de lances intermediários.</w:t>
      </w:r>
    </w:p>
    <w:p w14:paraId="796A170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6.11.3</w:t>
      </w:r>
      <w:r>
        <w:rPr>
          <w:rFonts w:eastAsia="Calibri"/>
          <w:szCs w:val="24"/>
          <w:lang w:eastAsia="pt-BR"/>
        </w:rPr>
        <w:tab/>
      </w:r>
      <w:r>
        <w:rPr>
          <w:rFonts w:eastAsia="Calibri"/>
          <w:szCs w:val="24"/>
          <w:lang w:eastAsia="pt-BR"/>
        </w:rPr>
        <w:t>Não havendo novos lances na forma estabelecida nos itens anteriores, a sessão pública encerrar-se-á automaticamente, e o sistema ordenará e divulgará os lances conforme a ordem final de classificação.</w:t>
      </w:r>
    </w:p>
    <w:p w14:paraId="7602F9C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6.11.4</w:t>
      </w:r>
      <w:r>
        <w:rPr>
          <w:rFonts w:eastAsia="Calibri"/>
          <w:szCs w:val="24"/>
          <w:lang w:eastAsia="pt-BR"/>
        </w:rPr>
        <w:tab/>
      </w:r>
      <w:r>
        <w:rPr>
          <w:rFonts w:eastAsia="Calibri"/>
          <w:szCs w:val="24"/>
          <w:lang w:eastAsia="pt-BR"/>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6.11.5</w:t>
      </w:r>
      <w:r>
        <w:rPr>
          <w:rFonts w:eastAsia="Calibri"/>
          <w:szCs w:val="24"/>
          <w:lang w:eastAsia="pt-BR"/>
        </w:rPr>
        <w:tab/>
      </w:r>
      <w:r>
        <w:rPr>
          <w:rFonts w:eastAsia="Calibri"/>
          <w:szCs w:val="24"/>
          <w:lang w:eastAsia="pt-BR"/>
        </w:rPr>
        <w:t>Após o reinício previsto no item supra, os licitantes serão convocados para apresentar lances intermediários.</w:t>
      </w:r>
    </w:p>
    <w:p w14:paraId="74E531D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6.12.1</w:t>
      </w:r>
      <w:r>
        <w:rPr>
          <w:rFonts w:eastAsia="Calibri"/>
          <w:szCs w:val="24"/>
          <w:lang w:eastAsia="pt-BR"/>
        </w:rPr>
        <w:tab/>
      </w:r>
      <w:r>
        <w:rPr>
          <w:rFonts w:eastAsia="Calibri"/>
          <w:szCs w:val="24"/>
          <w:lang w:eastAsia="pt-BR"/>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6.12.2</w:t>
      </w:r>
      <w:r>
        <w:rPr>
          <w:rFonts w:eastAsia="Calibri"/>
          <w:szCs w:val="24"/>
          <w:lang w:eastAsia="pt-BR"/>
        </w:rPr>
        <w:tab/>
      </w:r>
      <w:r>
        <w:rPr>
          <w:rFonts w:eastAsia="Calibri"/>
          <w:szCs w:val="24"/>
          <w:lang w:eastAsia="pt-BR"/>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8B93F7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6.12.3</w:t>
      </w:r>
      <w:r>
        <w:rPr>
          <w:rFonts w:eastAsia="Calibri"/>
          <w:szCs w:val="24"/>
          <w:lang w:eastAsia="pt-BR"/>
        </w:rPr>
        <w:tab/>
      </w:r>
      <w:r>
        <w:rPr>
          <w:rFonts w:eastAsia="Calibri"/>
          <w:szCs w:val="24"/>
          <w:lang w:eastAsia="pt-BR"/>
        </w:rPr>
        <w:t>No procedimento de que trata o subitem supra, o licitante poderá optar por manter o seu último lance da etapa aberta, ou por ofertar melhor lance.</w:t>
      </w:r>
    </w:p>
    <w:p w14:paraId="45C3D86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6.12.4</w:t>
      </w:r>
      <w:r>
        <w:rPr>
          <w:rFonts w:eastAsia="Calibri"/>
          <w:szCs w:val="24"/>
          <w:lang w:eastAsia="pt-BR"/>
        </w:rPr>
        <w:tab/>
      </w:r>
      <w:r>
        <w:rPr>
          <w:rFonts w:eastAsia="Calibri"/>
          <w:szCs w:val="24"/>
          <w:lang w:eastAsia="pt-BR"/>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6.12.5</w:t>
      </w:r>
      <w:r>
        <w:rPr>
          <w:rFonts w:eastAsia="Calibri"/>
          <w:szCs w:val="24"/>
          <w:lang w:eastAsia="pt-BR"/>
        </w:rPr>
        <w:tab/>
      </w:r>
      <w:r>
        <w:rPr>
          <w:rFonts w:eastAsia="Calibri"/>
          <w:szCs w:val="24"/>
          <w:lang w:eastAsia="pt-BR"/>
        </w:rPr>
        <w:t>Após o término dos prazos estabelecidos nos itens anteriores, o sistema ordenará e divulgará os lances segundo a ordem crescente de valores.</w:t>
      </w:r>
    </w:p>
    <w:p w14:paraId="24DB89F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47CF8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7EF0190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6.13.2</w:t>
      </w:r>
      <w:r>
        <w:rPr>
          <w:rFonts w:eastAsia="Calibri"/>
          <w:szCs w:val="24"/>
          <w:lang w:eastAsia="pt-BR"/>
        </w:rPr>
        <w:tab/>
      </w:r>
      <w:r>
        <w:rPr>
          <w:rFonts w:eastAsia="Calibri"/>
          <w:szCs w:val="24"/>
          <w:lang w:eastAsia="pt-BR"/>
        </w:rPr>
        <w:t>A etapa de lances da sessão pública terá duração de dez minutos e, após isso, será prorrogada automaticamente pelo sistema quando houver lance ofertado nos últimos dois minutos do período de duração da sessão pública.</w:t>
      </w:r>
    </w:p>
    <w:p w14:paraId="5BFCC58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6.13.3</w:t>
      </w:r>
      <w:r>
        <w:rPr>
          <w:rFonts w:eastAsia="Calibri"/>
          <w:szCs w:val="24"/>
          <w:lang w:eastAsia="pt-BR"/>
        </w:rPr>
        <w:tab/>
      </w:r>
      <w:r>
        <w:rPr>
          <w:rFonts w:eastAsia="Calibri"/>
          <w:szCs w:val="24"/>
          <w:lang w:eastAsia="pt-BR"/>
        </w:rPr>
        <w:t>A prorrogação automática da etapa de lances, de que trata o subitem anterior, será de dois minutos e ocorrerá sucessivamente sempre que houver lances enviados nesse período de prorrogação, inclusive no caso de lances intermediários.</w:t>
      </w:r>
    </w:p>
    <w:p w14:paraId="0B31ED4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6.13.4</w:t>
      </w:r>
      <w:r>
        <w:rPr>
          <w:rFonts w:eastAsia="Calibri"/>
          <w:szCs w:val="24"/>
          <w:lang w:eastAsia="pt-BR"/>
        </w:rPr>
        <w:tab/>
      </w:r>
      <w:r>
        <w:rPr>
          <w:rFonts w:eastAsia="Calibri"/>
          <w:szCs w:val="24"/>
          <w:lang w:eastAsia="pt-BR"/>
        </w:rPr>
        <w:t>Não havendo novos lances na forma estabelecida nos itens anteriores, a sessão pública encerrar-se-á automaticamente, e o sistema ordenará e divulgará os lances conforme a ordem final de classificação.</w:t>
      </w:r>
    </w:p>
    <w:p w14:paraId="1567DF6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6.13.5</w:t>
      </w:r>
      <w:r>
        <w:rPr>
          <w:rFonts w:eastAsia="Calibri"/>
          <w:szCs w:val="24"/>
          <w:lang w:eastAsia="pt-BR"/>
        </w:rPr>
        <w:tab/>
      </w:r>
      <w:r>
        <w:rPr>
          <w:rFonts w:eastAsia="Calibri"/>
          <w:szCs w:val="24"/>
          <w:lang w:eastAsia="pt-BR"/>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6.13.6</w:t>
      </w:r>
      <w:r>
        <w:rPr>
          <w:rFonts w:eastAsia="Calibri"/>
          <w:szCs w:val="24"/>
          <w:lang w:eastAsia="pt-BR"/>
        </w:rPr>
        <w:tab/>
      </w:r>
      <w:r>
        <w:rPr>
          <w:rFonts w:eastAsia="Calibri"/>
          <w:szCs w:val="24"/>
          <w:lang w:eastAsia="pt-BR"/>
        </w:rPr>
        <w:t xml:space="preserve">Após o reinício previsto no subitem supra, os licitantes serão convocados para apresentar lances intermediários.  </w:t>
      </w:r>
    </w:p>
    <w:p w14:paraId="3285156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6.14 Após o término dos prazos estabelecidos nos subitens anteriores, o sistema ordenará e divulgará os lances segundo a ordem crescente de valores.</w:t>
      </w:r>
    </w:p>
    <w:p w14:paraId="3692BD0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6.15 Não serão aceitos dois ou mais lances de mesmo valor, prevalecendo aquele que for recebido e registrado em primeiro lugar. </w:t>
      </w:r>
    </w:p>
    <w:p w14:paraId="366985C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6.16 Durante o transcurso da sessão pública, os licitantes serão informados, em tempo real, do valor do menor lance registrado, vedada a identificação do licitante. </w:t>
      </w:r>
    </w:p>
    <w:p w14:paraId="093D5EB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6.19 Caso o licitante não apresente lances, concorrerá com o valor de sua proposta.</w:t>
      </w:r>
    </w:p>
    <w:p w14:paraId="70FD709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w:instrText>
      </w:r>
      <w:r>
        <w:fldChar w:fldCharType="separate"/>
      </w:r>
      <w:r>
        <w:rPr>
          <w:rFonts w:eastAsia="Calibri"/>
          <w:color w:val="000080"/>
          <w:szCs w:val="24"/>
          <w:u w:val="single"/>
          <w:lang w:eastAsia="pt-BR"/>
        </w:rPr>
        <w:t>arts. 44 e 45 da Lei Complementar nº 123, de 2006</w:t>
      </w:r>
      <w:r>
        <w:rPr>
          <w:rFonts w:eastAsia="Calibri"/>
          <w:color w:val="000080"/>
          <w:szCs w:val="24"/>
          <w:u w:val="single"/>
          <w:lang w:eastAsia="pt-BR"/>
        </w:rPr>
        <w:fldChar w:fldCharType="end"/>
      </w:r>
      <w:r>
        <w:rPr>
          <w:rFonts w:eastAsia="Calibri"/>
          <w:szCs w:val="24"/>
          <w:lang w:eastAsia="pt-BR"/>
        </w:rPr>
        <w:t xml:space="preserve">, regulamentada pelo </w:t>
      </w:r>
      <w:r>
        <w:fldChar w:fldCharType="begin"/>
      </w:r>
      <w:r>
        <w:instrText xml:space="preserve"> HYPERLINK "https://www.planalto.gov.br/ccivil_03/_ato2015-2018/2015/decreto/d8539.htm" </w:instrText>
      </w:r>
      <w:r>
        <w:fldChar w:fldCharType="separate"/>
      </w:r>
      <w:r>
        <w:rPr>
          <w:rFonts w:eastAsia="Calibri"/>
          <w:color w:val="000080"/>
          <w:szCs w:val="24"/>
          <w:u w:val="single"/>
          <w:lang w:eastAsia="pt-BR"/>
        </w:rPr>
        <w:t>Decreto nº 8.538, de 2015</w:t>
      </w:r>
      <w:r>
        <w:rPr>
          <w:rFonts w:eastAsia="Calibri"/>
          <w:color w:val="000080"/>
          <w:szCs w:val="24"/>
          <w:u w:val="single"/>
          <w:lang w:eastAsia="pt-BR"/>
        </w:rPr>
        <w:fldChar w:fldCharType="end"/>
      </w:r>
      <w:r>
        <w:rPr>
          <w:rFonts w:eastAsia="Calibri"/>
          <w:szCs w:val="24"/>
          <w:lang w:eastAsia="pt-BR"/>
        </w:rPr>
        <w:t>.</w:t>
      </w:r>
    </w:p>
    <w:p w14:paraId="45D62B6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6.20.1</w:t>
      </w:r>
      <w:r>
        <w:rPr>
          <w:rFonts w:eastAsia="Calibri"/>
          <w:szCs w:val="24"/>
          <w:lang w:eastAsia="pt-BR"/>
        </w:rPr>
        <w:tab/>
      </w:r>
      <w:r>
        <w:rPr>
          <w:rFonts w:eastAsia="Calibri"/>
          <w:szCs w:val="24"/>
          <w:lang w:eastAsia="pt-BR"/>
        </w:rPr>
        <w:t>Nessas condições, as propostas de microempresas e empresas de pequeno porte que se encontrarem na faixa de até 5% (cinco por cento) acima da melhor proposta ou melhor lance serão consideradas empatadas com a primeira colocada.</w:t>
      </w:r>
    </w:p>
    <w:p w14:paraId="444BC55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6.20.2</w:t>
      </w:r>
      <w:r>
        <w:rPr>
          <w:rFonts w:eastAsia="Calibri"/>
          <w:szCs w:val="24"/>
          <w:lang w:eastAsia="pt-BR"/>
        </w:rPr>
        <w:tab/>
      </w:r>
      <w:r>
        <w:rPr>
          <w:rFonts w:eastAsia="Calibri"/>
          <w:szCs w:val="24"/>
          <w:lang w:eastAsia="pt-BR"/>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6.20.3</w:t>
      </w:r>
      <w:r>
        <w:rPr>
          <w:rFonts w:eastAsia="Calibri"/>
          <w:szCs w:val="24"/>
          <w:lang w:eastAsia="pt-BR"/>
        </w:rPr>
        <w:tab/>
      </w:r>
      <w:r>
        <w:rPr>
          <w:rFonts w:eastAsia="Calibri"/>
          <w:szCs w:val="24"/>
          <w:lang w:eastAsia="pt-BR"/>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6.20.4</w:t>
      </w:r>
      <w:r>
        <w:rPr>
          <w:rFonts w:eastAsia="Calibri"/>
          <w:szCs w:val="24"/>
          <w:lang w:eastAsia="pt-BR"/>
        </w:rPr>
        <w:tab/>
      </w:r>
      <w:r>
        <w:rPr>
          <w:rFonts w:eastAsia="Calibri"/>
          <w:szCs w:val="24"/>
          <w:lang w:eastAsia="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6.21 Só poderá haver empate entre propostas iguais (não seguidas de lances), ou entre lances finais da fase fechada do modo de disputa aberto e fechado. </w:t>
      </w:r>
    </w:p>
    <w:p w14:paraId="353770A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6.21.1</w:t>
      </w:r>
      <w:r>
        <w:rPr>
          <w:rFonts w:eastAsia="Calibri"/>
          <w:szCs w:val="24"/>
          <w:lang w:eastAsia="pt-BR"/>
        </w:rPr>
        <w:tab/>
      </w:r>
      <w:r>
        <w:rPr>
          <w:rFonts w:eastAsia="Calibri"/>
          <w:szCs w:val="24"/>
          <w:lang w:eastAsia="pt-BR"/>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Fonts w:eastAsia="Calibri"/>
          <w:szCs w:val="24"/>
          <w:u w:val="single"/>
          <w:lang w:eastAsia="pt-BR"/>
        </w:rPr>
        <w:t>art. 60 da Lei nº 14.133, de 2021</w:t>
      </w:r>
      <w:r>
        <w:rPr>
          <w:rFonts w:eastAsia="Calibri"/>
          <w:szCs w:val="24"/>
          <w:u w:val="single"/>
          <w:lang w:eastAsia="pt-BR"/>
        </w:rPr>
        <w:fldChar w:fldCharType="end"/>
      </w:r>
      <w:r>
        <w:rPr>
          <w:rFonts w:eastAsia="Calibri"/>
          <w:szCs w:val="24"/>
          <w:lang w:eastAsia="pt-BR"/>
        </w:rPr>
        <w:t>, nesta ordem:</w:t>
      </w:r>
    </w:p>
    <w:p w14:paraId="2AE8A7C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6.21.1.1 disputa final, hipótese em que os licitantes empatados poderão apresentar nova proposta em ato contínuo à classificação;</w:t>
      </w:r>
    </w:p>
    <w:p w14:paraId="3A796E9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6.21.1.3 desenvolvimento pelo licitante de ações de equidade entre homens e mulheres no ambiente de trabalho, conforme regulamento;</w:t>
      </w:r>
    </w:p>
    <w:p w14:paraId="54E3885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6.21.1.4 desenvolvimento pelo licitante de programa de integridade, conforme orientações dos órgãos de controle.</w:t>
      </w:r>
    </w:p>
    <w:p w14:paraId="37F28EB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6.21.2</w:t>
      </w:r>
      <w:r>
        <w:rPr>
          <w:rFonts w:eastAsia="Calibri"/>
          <w:szCs w:val="24"/>
          <w:lang w:eastAsia="pt-BR"/>
        </w:rPr>
        <w:tab/>
      </w:r>
      <w:r>
        <w:rPr>
          <w:rFonts w:eastAsia="Calibri"/>
          <w:szCs w:val="24"/>
          <w:lang w:eastAsia="pt-BR"/>
        </w:rPr>
        <w:t>Persistindo o empate, será assegurada preferência, sucessivamente, aos bens e serviços produzidos ou prestados por:</w:t>
      </w:r>
    </w:p>
    <w:p w14:paraId="6F5A71F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6.21.2.1 empresas estabelecidas no território do Estado de Mato Grosso do Sul;</w:t>
      </w:r>
    </w:p>
    <w:p w14:paraId="7BD2653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6.21.2.2 empresas brasileiras;</w:t>
      </w:r>
    </w:p>
    <w:p w14:paraId="51811AF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6.21.2.3 empresas que invistam em pesquisa e no desenvolvimento de tecnologia no País;</w:t>
      </w:r>
    </w:p>
    <w:p w14:paraId="60F51E1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6.21.2.4 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Fonts w:eastAsia="Calibri"/>
          <w:color w:val="000080"/>
          <w:szCs w:val="24"/>
          <w:u w:val="single"/>
          <w:lang w:eastAsia="pt-BR"/>
        </w:rPr>
        <w:t>Lei nº 12.187, de 29 de dezembro de 2009</w:t>
      </w:r>
      <w:r>
        <w:rPr>
          <w:rFonts w:eastAsia="Calibri"/>
          <w:color w:val="000080"/>
          <w:szCs w:val="24"/>
          <w:u w:val="single"/>
          <w:lang w:eastAsia="pt-BR"/>
        </w:rPr>
        <w:fldChar w:fldCharType="end"/>
      </w:r>
      <w:r>
        <w:rPr>
          <w:rFonts w:eastAsia="Calibri"/>
          <w:szCs w:val="24"/>
          <w:lang w:eastAsia="pt-BR"/>
        </w:rPr>
        <w:t>.</w:t>
      </w:r>
    </w:p>
    <w:p w14:paraId="368F814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6.22.1 Não será admitida a previsão de preços diferentes em razão de local de entrega ou de acondicionamento, tamanho de lote ou qualquer outro motivo.</w:t>
      </w:r>
    </w:p>
    <w:p w14:paraId="0802484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6.22.2</w:t>
      </w:r>
      <w:r>
        <w:rPr>
          <w:rFonts w:eastAsia="Calibri"/>
          <w:szCs w:val="24"/>
          <w:lang w:eastAsia="pt-BR"/>
        </w:rPr>
        <w:tab/>
      </w:r>
      <w:r>
        <w:rPr>
          <w:rFonts w:eastAsia="Calibri"/>
          <w:szCs w:val="24"/>
          <w:lang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6.22.3</w:t>
      </w:r>
      <w:r>
        <w:rPr>
          <w:rFonts w:eastAsia="Calibri"/>
          <w:szCs w:val="24"/>
          <w:lang w:eastAsia="pt-BR"/>
        </w:rPr>
        <w:tab/>
      </w:r>
      <w:r>
        <w:rPr>
          <w:rFonts w:eastAsia="Calibri"/>
          <w:szCs w:val="24"/>
          <w:lang w:eastAsia="pt-BR"/>
        </w:rPr>
        <w:t>A negociação será realizada por meio do sistema, podendo ser acompanhada pelos demais licitantes.</w:t>
      </w:r>
    </w:p>
    <w:p w14:paraId="1E1D215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6.22.4</w:t>
      </w:r>
      <w:r>
        <w:rPr>
          <w:rFonts w:eastAsia="Calibri"/>
          <w:szCs w:val="24"/>
          <w:lang w:eastAsia="pt-BR"/>
        </w:rPr>
        <w:tab/>
      </w:r>
      <w:r>
        <w:rPr>
          <w:rFonts w:eastAsia="Calibri"/>
          <w:szCs w:val="24"/>
          <w:lang w:eastAsia="pt-BR"/>
        </w:rPr>
        <w:t>O resultado da negociação será divulgado a todos os licitantes e anexado aos autos do processo licitatório.</w:t>
      </w:r>
    </w:p>
    <w:p w14:paraId="5E94173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6.22.5</w:t>
      </w:r>
      <w:r>
        <w:rPr>
          <w:rFonts w:eastAsia="Calibri"/>
          <w:szCs w:val="24"/>
          <w:lang w:eastAsia="pt-BR"/>
        </w:rPr>
        <w:tab/>
      </w:r>
      <w:r>
        <w:rPr>
          <w:rFonts w:eastAsia="Calibri"/>
          <w:szCs w:val="24"/>
          <w:lang w:eastAsia="pt-BR"/>
        </w:rPr>
        <w:t xml:space="preserve">O pregoeiro solicitará ao licitante mais bem classificado que, no prazo de </w:t>
      </w:r>
      <w:r>
        <w:rPr>
          <w:rFonts w:eastAsia="Calibri"/>
          <w:b/>
          <w:szCs w:val="24"/>
          <w:lang w:eastAsia="pt-BR"/>
        </w:rPr>
        <w:t>2 (duas) horas</w:t>
      </w:r>
      <w:r>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6.22.6</w:t>
      </w:r>
      <w:r>
        <w:rPr>
          <w:rFonts w:eastAsia="Calibri"/>
          <w:szCs w:val="24"/>
          <w:lang w:eastAsia="pt-BR"/>
        </w:rPr>
        <w:tab/>
      </w:r>
      <w:r>
        <w:rPr>
          <w:rFonts w:eastAsia="Calibri"/>
          <w:szCs w:val="24"/>
          <w:lang w:eastAsia="pt-BR"/>
        </w:rPr>
        <w:t>É facultado ao pregoeiro prorrogar o prazo estabelecido, a partir de solicitação fundamentada feita no chat pelo licitante, antes de findo o prazo.</w:t>
      </w:r>
    </w:p>
    <w:p w14:paraId="2AAFEA1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6.23</w:t>
      </w:r>
      <w:r>
        <w:rPr>
          <w:rFonts w:eastAsia="Calibri"/>
          <w:szCs w:val="24"/>
          <w:lang w:eastAsia="pt-BR"/>
        </w:rPr>
        <w:tab/>
      </w:r>
      <w:r>
        <w:rPr>
          <w:rFonts w:eastAsia="Calibri"/>
          <w:szCs w:val="24"/>
          <w:lang w:eastAsia="pt-BR"/>
        </w:rPr>
        <w:t>Após a negociação do preço, o Pregoeiro iniciará a fase de aceitação e julgamento da proposta.</w:t>
      </w:r>
    </w:p>
    <w:p w14:paraId="383F4533">
      <w:pPr>
        <w:suppressAutoHyphens w:val="0"/>
        <w:autoSpaceDE w:val="0"/>
        <w:autoSpaceDN w:val="0"/>
        <w:adjustRightInd w:val="0"/>
        <w:spacing w:before="72" w:beforeLines="30" w:after="72" w:afterLines="30"/>
        <w:jc w:val="both"/>
        <w:rPr>
          <w:rFonts w:eastAsia="Calibri"/>
          <w:bCs/>
          <w:szCs w:val="24"/>
          <w:lang w:eastAsia="pt-BR"/>
        </w:rPr>
      </w:pPr>
    </w:p>
    <w:p w14:paraId="39B32D46">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7</w:t>
      </w:r>
      <w:r>
        <w:rPr>
          <w:rFonts w:eastAsia="Calibri"/>
          <w:b/>
          <w:bCs/>
          <w:szCs w:val="24"/>
          <w:lang w:eastAsia="pt-BR"/>
        </w:rPr>
        <w:tab/>
      </w:r>
      <w:r>
        <w:rPr>
          <w:rFonts w:eastAsia="Calibri"/>
          <w:b/>
          <w:bCs/>
          <w:szCs w:val="24"/>
          <w:lang w:eastAsia="pt-BR"/>
        </w:rPr>
        <w:t>DA FASE DE JULGAMENTO</w:t>
      </w:r>
    </w:p>
    <w:p w14:paraId="29DC9885">
      <w:pPr>
        <w:suppressAutoHyphens w:val="0"/>
        <w:autoSpaceDE w:val="0"/>
        <w:autoSpaceDN w:val="0"/>
        <w:adjustRightInd w:val="0"/>
        <w:spacing w:before="72" w:beforeLines="30" w:after="72" w:afterLines="30"/>
        <w:jc w:val="both"/>
        <w:rPr>
          <w:rFonts w:eastAsia="Calibri"/>
          <w:b/>
          <w:bCs/>
          <w:szCs w:val="24"/>
          <w:lang w:eastAsia="pt-BR"/>
        </w:rPr>
      </w:pPr>
      <w:r>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Fonts w:eastAsia="Calibri"/>
          <w:color w:val="000080"/>
          <w:szCs w:val="24"/>
          <w:u w:val="single"/>
          <w:lang w:eastAsia="pt-BR"/>
        </w:rPr>
        <w:t>art. 14 da Lei nº 14.133/2021</w:t>
      </w:r>
      <w:r>
        <w:rPr>
          <w:rFonts w:eastAsia="Calibri"/>
          <w:color w:val="000080"/>
          <w:szCs w:val="24"/>
          <w:u w:val="single"/>
          <w:lang w:eastAsia="pt-BR"/>
        </w:rPr>
        <w:fldChar w:fldCharType="end"/>
      </w:r>
      <w:r>
        <w:rPr>
          <w:rFonts w:eastAsia="Calibri"/>
          <w:szCs w:val="24"/>
          <w:lang w:eastAsia="pt-BR"/>
        </w:rPr>
        <w:t>, especialmente quanto à existência de sanção que impeça a participação no certame ou a futura contratação, mediante a consulta aos seguintes cadastros:</w:t>
      </w:r>
    </w:p>
    <w:p w14:paraId="0ED3E1B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7.1.1 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Fonts w:eastAsia="Calibri"/>
          <w:szCs w:val="24"/>
          <w:lang w:eastAsia="pt-BR"/>
        </w:rPr>
        <w:t>https://www.portaltransparencia.gov.br/sancoes/ceis</w:t>
      </w:r>
      <w:r>
        <w:rPr>
          <w:rFonts w:eastAsia="Calibri"/>
          <w:szCs w:val="24"/>
          <w:lang w:eastAsia="pt-BR"/>
        </w:rPr>
        <w:fldChar w:fldCharType="end"/>
      </w:r>
      <w:r>
        <w:rPr>
          <w:rFonts w:eastAsia="Calibri"/>
          <w:szCs w:val="24"/>
          <w:lang w:eastAsia="pt-BR"/>
        </w:rPr>
        <w:t xml:space="preserve">); e </w:t>
      </w:r>
    </w:p>
    <w:p w14:paraId="7187C4B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7.1.2 Cadastro Nacional de Empresas Punidas – CNEP, mantido pela Controladoria-Geral da União (</w:t>
      </w:r>
      <w:r>
        <w:fldChar w:fldCharType="begin"/>
      </w:r>
      <w:r>
        <w:instrText xml:space="preserve"> HYPERLINK "https://www.portaltransparencia.gov.br/sancoes/cnep" </w:instrText>
      </w:r>
      <w:r>
        <w:fldChar w:fldCharType="separate"/>
      </w:r>
      <w:r>
        <w:rPr>
          <w:rFonts w:eastAsia="Calibri"/>
          <w:szCs w:val="24"/>
          <w:lang w:eastAsia="pt-BR"/>
        </w:rPr>
        <w:t>https://www.portaltransparencia.gov.br/sancoes/cnep</w:t>
      </w:r>
      <w:r>
        <w:rPr>
          <w:rFonts w:eastAsia="Calibri"/>
          <w:szCs w:val="24"/>
          <w:lang w:eastAsia="pt-BR"/>
        </w:rPr>
        <w:fldChar w:fldCharType="end"/>
      </w:r>
      <w:r>
        <w:rPr>
          <w:rFonts w:eastAsia="Calibri"/>
          <w:szCs w:val="24"/>
          <w:lang w:eastAsia="pt-BR"/>
        </w:rPr>
        <w:t>).</w:t>
      </w:r>
    </w:p>
    <w:p w14:paraId="009244A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7.1.3 O licitante será convocado para manifestação previamente a uma eventual desclassificação.</w:t>
      </w:r>
    </w:p>
    <w:p w14:paraId="06614A2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7.1.4 Constatada a existência de sanção, o licitante será reputado inabilitado, por falta de condição de participação.</w:t>
      </w:r>
    </w:p>
    <w:p w14:paraId="5D65D76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7.2 Caso o licitante provisoriamente classificado em primeiro lugar tenha se utilizado de algum tratamento favorecido às ME/EPPs, o pregoeiro verificará se faz jus ao benefício, em conformidade com os itens 4.5.1 e 4.5 deste edital.</w:t>
      </w:r>
    </w:p>
    <w:p w14:paraId="2705D36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DD2EFB">
      <w:pPr>
        <w:suppressAutoHyphens w:val="0"/>
        <w:autoSpaceDE w:val="0"/>
        <w:autoSpaceDN w:val="0"/>
        <w:adjustRightInd w:val="0"/>
        <w:spacing w:before="72" w:beforeLines="30" w:after="72" w:afterLines="30"/>
        <w:jc w:val="both"/>
        <w:rPr>
          <w:rFonts w:eastAsia="Calibri"/>
          <w:b/>
          <w:bCs/>
          <w:szCs w:val="24"/>
          <w:lang w:eastAsia="pt-BR"/>
        </w:rPr>
      </w:pPr>
      <w:r>
        <w:rPr>
          <w:rFonts w:eastAsia="Calibri"/>
          <w:szCs w:val="24"/>
          <w:lang w:eastAsia="pt-BR"/>
        </w:rPr>
        <w:t xml:space="preserve">7.4 Será desclassificada a proposta vencedora que: </w:t>
      </w:r>
    </w:p>
    <w:p w14:paraId="2D602F3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7.4.1 contiver vícios insanáveis;</w:t>
      </w:r>
    </w:p>
    <w:p w14:paraId="5DFF6D1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7.4.2 não obedecer às especificações técnicas contidas no Termo de Referência;</w:t>
      </w:r>
    </w:p>
    <w:p w14:paraId="2B09536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7.4.3 apresentar preços inexequíveis ou permanecerem acima do preço máximo definido para a contratação;</w:t>
      </w:r>
    </w:p>
    <w:p w14:paraId="1FD1E29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7.4.4 não tiverem sua exequibilidade demonstrada, quando exigido pela Administração;</w:t>
      </w:r>
    </w:p>
    <w:p w14:paraId="51EEE04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7.4.5 apresentar desconformidade com quaisquer outras exigências deste Edital ou seus anexos, desde que insanável.</w:t>
      </w:r>
    </w:p>
    <w:p w14:paraId="541F9FD8">
      <w:pPr>
        <w:suppressAutoHyphens w:val="0"/>
        <w:autoSpaceDE w:val="0"/>
        <w:autoSpaceDN w:val="0"/>
        <w:adjustRightInd w:val="0"/>
        <w:spacing w:before="72" w:beforeLines="30" w:after="72" w:afterLines="30"/>
        <w:jc w:val="both"/>
        <w:rPr>
          <w:rFonts w:eastAsia="Calibri"/>
          <w:b/>
          <w:bCs/>
          <w:szCs w:val="24"/>
          <w:lang w:eastAsia="pt-BR"/>
        </w:rPr>
      </w:pPr>
      <w:r>
        <w:rPr>
          <w:rFonts w:eastAsia="Calibri"/>
          <w:szCs w:val="24"/>
          <w:lang w:eastAsia="pt-BR"/>
        </w:rPr>
        <w:t>7.5 No caso de bens e serviços em geral, é indício de inexequibilidade das propostas valores inferiores a 50% (cinquenta por cento) do valor orçado pela Administração.</w:t>
      </w:r>
    </w:p>
    <w:p w14:paraId="5C44124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7.5.1 A inexequibilidade, na hipótese de que trata o caput, só será considerada após diligência do pregoeiro, que comprove:</w:t>
      </w:r>
    </w:p>
    <w:p w14:paraId="3A7F4FA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7.5.1.1</w:t>
      </w:r>
      <w:r>
        <w:rPr>
          <w:rFonts w:eastAsia="Calibri"/>
          <w:szCs w:val="24"/>
          <w:lang w:eastAsia="pt-BR"/>
        </w:rPr>
        <w:tab/>
      </w:r>
      <w:r>
        <w:rPr>
          <w:rFonts w:eastAsia="Calibri"/>
          <w:szCs w:val="24"/>
          <w:lang w:eastAsia="pt-BR"/>
        </w:rPr>
        <w:t>que o custo do licitante ultrapassa o valor da proposta; e</w:t>
      </w:r>
    </w:p>
    <w:p w14:paraId="41202D5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7.5.1.2</w:t>
      </w:r>
      <w:r>
        <w:rPr>
          <w:rFonts w:eastAsia="Calibri"/>
          <w:szCs w:val="24"/>
          <w:lang w:eastAsia="pt-BR"/>
        </w:rPr>
        <w:tab/>
      </w:r>
      <w:r>
        <w:rPr>
          <w:rFonts w:eastAsia="Calibri"/>
          <w:szCs w:val="24"/>
          <w:lang w:eastAsia="pt-BR"/>
        </w:rPr>
        <w:t>inexistirem custos de oportunidade capazes de justificar o vulto da oferta.</w:t>
      </w:r>
    </w:p>
    <w:p w14:paraId="0A780A6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7.6 Se houver indícios de inexequibilidade da proposta de preço, ou em caso da necessidade de esclarecimentos complementares, poderão ser efetuadas diligências, para que a empresa comprove a exequibilidade da proposta.</w:t>
      </w:r>
    </w:p>
    <w:p w14:paraId="5DA4D9FB">
      <w:pPr>
        <w:suppressAutoHyphens w:val="0"/>
        <w:autoSpaceDE w:val="0"/>
        <w:autoSpaceDN w:val="0"/>
        <w:adjustRightInd w:val="0"/>
        <w:spacing w:before="72" w:beforeLines="30" w:after="72" w:afterLines="30"/>
        <w:jc w:val="both"/>
        <w:rPr>
          <w:rFonts w:eastAsia="Calibri"/>
          <w:szCs w:val="24"/>
          <w:lang w:eastAsia="pt-BR"/>
        </w:rPr>
      </w:pPr>
    </w:p>
    <w:p w14:paraId="00F9814C">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8</w:t>
      </w:r>
      <w:r>
        <w:rPr>
          <w:rFonts w:eastAsia="Calibri"/>
          <w:b/>
          <w:bCs/>
          <w:szCs w:val="24"/>
          <w:lang w:eastAsia="pt-BR"/>
        </w:rPr>
        <w:tab/>
      </w:r>
      <w:r>
        <w:rPr>
          <w:rFonts w:eastAsia="Calibri"/>
          <w:b/>
          <w:bCs/>
          <w:szCs w:val="24"/>
          <w:lang w:eastAsia="pt-BR"/>
        </w:rPr>
        <w:t>DA FASE DE HABILITAÇÃO</w:t>
      </w:r>
    </w:p>
    <w:p w14:paraId="7EE1E4C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 \l "art62" </w:instrText>
      </w:r>
      <w:r>
        <w:fldChar w:fldCharType="separate"/>
      </w:r>
      <w:r>
        <w:rPr>
          <w:rFonts w:eastAsia="Calibri"/>
          <w:color w:val="000080"/>
          <w:szCs w:val="24"/>
          <w:u w:val="single"/>
          <w:lang w:eastAsia="pt-BR"/>
        </w:rPr>
        <w:t>arts. 62 a 70 da Lei nº 14.133, de 2021</w:t>
      </w:r>
      <w:r>
        <w:rPr>
          <w:rFonts w:eastAsia="Calibri"/>
          <w:color w:val="000080"/>
          <w:szCs w:val="24"/>
          <w:u w:val="single"/>
          <w:lang w:eastAsia="pt-BR"/>
        </w:rPr>
        <w:fldChar w:fldCharType="end"/>
      </w:r>
      <w:r>
        <w:rPr>
          <w:rFonts w:eastAsia="Calibri"/>
          <w:szCs w:val="24"/>
          <w:lang w:eastAsia="pt-BR"/>
        </w:rPr>
        <w:t>.</w:t>
      </w:r>
    </w:p>
    <w:p w14:paraId="3B135C0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E54F2B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8.3 Os documentos exigidos para fins de habilitação poderão ser substituídos por registro cadastral emitido por órgão ou entidade pública, desde que o registro tenha sido feito em obediência ao disposto na Lei nº 14.133/2021.</w:t>
      </w:r>
    </w:p>
    <w:p w14:paraId="4BF182B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8.4 Os documentos exigidos para fins de habilitação poderão ser substituídos por registro cadastral emitido por órgão ou entidade pública, desde que o registro tenha sido feito em obediência ao disposto na Lei nº 14.133/2021.</w:t>
      </w:r>
    </w:p>
    <w:p w14:paraId="0B2FC38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8.5 Será verificado se o licitante apresentou declaração de que atende aos requisitos de habilitação, e o declarante responderá pela veracidade das informações prestadas, na forma da lei (</w:t>
      </w:r>
      <w:r>
        <w:fldChar w:fldCharType="begin"/>
      </w:r>
      <w:r>
        <w:instrText xml:space="preserve"> HYPERLINK "http://www.planalto.gov.br/ccivil_03/_ato2019-2022/2021/lei/L14133.htm" \l "art63" </w:instrText>
      </w:r>
      <w:r>
        <w:fldChar w:fldCharType="separate"/>
      </w:r>
      <w:r>
        <w:rPr>
          <w:rFonts w:eastAsia="Calibri"/>
          <w:color w:val="000080"/>
          <w:szCs w:val="24"/>
          <w:u w:val="single"/>
          <w:lang w:eastAsia="pt-BR"/>
        </w:rPr>
        <w:t>art. 63, I, da Lei nº 14.133/2021</w:t>
      </w:r>
      <w:r>
        <w:rPr>
          <w:rFonts w:eastAsia="Calibri"/>
          <w:color w:val="000080"/>
          <w:szCs w:val="24"/>
          <w:u w:val="single"/>
          <w:lang w:eastAsia="pt-BR"/>
        </w:rPr>
        <w:fldChar w:fldCharType="end"/>
      </w:r>
      <w:r>
        <w:rPr>
          <w:rFonts w:eastAsia="Calibri"/>
          <w:szCs w:val="24"/>
          <w:lang w:eastAsia="pt-BR"/>
        </w:rPr>
        <w:t>).</w:t>
      </w:r>
    </w:p>
    <w:p w14:paraId="426BE15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8.6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8.7 </w:t>
      </w:r>
      <w:r>
        <w:rPr>
          <w:rFonts w:eastAsia="Calibri"/>
          <w:b/>
          <w:bCs/>
          <w:szCs w:val="24"/>
          <w:lang w:eastAsia="pt-BR"/>
        </w:rPr>
        <w:t xml:space="preserve">Habilitação jurídica: </w:t>
      </w:r>
    </w:p>
    <w:p w14:paraId="16C04E3C">
      <w:pPr>
        <w:suppressAutoHyphens w:val="0"/>
        <w:autoSpaceDE w:val="0"/>
        <w:autoSpaceDN w:val="0"/>
        <w:adjustRightInd w:val="0"/>
        <w:spacing w:before="72" w:beforeLines="30" w:after="72" w:afterLines="30"/>
        <w:jc w:val="both"/>
        <w:rPr>
          <w:rFonts w:eastAsia="Calibri"/>
          <w:b/>
          <w:bCs/>
          <w:szCs w:val="24"/>
          <w:lang w:eastAsia="pt-BR"/>
        </w:rPr>
      </w:pPr>
      <w:r>
        <w:rPr>
          <w:rFonts w:eastAsia="Calibri"/>
          <w:szCs w:val="24"/>
          <w:lang w:eastAsia="pt-BR"/>
        </w:rPr>
        <w:t>8.7.1. Empresário individual: inscrição no Registro Público de Empresas Mercantis, a cargo da Junta Comercial da respectiva sede</w:t>
      </w:r>
      <w:r>
        <w:rPr>
          <w:rFonts w:eastAsia="Calibri"/>
          <w:b/>
          <w:bCs/>
          <w:szCs w:val="24"/>
          <w:lang w:eastAsia="pt-BR"/>
        </w:rPr>
        <w:t xml:space="preserve">; </w:t>
      </w:r>
    </w:p>
    <w:p w14:paraId="6A8605C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8.7.2.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rPr>
          <w:rFonts w:eastAsia="Calibri"/>
          <w:szCs w:val="24"/>
          <w:lang w:eastAsia="pt-BR"/>
        </w:rPr>
        <w:t>https://www.gov.br/empresas-e-negocios/pt-br/empreendedor</w:t>
      </w:r>
      <w:r>
        <w:rPr>
          <w:rFonts w:eastAsia="Calibri"/>
          <w:szCs w:val="24"/>
          <w:lang w:eastAsia="pt-BR"/>
        </w:rPr>
        <w:fldChar w:fldCharType="end"/>
      </w:r>
      <w:r>
        <w:rPr>
          <w:rFonts w:eastAsia="Calibri"/>
          <w:szCs w:val="24"/>
          <w:lang w:eastAsia="pt-BR"/>
        </w:rPr>
        <w:t>;</w:t>
      </w:r>
    </w:p>
    <w:p w14:paraId="32985CB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35CBE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8.7.5. Sociedade simples: inscrição do ato constitutivo no Registro Civil de Pessoas Jurídicas do local de sua sede, acompanhada de documento comprobatório de seus administradores;</w:t>
      </w:r>
    </w:p>
    <w:p w14:paraId="1BDC957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A919AF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8.7.8. Os documentos apresentados deverão estar acompanhados de todas as alterações ou da consolidação respectiva.</w:t>
      </w:r>
    </w:p>
    <w:p w14:paraId="6EF3DDC2">
      <w:pPr>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8.8. Habilitação fiscal, social e trabalhista</w:t>
      </w:r>
    </w:p>
    <w:p w14:paraId="1C8F535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8.8.1. Prova de inscrição no Cadastro Nacional de Pessoas Jurídicas;</w:t>
      </w:r>
    </w:p>
    <w:p w14:paraId="417DE23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8.8.3. Prova de regularidade com o Fundo de Garantia do Tempo de Serviço (FGTS);</w:t>
      </w:r>
    </w:p>
    <w:p w14:paraId="2EED2F7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8.8.5. Prova de regularidade com a Fazenda ESTADUAL do domicílio ou sede do fornecedor, relativa à atividade em cujo exercício contrata ou concorre;</w:t>
      </w:r>
    </w:p>
    <w:p w14:paraId="2F549A7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8.8.6. Caso o fornecedor seja considerado isento dos tributos</w:t>
      </w:r>
      <w:r>
        <w:rPr>
          <w:rFonts w:eastAsia="Calibri"/>
          <w:color w:val="EE0000"/>
          <w:szCs w:val="24"/>
          <w:lang w:eastAsia="pt-BR"/>
        </w:rPr>
        <w:t xml:space="preserve"> </w:t>
      </w:r>
      <w:r>
        <w:rPr>
          <w:rFonts w:eastAsia="Calibri"/>
          <w:szCs w:val="24"/>
          <w:lang w:eastAsia="pt-BR"/>
        </w:rPr>
        <w:t>estaduais</w:t>
      </w:r>
      <w:r>
        <w:rPr>
          <w:rFonts w:eastAsia="Calibri"/>
          <w:color w:val="EE0000"/>
          <w:szCs w:val="24"/>
          <w:lang w:eastAsia="pt-BR"/>
        </w:rPr>
        <w:t xml:space="preserve"> </w:t>
      </w:r>
      <w:r>
        <w:rPr>
          <w:rFonts w:eastAsia="Calibri"/>
          <w:szCs w:val="24"/>
          <w:lang w:eastAsia="pt-BR"/>
        </w:rPr>
        <w:t>relacionados ao objeto contratual, deverá comprovar tal condição mediante a apresentação de declaração da Fazenda respectiva do seu domicílio ou sede, ou outra equivalente, na forma da lei.</w:t>
      </w:r>
    </w:p>
    <w:p w14:paraId="5BB70B1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37A0DC5">
      <w:pPr>
        <w:spacing w:before="72" w:beforeLines="30" w:after="72" w:afterLines="30"/>
        <w:jc w:val="both"/>
        <w:rPr>
          <w:b/>
          <w:szCs w:val="24"/>
        </w:rPr>
      </w:pPr>
      <w:r>
        <w:rPr>
          <w:b/>
          <w:szCs w:val="24"/>
        </w:rPr>
        <w:t xml:space="preserve">8.9 Habilitação técnica </w:t>
      </w:r>
    </w:p>
    <w:p w14:paraId="0C6F1F87">
      <w:pPr>
        <w:spacing w:before="72" w:beforeLines="30" w:after="72" w:afterLines="30"/>
        <w:jc w:val="both"/>
        <w:rPr>
          <w:szCs w:val="24"/>
        </w:rPr>
      </w:pPr>
      <w:r>
        <w:rPr>
          <w:szCs w:val="24"/>
        </w:rPr>
        <w:t xml:space="preserve">8.9.1 Comprovação de que possui registro ou inscrição na Agência Nacional de Petróleo, para o exercício de atividades pertinentes ao objeto do Edital; </w:t>
      </w:r>
    </w:p>
    <w:p w14:paraId="1673B8E6">
      <w:pPr>
        <w:spacing w:before="72" w:beforeLines="30" w:after="72" w:afterLines="30"/>
        <w:jc w:val="both"/>
        <w:rPr>
          <w:szCs w:val="24"/>
        </w:rPr>
      </w:pPr>
      <w:r>
        <w:rPr>
          <w:szCs w:val="24"/>
        </w:rPr>
        <w:t xml:space="preserve">8.9.2 Laudo de Vistoria do Corpo de Bombeiros aprovando o funcionamento do Estabelecimento. </w:t>
      </w:r>
    </w:p>
    <w:p w14:paraId="18316A38">
      <w:pPr>
        <w:suppressAutoHyphens w:val="0"/>
        <w:autoSpaceDE w:val="0"/>
        <w:autoSpaceDN w:val="0"/>
        <w:adjustRightInd w:val="0"/>
        <w:spacing w:before="72" w:beforeLines="30" w:after="72" w:afterLines="30"/>
        <w:jc w:val="both"/>
        <w:rPr>
          <w:rFonts w:eastAsia="Calibri"/>
          <w:szCs w:val="24"/>
          <w:lang w:eastAsia="pt-BR"/>
        </w:rPr>
      </w:pPr>
    </w:p>
    <w:p w14:paraId="3AC4994C">
      <w:pPr>
        <w:suppressAutoHyphens w:val="0"/>
        <w:autoSpaceDE w:val="0"/>
        <w:autoSpaceDN w:val="0"/>
        <w:adjustRightInd w:val="0"/>
        <w:spacing w:before="72" w:beforeLines="30" w:after="72" w:afterLines="30"/>
        <w:jc w:val="both"/>
        <w:rPr>
          <w:rFonts w:eastAsia="Calibri"/>
          <w:b/>
          <w:szCs w:val="24"/>
          <w:lang w:eastAsia="pt-BR"/>
        </w:rPr>
      </w:pPr>
      <w:r>
        <w:rPr>
          <w:rFonts w:eastAsia="Calibri"/>
          <w:b/>
          <w:szCs w:val="24"/>
          <w:lang w:eastAsia="pt-BR"/>
        </w:rPr>
        <w:t>9. DA ATA DE REGISTRO DE PREÇOS</w:t>
      </w:r>
    </w:p>
    <w:p w14:paraId="2339BFD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 Homologado o resultado da licitação, o licitante mais bem classificado terá o prazo de 03</w:t>
      </w:r>
    </w:p>
    <w:p w14:paraId="7982778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(três) dias, contados a partir da data de sua convocação, para assinar a Ata de Registro de Preços,</w:t>
      </w:r>
    </w:p>
    <w:p w14:paraId="1D301B4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cujo prazo de validade encontra-se nela fixado, sob pena de decadência do direito à contratação,</w:t>
      </w:r>
    </w:p>
    <w:p w14:paraId="59937DA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sem prejuízo das sanções previstas na Lei nº 14.133, de 2021.</w:t>
      </w:r>
    </w:p>
    <w:p w14:paraId="0A479FF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9.2. O prazo de convocação poderá ser prorrogado uma vez, por igual período, mediante solicitação do licitante mais bem classificado ou do fornecedor convocado, desde que:</w:t>
      </w:r>
    </w:p>
    <w:p w14:paraId="78CFD68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a) a solicitação seja devidamente justificada e apresentada dentro do prazo; e</w:t>
      </w:r>
    </w:p>
    <w:p w14:paraId="58672F5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b) a justificativa apresentada seja aceita pela Administração.</w:t>
      </w:r>
    </w:p>
    <w:p w14:paraId="0991406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9.3. A ata de registro de preços será assinada por meio de assinatura digital e disponibilizada no sistema de registro de preços.</w:t>
      </w:r>
    </w:p>
    <w:p w14:paraId="24618B8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D32DCD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9.5. O preço registrado, com a indicação dos fornecedores, será divulgado no PNCP e disponibilizado durante a vigência da ata de registro de preços.</w:t>
      </w:r>
    </w:p>
    <w:p w14:paraId="334FD8D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pPr>
        <w:keepNext/>
        <w:keepLines/>
        <w:tabs>
          <w:tab w:val="left" w:pos="567"/>
        </w:tabs>
        <w:suppressAutoHyphens w:val="0"/>
        <w:autoSpaceDE w:val="0"/>
        <w:autoSpaceDN w:val="0"/>
        <w:adjustRightInd w:val="0"/>
        <w:spacing w:before="72" w:beforeLines="30" w:after="72" w:afterLines="30"/>
        <w:jc w:val="both"/>
        <w:rPr>
          <w:rFonts w:eastAsia="Calibri"/>
          <w:bCs/>
          <w:szCs w:val="24"/>
          <w:lang w:eastAsia="pt-BR"/>
        </w:rPr>
      </w:pPr>
      <w:r>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pPr>
        <w:suppressAutoHyphens w:val="0"/>
        <w:spacing w:before="72" w:beforeLines="30" w:after="72" w:afterLines="30"/>
        <w:jc w:val="both"/>
        <w:rPr>
          <w:rFonts w:eastAsia="Arial Unicode MS"/>
          <w:szCs w:val="24"/>
          <w:lang w:eastAsia="pt-BR"/>
        </w:rPr>
      </w:pPr>
      <w:r>
        <w:rPr>
          <w:rFonts w:eastAsia="Arial Unicode MS"/>
          <w:szCs w:val="24"/>
          <w:lang w:eastAsia="pt-BR"/>
        </w:rPr>
        <w:t>9.9 A Ata de Registro de Preços poderá ser convertida em contrato, cuja vigência e demais condições estão estabelecidas na minuta contratual anexa a este edital.</w:t>
      </w:r>
    </w:p>
    <w:p w14:paraId="5477641B">
      <w:pPr>
        <w:suppressAutoHyphens w:val="0"/>
        <w:autoSpaceDE w:val="0"/>
        <w:autoSpaceDN w:val="0"/>
        <w:adjustRightInd w:val="0"/>
        <w:spacing w:before="72" w:beforeLines="30" w:after="72" w:afterLines="30"/>
        <w:jc w:val="both"/>
        <w:rPr>
          <w:rFonts w:eastAsia="Calibri"/>
          <w:b/>
          <w:szCs w:val="24"/>
          <w:lang w:eastAsia="pt-BR"/>
        </w:rPr>
      </w:pPr>
      <w:r>
        <w:rPr>
          <w:rFonts w:eastAsia="Calibri"/>
          <w:b/>
          <w:szCs w:val="24"/>
          <w:lang w:eastAsia="pt-BR"/>
        </w:rPr>
        <w:t>9.10 DA FORMAÇÃO DO CADASTRO DE RESERVA</w:t>
      </w:r>
    </w:p>
    <w:p w14:paraId="03482FC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9.10.1 Após a homologação da licitação, será incluído na ata, na forma de anexo, o registro:</w:t>
      </w:r>
    </w:p>
    <w:p w14:paraId="035CF80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a) dos licitantes que aceitarem cotar o objeto com preço igual ao do adjudicatário, observada a classificação na licitação; e</w:t>
      </w:r>
    </w:p>
    <w:p w14:paraId="20A4C4A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b) dos licitantes que mantiverem sua proposta original</w:t>
      </w:r>
    </w:p>
    <w:p w14:paraId="6C18C81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9.10.2 Será respeitada, nas contratações, a ordem de classificação dos licitantes ou fornecedores registrados na ata.</w:t>
      </w:r>
    </w:p>
    <w:p w14:paraId="0DC038D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9.10.2.1 A apresentação de novas propostas na forma deste item não prejudicará o resultado do certame em relação ao licitante mais bem classificado.</w:t>
      </w:r>
    </w:p>
    <w:p w14:paraId="2251475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232A365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original.</w:t>
      </w:r>
    </w:p>
    <w:p w14:paraId="25734C6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9.10.3 A habilitação dos licitantes que comporão o cadastro de reserva será efetuada quando houver necessidade de contratação dos licitantes remanescentes, nas seguintes hipóteses:</w:t>
      </w:r>
    </w:p>
    <w:p w14:paraId="53469FA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a) quando o licitante vencedor não assinar a ata de registro de preços no prazo e nas condições estabelecidos no edital; ou</w:t>
      </w:r>
    </w:p>
    <w:p w14:paraId="57677EC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b) quando houver o cancelamento do registro do fornecedor ou do registro de preços, nas hipóteses previstas nos art. 28 e art. 29 do Decreto nº 11.462/23.</w:t>
      </w:r>
    </w:p>
    <w:p w14:paraId="3878034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adjudicatário; ou</w:t>
      </w:r>
    </w:p>
    <w:p w14:paraId="601DDF2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pPr>
        <w:suppressAutoHyphens w:val="0"/>
        <w:autoSpaceDE w:val="0"/>
        <w:autoSpaceDN w:val="0"/>
        <w:adjustRightInd w:val="0"/>
        <w:spacing w:before="72" w:beforeLines="30" w:after="72" w:afterLines="30"/>
        <w:jc w:val="both"/>
        <w:rPr>
          <w:rFonts w:eastAsia="Calibri"/>
          <w:b/>
          <w:bCs/>
          <w:szCs w:val="24"/>
          <w:lang w:eastAsia="pt-BR"/>
        </w:rPr>
      </w:pPr>
    </w:p>
    <w:p w14:paraId="3B2AA80A">
      <w:pPr>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10. DOS RECURSOS</w:t>
      </w:r>
    </w:p>
    <w:p w14:paraId="6E7D593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Fonts w:eastAsia="Calibri"/>
          <w:color w:val="000080"/>
          <w:szCs w:val="24"/>
          <w:u w:val="single"/>
          <w:lang w:eastAsia="pt-BR"/>
        </w:rPr>
        <w:t>art. 165 da Lei nº 14.133, de 2021</w:t>
      </w:r>
      <w:r>
        <w:rPr>
          <w:rFonts w:eastAsia="Calibri"/>
          <w:color w:val="000080"/>
          <w:szCs w:val="24"/>
          <w:u w:val="single"/>
          <w:lang w:eastAsia="pt-BR"/>
        </w:rPr>
        <w:fldChar w:fldCharType="end"/>
      </w:r>
      <w:r>
        <w:rPr>
          <w:rFonts w:eastAsia="Calibri"/>
          <w:szCs w:val="24"/>
          <w:lang w:eastAsia="pt-BR"/>
        </w:rPr>
        <w:t>.</w:t>
      </w:r>
    </w:p>
    <w:p w14:paraId="59D4FED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10.2. O prazo recursal é de 3 (três) dias úteis, contados da data de intimação ou de lavratura da ata.</w:t>
      </w:r>
    </w:p>
    <w:p w14:paraId="5B41E9E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10.3. Quando o recurso apresentado impugnar o julgamento das propostas ou o ato de habilitação ou inabilitação do licitante:</w:t>
      </w:r>
    </w:p>
    <w:p w14:paraId="0AB734A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10.3.1. A intenção de recorrer deverá ser manifestada imediatamente, sob pena de preclusão;</w:t>
      </w:r>
    </w:p>
    <w:p w14:paraId="316C06E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10.3.2. O prazo para a manifestação da intenção de recorrer não será inferior a </w:t>
      </w:r>
      <w:r>
        <w:rPr>
          <w:rFonts w:eastAsia="Calibri"/>
          <w:b/>
          <w:szCs w:val="24"/>
          <w:lang w:eastAsia="pt-BR"/>
        </w:rPr>
        <w:t>30 (trinta) minutos</w:t>
      </w:r>
      <w:r>
        <w:rPr>
          <w:rFonts w:eastAsia="Calibri"/>
          <w:szCs w:val="24"/>
          <w:lang w:eastAsia="pt-BR"/>
        </w:rPr>
        <w:t>.</w:t>
      </w:r>
    </w:p>
    <w:p w14:paraId="18514E5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10.3.3. O prazo para apresentação das razões recursais será iniciado na data de intimação ou de lavratura da ata de habilitação ou inabilitação;</w:t>
      </w:r>
    </w:p>
    <w:p w14:paraId="02364C1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10.4. Os recursos deverão ser encaminhados em campo próprio do sistema.</w:t>
      </w:r>
    </w:p>
    <w:p w14:paraId="781135C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10.6. Os recursos interpostos fora do prazo não serão conhecidos. </w:t>
      </w:r>
    </w:p>
    <w:p w14:paraId="66B7FF7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10.9. O acolhimento do recurso invalida tão somente os atos insuscetíveis de aproveitamento. </w:t>
      </w:r>
    </w:p>
    <w:p w14:paraId="45D8894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10.10. Os autos do processo permanecerão com vista franqueada aos interessados nos sítios eletrônicos </w:t>
      </w:r>
      <w:r>
        <w:fldChar w:fldCharType="begin"/>
      </w:r>
      <w:r>
        <w:instrText xml:space="preserve"> HYPERLINK "https://avisolicitacao.qualitysistemas.com.br/prefeitura_municipal_de_caracol" </w:instrText>
      </w:r>
      <w:r>
        <w:fldChar w:fldCharType="separate"/>
      </w:r>
      <w:r>
        <w:rPr>
          <w:rFonts w:eastAsia="Calibri"/>
          <w:szCs w:val="24"/>
          <w:lang w:eastAsia="pt-BR"/>
        </w:rPr>
        <w:t>https://avisolicitacao.qualitysistemas.com.br/prefeitura_municipal_de_caracol</w:t>
      </w:r>
      <w:r>
        <w:rPr>
          <w:rFonts w:eastAsia="Calibri"/>
          <w:szCs w:val="24"/>
          <w:lang w:eastAsia="pt-BR"/>
        </w:rPr>
        <w:fldChar w:fldCharType="end"/>
      </w:r>
      <w:r>
        <w:rPr>
          <w:rFonts w:eastAsia="Calibri"/>
          <w:szCs w:val="24"/>
          <w:lang w:eastAsia="pt-BR"/>
        </w:rPr>
        <w:t xml:space="preserve">, e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color w:val="000080"/>
          <w:szCs w:val="24"/>
          <w:lang w:eastAsia="pt-BR"/>
        </w:rPr>
        <w:t>.</w:t>
      </w:r>
    </w:p>
    <w:p w14:paraId="1F186BA6">
      <w:pPr>
        <w:suppressAutoHyphens w:val="0"/>
        <w:autoSpaceDE w:val="0"/>
        <w:autoSpaceDN w:val="0"/>
        <w:adjustRightInd w:val="0"/>
        <w:spacing w:before="72" w:beforeLines="30" w:after="72" w:afterLines="30"/>
        <w:jc w:val="both"/>
        <w:rPr>
          <w:rFonts w:eastAsia="Calibri"/>
          <w:szCs w:val="24"/>
          <w:lang w:eastAsia="pt-BR"/>
        </w:rPr>
      </w:pPr>
    </w:p>
    <w:p w14:paraId="06E691E1">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11.</w:t>
      </w:r>
      <w:r>
        <w:rPr>
          <w:rFonts w:eastAsia="Calibri"/>
          <w:b/>
          <w:bCs/>
          <w:szCs w:val="24"/>
          <w:lang w:eastAsia="pt-BR"/>
        </w:rPr>
        <w:tab/>
      </w:r>
      <w:r>
        <w:rPr>
          <w:rFonts w:eastAsia="Calibri"/>
          <w:b/>
          <w:bCs/>
          <w:szCs w:val="24"/>
          <w:lang w:eastAsia="pt-BR"/>
        </w:rPr>
        <w:t>DAS INFRAÇÕES ADMINISTRATIVAS E SANÇÕES</w:t>
      </w:r>
    </w:p>
    <w:p w14:paraId="56771EA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11.1.  Comete infração administrativa, nos termos da lei, o licitante que, com dolo ou culpa: </w:t>
      </w:r>
    </w:p>
    <w:p w14:paraId="32DFFC8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11.1.1.</w:t>
      </w:r>
      <w:r>
        <w:rPr>
          <w:rFonts w:eastAsia="Calibri"/>
          <w:szCs w:val="24"/>
          <w:lang w:eastAsia="pt-BR"/>
        </w:rPr>
        <w:tab/>
      </w:r>
      <w:r>
        <w:rPr>
          <w:rFonts w:eastAsia="Calibri"/>
          <w:szCs w:val="24"/>
          <w:lang w:eastAsia="pt-BR"/>
        </w:rPr>
        <w:t>deixar de entregar a documentação exigida para o certame ou não entregar qualquer documento que tenha sido solicitado pelo/a pregoeiro/a durante o certame;</w:t>
      </w:r>
    </w:p>
    <w:p w14:paraId="55E7BDA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11.1.2.</w:t>
      </w:r>
      <w:r>
        <w:rPr>
          <w:rFonts w:eastAsia="Calibri"/>
          <w:szCs w:val="24"/>
          <w:lang w:eastAsia="pt-BR"/>
        </w:rPr>
        <w:tab/>
      </w:r>
      <w:r>
        <w:rPr>
          <w:rFonts w:eastAsia="Calibri"/>
          <w:szCs w:val="24"/>
          <w:lang w:eastAsia="pt-BR"/>
        </w:rPr>
        <w:t>Salvo em decorrência de fato superveniente devidamente justificado, não mantiver a proposta em especial quando:</w:t>
      </w:r>
    </w:p>
    <w:p w14:paraId="36639E1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a) não enviar a proposta adequada ao último lance ofertado ou após a negociação; </w:t>
      </w:r>
    </w:p>
    <w:p w14:paraId="26B58E5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b) recusar-se a enviar o detalhamento da proposta quando exigível; </w:t>
      </w:r>
    </w:p>
    <w:p w14:paraId="1E223DE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c) pedir para ser desclassificado quando encerrada a etapa competitiva; ou </w:t>
      </w:r>
    </w:p>
    <w:p w14:paraId="22ACA2E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d) apresentar proposta em desacordo com as especificações do edital; </w:t>
      </w:r>
    </w:p>
    <w:p w14:paraId="53F23A4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11.1.3.</w:t>
      </w:r>
      <w:r>
        <w:rPr>
          <w:rFonts w:eastAsia="Calibri"/>
          <w:szCs w:val="24"/>
          <w:lang w:eastAsia="pt-BR"/>
        </w:rPr>
        <w:tab/>
      </w:r>
      <w:r>
        <w:rPr>
          <w:rFonts w:eastAsia="Calibri"/>
          <w:szCs w:val="24"/>
          <w:lang w:eastAsia="pt-BR"/>
        </w:rPr>
        <w:t>não celebrar o contrato ou não entregar a documentação exigida para a contratação, quando convocado dentro do prazo de validade de sua proposta;</w:t>
      </w:r>
    </w:p>
    <w:p w14:paraId="0EB399A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11.1.4. recusar-se, sem justificativa, a assinar o contrato ou a ata de registro de preço, ou a aceitar ou retirar o instrumento equivalente no prazo estabelecido pela Administração;</w:t>
      </w:r>
    </w:p>
    <w:p w14:paraId="1B19806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11.1.5.</w:t>
      </w:r>
      <w:r>
        <w:rPr>
          <w:rFonts w:eastAsia="Calibri"/>
          <w:szCs w:val="24"/>
          <w:lang w:eastAsia="pt-BR"/>
        </w:rPr>
        <w:tab/>
      </w:r>
      <w:r>
        <w:rPr>
          <w:rFonts w:eastAsia="Calibri"/>
          <w:szCs w:val="24"/>
          <w:lang w:eastAsia="pt-BR"/>
        </w:rPr>
        <w:t>apresentar declaração ou documentação falsa exigida para o certame ou prestar declaração falsa durante a licitação</w:t>
      </w:r>
    </w:p>
    <w:p w14:paraId="3C6054E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11.1.6.</w:t>
      </w:r>
      <w:r>
        <w:rPr>
          <w:rFonts w:eastAsia="Calibri"/>
          <w:szCs w:val="24"/>
          <w:lang w:eastAsia="pt-BR"/>
        </w:rPr>
        <w:tab/>
      </w:r>
      <w:r>
        <w:rPr>
          <w:rFonts w:eastAsia="Calibri"/>
          <w:szCs w:val="24"/>
          <w:lang w:eastAsia="pt-BR"/>
        </w:rPr>
        <w:t>fraudar a licitação</w:t>
      </w:r>
    </w:p>
    <w:p w14:paraId="56A6C99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11.1.7.</w:t>
      </w:r>
      <w:r>
        <w:rPr>
          <w:rFonts w:eastAsia="Calibri"/>
          <w:szCs w:val="24"/>
          <w:lang w:eastAsia="pt-BR"/>
        </w:rPr>
        <w:tab/>
      </w:r>
      <w:r>
        <w:rPr>
          <w:rFonts w:eastAsia="Calibri"/>
          <w:szCs w:val="24"/>
          <w:lang w:eastAsia="pt-BR"/>
        </w:rPr>
        <w:t>comportar-se de modo inidôneo ou cometer fraude de qualquer natureza, em especial quando:</w:t>
      </w:r>
    </w:p>
    <w:p w14:paraId="57904FE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a) agir em conluio ou em desconformidade com a lei; </w:t>
      </w:r>
    </w:p>
    <w:p w14:paraId="5655B3D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b) induzir deliberadamente a erro no julgamento; </w:t>
      </w:r>
    </w:p>
    <w:p w14:paraId="30E1536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11.1.8.</w:t>
      </w:r>
      <w:r>
        <w:rPr>
          <w:rFonts w:eastAsia="Calibri"/>
          <w:szCs w:val="24"/>
          <w:lang w:eastAsia="pt-BR"/>
        </w:rPr>
        <w:tab/>
      </w:r>
      <w:r>
        <w:rPr>
          <w:rFonts w:eastAsia="Calibri"/>
          <w:szCs w:val="24"/>
          <w:lang w:eastAsia="pt-BR"/>
        </w:rPr>
        <w:t>praticar atos ilícitos com vistas a frustrar os objetivos da licitação</w:t>
      </w:r>
    </w:p>
    <w:p w14:paraId="4F48E8B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11.1.9.</w:t>
      </w:r>
      <w:r>
        <w:rPr>
          <w:rFonts w:eastAsia="Calibri"/>
          <w:szCs w:val="24"/>
          <w:lang w:eastAsia="pt-BR"/>
        </w:rPr>
        <w:tab/>
      </w:r>
      <w:r>
        <w:rPr>
          <w:rFonts w:eastAsia="Calibri"/>
          <w:szCs w:val="24"/>
          <w:lang w:eastAsia="pt-BR"/>
        </w:rPr>
        <w:t xml:space="preserve">praticar ato lesivo previsto no </w:t>
      </w:r>
      <w:r>
        <w:fldChar w:fldCharType="begin"/>
      </w:r>
      <w:r>
        <w:instrText xml:space="preserve"> HYPERLINK "https://www.planalto.gov.br/ccivil_03/_ato2011-2014/2013/lei/l12846.htm" \l "art5" </w:instrText>
      </w:r>
      <w:r>
        <w:fldChar w:fldCharType="separate"/>
      </w:r>
      <w:r>
        <w:rPr>
          <w:rFonts w:eastAsia="Calibri"/>
          <w:szCs w:val="24"/>
          <w:u w:val="single"/>
          <w:lang w:eastAsia="pt-BR"/>
        </w:rPr>
        <w:t>art. 5º da Lei n.º 12.846, de 2013</w:t>
      </w:r>
      <w:r>
        <w:rPr>
          <w:rFonts w:eastAsia="Calibri"/>
          <w:szCs w:val="24"/>
          <w:u w:val="single"/>
          <w:lang w:eastAsia="pt-BR"/>
        </w:rPr>
        <w:fldChar w:fldCharType="end"/>
      </w:r>
      <w:r>
        <w:rPr>
          <w:rFonts w:eastAsia="Calibri"/>
          <w:szCs w:val="24"/>
          <w:lang w:eastAsia="pt-BR"/>
        </w:rPr>
        <w:t>.</w:t>
      </w:r>
    </w:p>
    <w:p w14:paraId="3B146F9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11.2.</w:t>
      </w:r>
      <w:r>
        <w:rPr>
          <w:rFonts w:eastAsia="Calibri"/>
          <w:szCs w:val="24"/>
          <w:lang w:eastAsia="pt-BR"/>
        </w:rPr>
        <w:tab/>
      </w:r>
      <w:r>
        <w:rPr>
          <w:rFonts w:eastAsia="Calibri"/>
          <w:szCs w:val="24"/>
          <w:lang w:eastAsia="pt-BR"/>
        </w:rPr>
        <w:t xml:space="preserve">Com fulcro na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11.2.1.</w:t>
      </w:r>
      <w:r>
        <w:rPr>
          <w:rFonts w:eastAsia="Calibri"/>
          <w:szCs w:val="24"/>
          <w:lang w:eastAsia="pt-BR"/>
        </w:rPr>
        <w:tab/>
      </w:r>
      <w:r>
        <w:rPr>
          <w:rFonts w:eastAsia="Calibri"/>
          <w:szCs w:val="24"/>
          <w:lang w:eastAsia="pt-BR"/>
        </w:rPr>
        <w:t xml:space="preserve">advertência; </w:t>
      </w:r>
    </w:p>
    <w:p w14:paraId="12733E1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11.2.2.</w:t>
      </w:r>
      <w:r>
        <w:rPr>
          <w:rFonts w:eastAsia="Calibri"/>
          <w:szCs w:val="24"/>
          <w:lang w:eastAsia="pt-BR"/>
        </w:rPr>
        <w:tab/>
      </w:r>
      <w:r>
        <w:rPr>
          <w:rFonts w:eastAsia="Calibri"/>
          <w:szCs w:val="24"/>
          <w:lang w:eastAsia="pt-BR"/>
        </w:rPr>
        <w:t>multa;</w:t>
      </w:r>
    </w:p>
    <w:p w14:paraId="6A21A01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11.2.3.</w:t>
      </w:r>
      <w:r>
        <w:rPr>
          <w:rFonts w:eastAsia="Calibri"/>
          <w:szCs w:val="24"/>
          <w:lang w:eastAsia="pt-BR"/>
        </w:rPr>
        <w:tab/>
      </w:r>
      <w:r>
        <w:rPr>
          <w:rFonts w:eastAsia="Calibri"/>
          <w:szCs w:val="24"/>
          <w:lang w:eastAsia="pt-BR"/>
        </w:rPr>
        <w:t>impedimento de licitar e contratar e</w:t>
      </w:r>
    </w:p>
    <w:p w14:paraId="2706905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11.2.4.</w:t>
      </w:r>
      <w:r>
        <w:rPr>
          <w:rFonts w:eastAsia="Calibri"/>
          <w:szCs w:val="24"/>
          <w:lang w:eastAsia="pt-BR"/>
        </w:rPr>
        <w:tab/>
      </w:r>
      <w:r>
        <w:rPr>
          <w:rFonts w:eastAsia="Calibri"/>
          <w:szCs w:val="24"/>
          <w:lang w:eastAsia="pt-BR"/>
        </w:rPr>
        <w:t>declaração de inidoneidade para licitar ou contratar, enquanto perdurarem os motivos determinantes da punição ou até que seja promovida sua reabilitação perante a própria autoridade que aplicou a penalidade.</w:t>
      </w:r>
    </w:p>
    <w:p w14:paraId="41DCC74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w:t>
      </w:r>
      <w:r>
        <w:rPr>
          <w:rFonts w:eastAsia="Calibri"/>
          <w:szCs w:val="24"/>
          <w:lang w:eastAsia="pt-BR"/>
        </w:rPr>
        <w:tab/>
      </w:r>
      <w:r>
        <w:rPr>
          <w:rFonts w:eastAsia="Calibri"/>
          <w:szCs w:val="24"/>
          <w:lang w:eastAsia="pt-BR"/>
        </w:rPr>
        <w:t>Na aplicação das sanções serão considerados:</w:t>
      </w:r>
    </w:p>
    <w:p w14:paraId="4DD5CEE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11.3.1.</w:t>
      </w:r>
      <w:r>
        <w:rPr>
          <w:rFonts w:eastAsia="Calibri"/>
          <w:szCs w:val="24"/>
          <w:lang w:eastAsia="pt-BR"/>
        </w:rPr>
        <w:tab/>
      </w:r>
      <w:r>
        <w:rPr>
          <w:rFonts w:eastAsia="Calibri"/>
          <w:szCs w:val="24"/>
          <w:lang w:eastAsia="pt-BR"/>
        </w:rPr>
        <w:t>a natureza e a gravidade da infração cometida.</w:t>
      </w:r>
    </w:p>
    <w:p w14:paraId="1E7035A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11.3.2.</w:t>
      </w:r>
      <w:r>
        <w:rPr>
          <w:rFonts w:eastAsia="Calibri"/>
          <w:szCs w:val="24"/>
          <w:lang w:eastAsia="pt-BR"/>
        </w:rPr>
        <w:tab/>
      </w:r>
      <w:r>
        <w:rPr>
          <w:rFonts w:eastAsia="Calibri"/>
          <w:szCs w:val="24"/>
          <w:lang w:eastAsia="pt-BR"/>
        </w:rPr>
        <w:t>as peculiaridades do caso concreto</w:t>
      </w:r>
    </w:p>
    <w:p w14:paraId="51C76CE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11.3.3.</w:t>
      </w:r>
      <w:r>
        <w:rPr>
          <w:rFonts w:eastAsia="Calibri"/>
          <w:szCs w:val="24"/>
          <w:lang w:eastAsia="pt-BR"/>
        </w:rPr>
        <w:tab/>
      </w:r>
      <w:r>
        <w:rPr>
          <w:rFonts w:eastAsia="Calibri"/>
          <w:szCs w:val="24"/>
          <w:lang w:eastAsia="pt-BR"/>
        </w:rPr>
        <w:t>as circunstâncias agravantes ou atenuantes</w:t>
      </w:r>
    </w:p>
    <w:p w14:paraId="6AA907C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11.3.4.</w:t>
      </w:r>
      <w:r>
        <w:rPr>
          <w:rFonts w:eastAsia="Calibri"/>
          <w:szCs w:val="24"/>
          <w:lang w:eastAsia="pt-BR"/>
        </w:rPr>
        <w:tab/>
      </w:r>
      <w:r>
        <w:rPr>
          <w:rFonts w:eastAsia="Calibri"/>
          <w:szCs w:val="24"/>
          <w:lang w:eastAsia="pt-BR"/>
        </w:rPr>
        <w:t>os danos que dela provierem para a Administração Pública</w:t>
      </w:r>
    </w:p>
    <w:p w14:paraId="719CF3F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11.3.5.</w:t>
      </w:r>
      <w:r>
        <w:rPr>
          <w:rFonts w:eastAsia="Calibri"/>
          <w:szCs w:val="24"/>
          <w:lang w:eastAsia="pt-BR"/>
        </w:rPr>
        <w:tab/>
      </w:r>
      <w:r>
        <w:rPr>
          <w:rFonts w:eastAsia="Calibri"/>
          <w:szCs w:val="24"/>
          <w:lang w:eastAsia="pt-BR"/>
        </w:rPr>
        <w:t>a implantação ou o aperfeiçoamento de programa de integridade, conforme normas e orientações dos órgãos de controle.</w:t>
      </w:r>
    </w:p>
    <w:p w14:paraId="2D479F2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11.4. 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2FB04D3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11.4.1.</w:t>
      </w:r>
      <w:r>
        <w:rPr>
          <w:rFonts w:eastAsia="Calibri"/>
          <w:szCs w:val="24"/>
          <w:lang w:eastAsia="pt-BR"/>
        </w:rPr>
        <w:tab/>
      </w:r>
      <w:r>
        <w:rPr>
          <w:rFonts w:eastAsia="Calibri"/>
          <w:szCs w:val="24"/>
          <w:lang w:eastAsia="pt-BR"/>
        </w:rPr>
        <w:t>Para as infrações previstas nos itens 11.1.1, 11.1.2 e 11.1.3, a multa será de 0,5% a 15% do valor do contrato licitado.</w:t>
      </w:r>
    </w:p>
    <w:p w14:paraId="198E1DF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11.4.2.</w:t>
      </w:r>
      <w:r>
        <w:rPr>
          <w:rFonts w:eastAsia="Calibri"/>
          <w:szCs w:val="24"/>
          <w:lang w:eastAsia="pt-BR"/>
        </w:rPr>
        <w:tab/>
      </w:r>
      <w:r>
        <w:rPr>
          <w:rFonts w:eastAsia="Calibri"/>
          <w:szCs w:val="24"/>
          <w:lang w:eastAsia="pt-BR"/>
        </w:rPr>
        <w:t>Para as infrações previstas nos itens 11.1.4, 11.1.5, 11.1.6, 11.1.7 e 11.1.8 a multa será de 15% a 30% do valor do contrato licitado.</w:t>
      </w:r>
    </w:p>
    <w:p w14:paraId="7C20DD1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11.6. Na aplicação da sanção de multa será facultada a defesa do interessado no prazo de 15 (quinze) dias úteis, contado da data de sua intimação.</w:t>
      </w:r>
    </w:p>
    <w:p w14:paraId="0F0F3E8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11.8.</w:t>
      </w:r>
      <w:r>
        <w:rPr>
          <w:rFonts w:eastAsia="Calibri"/>
          <w:szCs w:val="24"/>
          <w:lang w:eastAsia="pt-BR"/>
        </w:rPr>
        <w:tab/>
      </w:r>
      <w:r>
        <w:rPr>
          <w:rFonts w:eastAsia="Calibri"/>
          <w:szCs w:val="24"/>
          <w:lang w:eastAsia="pt-BR"/>
        </w:rPr>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w:instrText>
      </w:r>
      <w:r>
        <w:fldChar w:fldCharType="separate"/>
      </w:r>
      <w:r>
        <w:rPr>
          <w:rFonts w:eastAsia="Calibri"/>
          <w:color w:val="000080"/>
          <w:szCs w:val="24"/>
          <w:u w:val="single"/>
          <w:lang w:eastAsia="pt-BR"/>
        </w:rPr>
        <w:t>art. 156, §5º, da Lei n.º 14.133/2021</w:t>
      </w:r>
      <w:r>
        <w:rPr>
          <w:rFonts w:eastAsia="Calibri"/>
          <w:color w:val="000080"/>
          <w:szCs w:val="24"/>
          <w:u w:val="single"/>
          <w:lang w:eastAsia="pt-BR"/>
        </w:rPr>
        <w:fldChar w:fldCharType="end"/>
      </w:r>
      <w:r>
        <w:rPr>
          <w:rFonts w:eastAsia="Calibri"/>
          <w:szCs w:val="24"/>
          <w:lang w:eastAsia="pt-BR"/>
        </w:rPr>
        <w:t>.</w:t>
      </w:r>
    </w:p>
    <w:p w14:paraId="413FB3A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11.9.</w:t>
      </w:r>
      <w:r>
        <w:rPr>
          <w:rFonts w:eastAsia="Calibri"/>
          <w:szCs w:val="24"/>
          <w:lang w:eastAsia="pt-BR"/>
        </w:rPr>
        <w:tab/>
      </w:r>
      <w:r>
        <w:rPr>
          <w:rFonts w:eastAsia="Calibri"/>
          <w:szCs w:val="24"/>
          <w:lang w:eastAsia="pt-BR"/>
        </w:rPr>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3DB982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11.10.</w:t>
      </w:r>
      <w:r>
        <w:rPr>
          <w:rFonts w:eastAsia="Calibri"/>
          <w:szCs w:val="24"/>
          <w:lang w:eastAsia="pt-BR"/>
        </w:rPr>
        <w:tab/>
      </w:r>
      <w:r>
        <w:rPr>
          <w:rFonts w:eastAsia="Calibri"/>
          <w:szCs w:val="24"/>
          <w:lang w:eastAsia="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11.11.</w:t>
      </w:r>
      <w:r>
        <w:rPr>
          <w:rFonts w:eastAsia="Calibri"/>
          <w:szCs w:val="24"/>
          <w:lang w:eastAsia="pt-BR"/>
        </w:rPr>
        <w:tab/>
      </w:r>
      <w:r>
        <w:rPr>
          <w:rFonts w:eastAsia="Calibri"/>
          <w:szCs w:val="24"/>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11.12.</w:t>
      </w:r>
      <w:r>
        <w:rPr>
          <w:rFonts w:eastAsia="Calibri"/>
          <w:szCs w:val="24"/>
          <w:lang w:eastAsia="pt-BR"/>
        </w:rPr>
        <w:tab/>
      </w:r>
      <w:r>
        <w:rPr>
          <w:rFonts w:eastAsia="Calibri"/>
          <w:szCs w:val="24"/>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11.13.</w:t>
      </w:r>
      <w:r>
        <w:rPr>
          <w:rFonts w:eastAsia="Calibri"/>
          <w:szCs w:val="24"/>
          <w:lang w:eastAsia="pt-BR"/>
        </w:rPr>
        <w:tab/>
      </w:r>
      <w:r>
        <w:rPr>
          <w:rFonts w:eastAsia="Calibri"/>
          <w:szCs w:val="24"/>
          <w:lang w:eastAsia="pt-BR"/>
        </w:rPr>
        <w:t>O recurso e o pedido de reconsideração terão efeito suspensivo do ato ou da decisão recorrida até que sobrevenha decisão final da autoridade competente.</w:t>
      </w:r>
    </w:p>
    <w:p w14:paraId="76E6B21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11.14.</w:t>
      </w:r>
      <w:r>
        <w:rPr>
          <w:rFonts w:eastAsia="Calibri"/>
          <w:szCs w:val="24"/>
          <w:lang w:eastAsia="pt-BR"/>
        </w:rPr>
        <w:tab/>
      </w:r>
      <w:r>
        <w:rPr>
          <w:rFonts w:eastAsia="Calibri"/>
          <w:szCs w:val="24"/>
          <w:lang w:eastAsia="pt-BR"/>
        </w:rPr>
        <w:t>A aplicação das sanções previstas neste edital não exclui, em hipótese alguma, a obrigação de reparação integral dos danos causados.</w:t>
      </w:r>
    </w:p>
    <w:p w14:paraId="0B49FA70">
      <w:pPr>
        <w:suppressAutoHyphens w:val="0"/>
        <w:autoSpaceDE w:val="0"/>
        <w:autoSpaceDN w:val="0"/>
        <w:adjustRightInd w:val="0"/>
        <w:spacing w:before="72" w:beforeLines="30" w:after="72" w:afterLines="30"/>
        <w:jc w:val="both"/>
        <w:rPr>
          <w:rFonts w:eastAsia="Calibri"/>
          <w:szCs w:val="24"/>
          <w:lang w:eastAsia="pt-BR"/>
        </w:rPr>
      </w:pPr>
    </w:p>
    <w:p w14:paraId="30196072">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12.</w:t>
      </w:r>
      <w:r>
        <w:rPr>
          <w:rFonts w:eastAsia="Calibri"/>
          <w:b/>
          <w:bCs/>
          <w:szCs w:val="24"/>
          <w:lang w:eastAsia="pt-BR"/>
        </w:rPr>
        <w:tab/>
      </w:r>
      <w:r>
        <w:rPr>
          <w:rFonts w:eastAsia="Calibri"/>
          <w:b/>
          <w:bCs/>
          <w:szCs w:val="24"/>
          <w:lang w:eastAsia="pt-BR"/>
        </w:rPr>
        <w:t>DA IMPUGNAÇÃO AO EDITAL E DO PEDIDO DE ESCLARECIMENTO</w:t>
      </w:r>
    </w:p>
    <w:p w14:paraId="5895D35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12.1.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devendo protocolar o pedido até 3 (três) dias úteis antes da data da abertura do certame.</w:t>
      </w:r>
    </w:p>
    <w:p w14:paraId="06DADB2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12.3. A impugnação e o pedido de esclarecimento poderão ser realizados por forma eletrônica,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szCs w:val="24"/>
          <w:lang w:eastAsia="pt-BR"/>
        </w:rPr>
        <w:t xml:space="preserve"> ou via email: </w:t>
      </w:r>
      <w:r>
        <w:rPr>
          <w:rFonts w:eastAsia="Calibri"/>
          <w:color w:val="000080"/>
          <w:szCs w:val="24"/>
          <w:u w:val="single"/>
          <w:lang w:eastAsia="pt-BR"/>
        </w:rPr>
        <w:t>licitacao@pmcaracol.ms.gov.br</w:t>
      </w:r>
      <w:r>
        <w:rPr>
          <w:rFonts w:eastAsia="Calibri"/>
          <w:szCs w:val="24"/>
          <w:lang w:eastAsia="pt-BR"/>
        </w:rPr>
        <w:t>.</w:t>
      </w:r>
    </w:p>
    <w:p w14:paraId="2EFD4B0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12.4. As impugnações e pedidos de esclarecimentos não suspendem os prazos previstos no certame.</w:t>
      </w:r>
    </w:p>
    <w:p w14:paraId="4633EF0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12.4.1.</w:t>
      </w:r>
      <w:r>
        <w:rPr>
          <w:rFonts w:eastAsia="Calibri"/>
          <w:szCs w:val="24"/>
          <w:lang w:eastAsia="pt-BR"/>
        </w:rPr>
        <w:tab/>
      </w:r>
      <w:r>
        <w:rPr>
          <w:rFonts w:eastAsia="Calibri"/>
          <w:szCs w:val="24"/>
          <w:lang w:eastAsia="pt-BR"/>
        </w:rPr>
        <w:t>A concessão de efeito suspensivo à impugnação é medida excepcional e deverá ser motivada pelo agente de contratação, nos autos do processo de licitação.</w:t>
      </w:r>
    </w:p>
    <w:p w14:paraId="5166F00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12.5. Acolhida a impugnação, será definida e publicada nova data para a realização do certame.</w:t>
      </w:r>
    </w:p>
    <w:p w14:paraId="75135E16">
      <w:pPr>
        <w:suppressAutoHyphens w:val="0"/>
        <w:autoSpaceDE w:val="0"/>
        <w:autoSpaceDN w:val="0"/>
        <w:adjustRightInd w:val="0"/>
        <w:spacing w:before="72" w:beforeLines="30" w:after="72" w:afterLines="30"/>
        <w:jc w:val="both"/>
        <w:rPr>
          <w:rFonts w:eastAsia="Calibri"/>
          <w:szCs w:val="24"/>
          <w:lang w:eastAsia="pt-BR"/>
        </w:rPr>
      </w:pPr>
    </w:p>
    <w:p w14:paraId="030D6383">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13.</w:t>
      </w:r>
      <w:r>
        <w:rPr>
          <w:rFonts w:eastAsia="Calibri"/>
          <w:b/>
          <w:bCs/>
          <w:szCs w:val="24"/>
          <w:lang w:eastAsia="pt-BR"/>
        </w:rPr>
        <w:tab/>
      </w:r>
      <w:r>
        <w:rPr>
          <w:rFonts w:eastAsia="Calibri"/>
          <w:b/>
          <w:bCs/>
          <w:szCs w:val="24"/>
          <w:lang w:eastAsia="pt-BR"/>
        </w:rPr>
        <w:t>DAS DISPOSIÇÕES GERAIS</w:t>
      </w:r>
    </w:p>
    <w:p w14:paraId="33AF534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 Será divulgada ata da sessão pública no sistema eletrônico.</w:t>
      </w:r>
    </w:p>
    <w:p w14:paraId="6819ED6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13.3. Todas as referências de tempo no Edital, no aviso e durante a sessão pública observarão o horário de Brasília - DF.</w:t>
      </w:r>
    </w:p>
    <w:p w14:paraId="0A1A8BB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13.8. Em caso de divergência entre disposições deste Edital e de seus anexos ou demais peças que compõem o processo, prevalecerá as deste Edital.</w:t>
      </w:r>
    </w:p>
    <w:p w14:paraId="15198F2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13.9. O Edital e seus anexos estão disponíveis, na íntegra, no Portal Nacional de Contratações Públicas (PNCP) e endereço eletrônico nos sítios eletrônicos </w:t>
      </w:r>
      <w:r>
        <w:fldChar w:fldCharType="begin"/>
      </w:r>
      <w:r>
        <w:instrText xml:space="preserve"> HYPERLINK "https://avisolicitacao.qualitysistemas.com.br/prefeitura_municipal_de_caracol" </w:instrText>
      </w:r>
      <w:r>
        <w:fldChar w:fldCharType="separate"/>
      </w:r>
      <w:r>
        <w:rPr>
          <w:rFonts w:eastAsia="Calibri"/>
          <w:szCs w:val="24"/>
          <w:lang w:eastAsia="pt-BR"/>
        </w:rPr>
        <w:t>https://avisolicitacao.qualitysistemas.com.br/prefeitura_municipal_de_caracol</w:t>
      </w:r>
      <w:r>
        <w:rPr>
          <w:rFonts w:eastAsia="Calibri"/>
          <w:szCs w:val="24"/>
          <w:lang w:eastAsia="pt-BR"/>
        </w:rPr>
        <w:fldChar w:fldCharType="end"/>
      </w:r>
      <w:r>
        <w:rPr>
          <w:rFonts w:eastAsia="Calibri"/>
          <w:szCs w:val="24"/>
          <w:lang w:eastAsia="pt-BR"/>
        </w:rPr>
        <w:t xml:space="preserve">, e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p>
    <w:p w14:paraId="10949E0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w:t>
      </w:r>
      <w:r>
        <w:rPr>
          <w:rFonts w:eastAsia="Calibri"/>
          <w:szCs w:val="24"/>
          <w:lang w:eastAsia="pt-BR"/>
        </w:rPr>
        <w:tab/>
      </w:r>
      <w:r>
        <w:rPr>
          <w:rFonts w:eastAsia="Calibri"/>
          <w:szCs w:val="24"/>
          <w:lang w:eastAsia="pt-BR"/>
        </w:rPr>
        <w:t>Integram este Edital, para todos os fins e efeitos, os seguintes anexos:</w:t>
      </w:r>
    </w:p>
    <w:p w14:paraId="307E955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13.10.1. ANEXO I - Termo de Referência;</w:t>
      </w:r>
    </w:p>
    <w:p w14:paraId="0333B93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13.10.1.1.</w:t>
      </w:r>
      <w:bookmarkStart w:id="0" w:name="_Hlk189203460"/>
      <w:r>
        <w:rPr>
          <w:rFonts w:eastAsia="Calibri"/>
          <w:szCs w:val="24"/>
          <w:lang w:eastAsia="pt-BR"/>
        </w:rPr>
        <w:t xml:space="preserve"> Apêndice do Anexo I – Estudo Técnico Preliminar</w:t>
      </w:r>
    </w:p>
    <w:bookmarkEnd w:id="0"/>
    <w:p w14:paraId="72555CE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13.10.2. ANEXO II – Minuta de Termo de Contrato</w:t>
      </w:r>
    </w:p>
    <w:p w14:paraId="4FDAEA2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13.10.3. ANEXO III – Minuta da Ata de Registro de Preço</w:t>
      </w:r>
    </w:p>
    <w:p w14:paraId="1C55ED41">
      <w:pPr>
        <w:shd w:val="clear" w:color="auto" w:fill="FFFFFF"/>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13.10.4. ANEXO IV – Modelo de declaração geral</w:t>
      </w:r>
    </w:p>
    <w:p w14:paraId="277B9F98">
      <w:pPr>
        <w:shd w:val="clear" w:color="auto" w:fill="FFFFFF"/>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13.10.5. ANEXO V – Modelo de Declaração ME-EPP.</w:t>
      </w:r>
    </w:p>
    <w:p w14:paraId="4CA660E9">
      <w:pPr>
        <w:shd w:val="clear" w:color="auto" w:fill="FFFFFF"/>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13.11.6 ANEXO VI – Minuta de Empenho.</w:t>
      </w:r>
    </w:p>
    <w:p w14:paraId="25E0AA8E">
      <w:pPr>
        <w:autoSpaceDE w:val="0"/>
        <w:autoSpaceDN w:val="0"/>
        <w:adjustRightInd w:val="0"/>
        <w:spacing w:before="72" w:beforeLines="30" w:after="72" w:afterLines="30"/>
        <w:jc w:val="right"/>
        <w:rPr>
          <w:rFonts w:eastAsia="Calibri"/>
          <w:szCs w:val="24"/>
          <w:highlight w:val="none"/>
          <w:lang w:eastAsia="pt-BR"/>
        </w:rPr>
      </w:pPr>
      <w:r>
        <w:rPr>
          <w:rFonts w:eastAsia="Calibri"/>
          <w:szCs w:val="24"/>
          <w:lang w:eastAsia="pt-BR"/>
        </w:rPr>
        <w:t xml:space="preserve">                                                                    </w:t>
      </w:r>
      <w:r>
        <w:rPr>
          <w:rFonts w:eastAsia="Calibri"/>
          <w:szCs w:val="24"/>
          <w:highlight w:val="none"/>
          <w:lang w:eastAsia="pt-BR"/>
        </w:rPr>
        <w:t xml:space="preserve">  Caracol MS, 1</w:t>
      </w:r>
      <w:r>
        <w:rPr>
          <w:rFonts w:hint="default" w:eastAsia="Calibri"/>
          <w:szCs w:val="24"/>
          <w:highlight w:val="none"/>
          <w:lang w:val="en-US" w:eastAsia="pt-BR"/>
        </w:rPr>
        <w:t>3</w:t>
      </w:r>
      <w:r>
        <w:rPr>
          <w:rFonts w:eastAsia="Calibri"/>
          <w:szCs w:val="24"/>
          <w:highlight w:val="none"/>
          <w:lang w:eastAsia="pt-BR"/>
        </w:rPr>
        <w:t xml:space="preserve"> de março de 2026.</w:t>
      </w:r>
    </w:p>
    <w:p w14:paraId="7570BF60">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2C9A2859">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226D2614">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51EF3594">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6BAEA7A1">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2A1E3EB6">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2AE9C718">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0BE110F9">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28F56C9D">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18A8D789">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002B2D1E">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7E4204BB">
      <w:pPr>
        <w:suppressAutoHyphens w:val="0"/>
        <w:autoSpaceDE w:val="0"/>
        <w:autoSpaceDN w:val="0"/>
        <w:adjustRightInd w:val="0"/>
        <w:spacing w:before="72" w:beforeLines="30" w:after="72" w:afterLines="30"/>
        <w:jc w:val="both"/>
        <w:rPr>
          <w:rFonts w:eastAsia="Calibri"/>
          <w:b/>
          <w:bCs/>
          <w:color w:val="000000"/>
          <w:szCs w:val="24"/>
          <w:highlight w:val="none"/>
          <w:lang w:eastAsia="pt-BR"/>
        </w:rPr>
      </w:pPr>
    </w:p>
    <w:p w14:paraId="4B7C60D9">
      <w:pPr>
        <w:suppressAutoHyphens w:val="0"/>
        <w:autoSpaceDE w:val="0"/>
        <w:autoSpaceDN w:val="0"/>
        <w:adjustRightInd w:val="0"/>
        <w:spacing w:before="72" w:beforeLines="30" w:after="72" w:afterLines="30"/>
        <w:jc w:val="both"/>
        <w:rPr>
          <w:rFonts w:eastAsia="Calibri"/>
          <w:b/>
          <w:bCs/>
          <w:color w:val="000000"/>
          <w:szCs w:val="24"/>
          <w:lang w:eastAsia="pt-BR"/>
        </w:rPr>
      </w:pPr>
    </w:p>
    <w:p w14:paraId="016AB273">
      <w:pPr>
        <w:suppressAutoHyphens w:val="0"/>
        <w:autoSpaceDE w:val="0"/>
        <w:autoSpaceDN w:val="0"/>
        <w:adjustRightInd w:val="0"/>
        <w:spacing w:before="72" w:beforeLines="30" w:after="72" w:afterLines="30"/>
        <w:jc w:val="center"/>
        <w:rPr>
          <w:rFonts w:eastAsia="Calibri"/>
          <w:szCs w:val="24"/>
          <w:lang w:eastAsia="pt-BR"/>
        </w:rPr>
      </w:pPr>
      <w:r>
        <w:rPr>
          <w:rFonts w:eastAsia="Calibri"/>
          <w:b/>
          <w:bCs/>
          <w:color w:val="000000"/>
          <w:szCs w:val="24"/>
          <w:lang w:eastAsia="pt-BR"/>
        </w:rPr>
        <w:t>CARLOS ANTONIO DOS SANTOS GOUVÊA</w:t>
      </w:r>
    </w:p>
    <w:p w14:paraId="754CA0E5">
      <w:pPr>
        <w:suppressAutoHyphens w:val="0"/>
        <w:autoSpaceDE w:val="0"/>
        <w:autoSpaceDN w:val="0"/>
        <w:adjustRightInd w:val="0"/>
        <w:spacing w:before="72" w:beforeLines="30" w:after="72" w:afterLines="30"/>
        <w:jc w:val="center"/>
        <w:rPr>
          <w:rFonts w:eastAsia="Calibri"/>
          <w:color w:val="000000"/>
          <w:szCs w:val="24"/>
          <w:lang w:eastAsia="pt-BR"/>
        </w:rPr>
      </w:pPr>
      <w:r>
        <w:rPr>
          <w:rFonts w:eastAsia="Calibri"/>
          <w:color w:val="000000"/>
          <w:szCs w:val="24"/>
          <w:lang w:eastAsia="pt-BR"/>
        </w:rPr>
        <w:t>Secretário Municipal de Planejamento</w:t>
      </w:r>
    </w:p>
    <w:p w14:paraId="5167BB60">
      <w:pPr>
        <w:suppressAutoHyphens w:val="0"/>
        <w:autoSpaceDE w:val="0"/>
        <w:autoSpaceDN w:val="0"/>
        <w:adjustRightInd w:val="0"/>
        <w:spacing w:before="72" w:beforeLines="30" w:after="72" w:afterLines="3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43CB0AF3">
      <w:pPr>
        <w:suppressAutoHyphens w:val="0"/>
        <w:autoSpaceDE w:val="0"/>
        <w:autoSpaceDN w:val="0"/>
        <w:adjustRightInd w:val="0"/>
        <w:spacing w:before="72" w:beforeLines="30" w:after="72" w:afterLines="30"/>
        <w:jc w:val="center"/>
        <w:rPr>
          <w:rFonts w:eastAsia="Calibri"/>
          <w:b/>
          <w:bCs/>
          <w:color w:val="000000"/>
          <w:szCs w:val="24"/>
          <w:lang w:eastAsia="pt-BR"/>
        </w:rPr>
      </w:pPr>
    </w:p>
    <w:p w14:paraId="0CB171E3">
      <w:pPr>
        <w:suppressAutoHyphens w:val="0"/>
        <w:autoSpaceDE w:val="0"/>
        <w:autoSpaceDN w:val="0"/>
        <w:adjustRightInd w:val="0"/>
        <w:spacing w:before="72" w:beforeLines="30" w:after="72" w:afterLines="30"/>
        <w:jc w:val="center"/>
        <w:rPr>
          <w:rFonts w:eastAsia="Calibri"/>
          <w:b/>
          <w:bCs/>
          <w:color w:val="000000"/>
          <w:szCs w:val="24"/>
          <w:lang w:eastAsia="pt-BR"/>
        </w:rPr>
      </w:pPr>
    </w:p>
    <w:p w14:paraId="755EACB6">
      <w:pPr>
        <w:suppressAutoHyphens w:val="0"/>
        <w:autoSpaceDE w:val="0"/>
        <w:autoSpaceDN w:val="0"/>
        <w:adjustRightInd w:val="0"/>
        <w:spacing w:before="72" w:beforeLines="30" w:after="72" w:afterLines="30"/>
        <w:jc w:val="center"/>
        <w:rPr>
          <w:rFonts w:eastAsia="Calibri"/>
          <w:b/>
          <w:bCs/>
          <w:color w:val="000000"/>
          <w:szCs w:val="24"/>
          <w:lang w:eastAsia="pt-BR"/>
        </w:rPr>
      </w:pPr>
    </w:p>
    <w:p w14:paraId="59E7C47A">
      <w:pPr>
        <w:suppressAutoHyphens w:val="0"/>
        <w:autoSpaceDE w:val="0"/>
        <w:autoSpaceDN w:val="0"/>
        <w:adjustRightInd w:val="0"/>
        <w:spacing w:before="72" w:beforeLines="30" w:after="72" w:afterLines="30"/>
        <w:jc w:val="center"/>
        <w:rPr>
          <w:rFonts w:eastAsia="Calibri"/>
          <w:b/>
          <w:bCs/>
          <w:color w:val="000000"/>
          <w:szCs w:val="24"/>
          <w:lang w:eastAsia="pt-BR"/>
        </w:rPr>
      </w:pPr>
    </w:p>
    <w:p w14:paraId="08688736">
      <w:pPr>
        <w:suppressAutoHyphens w:val="0"/>
        <w:autoSpaceDE w:val="0"/>
        <w:autoSpaceDN w:val="0"/>
        <w:adjustRightInd w:val="0"/>
        <w:spacing w:before="72" w:beforeLines="30" w:after="72" w:afterLines="30"/>
        <w:jc w:val="center"/>
        <w:rPr>
          <w:rFonts w:eastAsia="Calibri"/>
          <w:b/>
          <w:bCs/>
          <w:color w:val="000000"/>
          <w:szCs w:val="24"/>
          <w:lang w:eastAsia="pt-BR"/>
        </w:rPr>
      </w:pPr>
    </w:p>
    <w:p w14:paraId="75F101C8">
      <w:pPr>
        <w:suppressAutoHyphens w:val="0"/>
        <w:autoSpaceDE w:val="0"/>
        <w:autoSpaceDN w:val="0"/>
        <w:adjustRightInd w:val="0"/>
        <w:spacing w:before="72" w:beforeLines="30" w:after="72" w:afterLines="30"/>
        <w:jc w:val="center"/>
        <w:rPr>
          <w:rFonts w:eastAsia="Calibri"/>
          <w:b/>
          <w:bCs/>
          <w:color w:val="000000"/>
          <w:szCs w:val="24"/>
          <w:lang w:eastAsia="pt-BR"/>
        </w:rPr>
      </w:pPr>
    </w:p>
    <w:p w14:paraId="6B15C9C2">
      <w:pPr>
        <w:suppressAutoHyphens w:val="0"/>
        <w:autoSpaceDE w:val="0"/>
        <w:autoSpaceDN w:val="0"/>
        <w:adjustRightInd w:val="0"/>
        <w:spacing w:before="72" w:beforeLines="30" w:after="72" w:afterLines="30"/>
        <w:jc w:val="center"/>
        <w:rPr>
          <w:rFonts w:eastAsia="Calibri"/>
          <w:b/>
          <w:bCs/>
          <w:color w:val="000000"/>
          <w:szCs w:val="24"/>
          <w:lang w:eastAsia="pt-BR"/>
        </w:rPr>
      </w:pPr>
    </w:p>
    <w:p w14:paraId="65BAEF14">
      <w:pPr>
        <w:suppressAutoHyphens w:val="0"/>
        <w:autoSpaceDE w:val="0"/>
        <w:autoSpaceDN w:val="0"/>
        <w:adjustRightInd w:val="0"/>
        <w:spacing w:before="72" w:beforeLines="30" w:after="72" w:afterLines="30"/>
        <w:jc w:val="center"/>
        <w:rPr>
          <w:rFonts w:eastAsia="Calibri"/>
          <w:b/>
          <w:bCs/>
          <w:color w:val="000000"/>
          <w:szCs w:val="24"/>
          <w:lang w:eastAsia="pt-BR"/>
        </w:rPr>
      </w:pPr>
    </w:p>
    <w:p w14:paraId="0535384A">
      <w:pPr>
        <w:suppressAutoHyphens w:val="0"/>
        <w:autoSpaceDE w:val="0"/>
        <w:autoSpaceDN w:val="0"/>
        <w:adjustRightInd w:val="0"/>
        <w:spacing w:before="72" w:beforeLines="30" w:after="72" w:afterLines="30"/>
        <w:jc w:val="center"/>
        <w:rPr>
          <w:rFonts w:eastAsia="Calibri"/>
          <w:b/>
          <w:bCs/>
          <w:color w:val="000000"/>
          <w:szCs w:val="24"/>
          <w:lang w:eastAsia="pt-BR"/>
        </w:rPr>
      </w:pPr>
    </w:p>
    <w:p w14:paraId="5C408A9B">
      <w:pPr>
        <w:suppressAutoHyphens w:val="0"/>
        <w:autoSpaceDE w:val="0"/>
        <w:autoSpaceDN w:val="0"/>
        <w:adjustRightInd w:val="0"/>
        <w:spacing w:before="72" w:beforeLines="30" w:after="72" w:afterLines="30"/>
        <w:jc w:val="center"/>
        <w:rPr>
          <w:rFonts w:eastAsia="Calibri"/>
          <w:b/>
          <w:bCs/>
          <w:color w:val="000000"/>
          <w:szCs w:val="24"/>
          <w:lang w:eastAsia="pt-BR"/>
        </w:rPr>
      </w:pPr>
    </w:p>
    <w:p w14:paraId="29EF5641">
      <w:pPr>
        <w:suppressAutoHyphens w:val="0"/>
        <w:autoSpaceDE w:val="0"/>
        <w:autoSpaceDN w:val="0"/>
        <w:adjustRightInd w:val="0"/>
        <w:spacing w:before="72" w:beforeLines="30" w:after="72" w:afterLines="30"/>
        <w:jc w:val="center"/>
        <w:rPr>
          <w:rFonts w:eastAsia="Calibri"/>
          <w:b/>
          <w:bCs/>
          <w:color w:val="000000"/>
          <w:szCs w:val="24"/>
          <w:lang w:eastAsia="pt-BR"/>
        </w:rPr>
      </w:pPr>
    </w:p>
    <w:p w14:paraId="43AABE9C">
      <w:pPr>
        <w:suppressAutoHyphens w:val="0"/>
        <w:autoSpaceDE w:val="0"/>
        <w:autoSpaceDN w:val="0"/>
        <w:adjustRightInd w:val="0"/>
        <w:spacing w:before="72" w:beforeLines="30" w:after="72" w:afterLines="30"/>
        <w:jc w:val="center"/>
        <w:rPr>
          <w:rFonts w:eastAsia="Calibri"/>
          <w:b/>
          <w:bCs/>
          <w:color w:val="000000"/>
          <w:szCs w:val="24"/>
          <w:lang w:eastAsia="pt-BR"/>
        </w:rPr>
      </w:pPr>
    </w:p>
    <w:p w14:paraId="1F736CF4">
      <w:pPr>
        <w:suppressAutoHyphens w:val="0"/>
        <w:autoSpaceDE w:val="0"/>
        <w:autoSpaceDN w:val="0"/>
        <w:adjustRightInd w:val="0"/>
        <w:spacing w:before="72" w:beforeLines="30" w:after="72" w:afterLines="30"/>
        <w:jc w:val="center"/>
        <w:rPr>
          <w:rFonts w:eastAsia="Calibri"/>
          <w:b/>
          <w:bCs/>
          <w:color w:val="000000"/>
          <w:szCs w:val="24"/>
          <w:lang w:eastAsia="pt-BR"/>
        </w:rPr>
      </w:pPr>
    </w:p>
    <w:p w14:paraId="0FFF15A3">
      <w:pPr>
        <w:suppressAutoHyphens w:val="0"/>
        <w:autoSpaceDE w:val="0"/>
        <w:autoSpaceDN w:val="0"/>
        <w:adjustRightInd w:val="0"/>
        <w:spacing w:before="72" w:beforeLines="30" w:after="72" w:afterLines="30"/>
        <w:jc w:val="center"/>
        <w:rPr>
          <w:rFonts w:eastAsia="Calibri"/>
          <w:b/>
          <w:bCs/>
          <w:color w:val="000000"/>
          <w:szCs w:val="24"/>
          <w:lang w:eastAsia="pt-BR"/>
        </w:rPr>
      </w:pPr>
    </w:p>
    <w:p w14:paraId="7225E2D5">
      <w:pPr>
        <w:suppressAutoHyphens w:val="0"/>
        <w:autoSpaceDE w:val="0"/>
        <w:autoSpaceDN w:val="0"/>
        <w:adjustRightInd w:val="0"/>
        <w:spacing w:before="72" w:beforeLines="30" w:after="72" w:afterLines="30"/>
        <w:jc w:val="center"/>
        <w:rPr>
          <w:rFonts w:eastAsia="Calibri"/>
          <w:b/>
          <w:bCs/>
          <w:color w:val="000000"/>
          <w:szCs w:val="24"/>
          <w:lang w:eastAsia="pt-BR"/>
        </w:rPr>
      </w:pPr>
    </w:p>
    <w:p w14:paraId="2C4E2227">
      <w:pPr>
        <w:suppressAutoHyphens w:val="0"/>
        <w:autoSpaceDE w:val="0"/>
        <w:autoSpaceDN w:val="0"/>
        <w:adjustRightInd w:val="0"/>
        <w:spacing w:before="72" w:beforeLines="30" w:after="72" w:afterLines="30"/>
        <w:jc w:val="center"/>
        <w:rPr>
          <w:rFonts w:eastAsia="Calibri"/>
          <w:b/>
          <w:bCs/>
          <w:color w:val="000000"/>
          <w:szCs w:val="24"/>
          <w:lang w:eastAsia="pt-BR"/>
        </w:rPr>
      </w:pPr>
    </w:p>
    <w:p w14:paraId="2555CA33">
      <w:pPr>
        <w:suppressAutoHyphens w:val="0"/>
        <w:autoSpaceDE w:val="0"/>
        <w:autoSpaceDN w:val="0"/>
        <w:adjustRightInd w:val="0"/>
        <w:spacing w:before="72" w:beforeLines="30" w:after="72" w:afterLines="30"/>
        <w:jc w:val="center"/>
        <w:rPr>
          <w:rFonts w:eastAsia="Calibri"/>
          <w:b/>
          <w:bCs/>
          <w:color w:val="000000"/>
          <w:szCs w:val="24"/>
          <w:lang w:eastAsia="pt-BR"/>
        </w:rPr>
      </w:pPr>
    </w:p>
    <w:p w14:paraId="2B651BCE">
      <w:pPr>
        <w:suppressAutoHyphens w:val="0"/>
        <w:autoSpaceDE w:val="0"/>
        <w:autoSpaceDN w:val="0"/>
        <w:adjustRightInd w:val="0"/>
        <w:spacing w:before="72" w:beforeLines="30" w:after="72" w:afterLines="30"/>
        <w:jc w:val="center"/>
        <w:rPr>
          <w:rFonts w:eastAsia="Calibri"/>
          <w:b/>
          <w:bCs/>
          <w:color w:val="000000"/>
          <w:szCs w:val="24"/>
          <w:lang w:eastAsia="pt-BR"/>
        </w:rPr>
      </w:pPr>
    </w:p>
    <w:p w14:paraId="372663F0">
      <w:pPr>
        <w:suppressAutoHyphens w:val="0"/>
        <w:autoSpaceDE w:val="0"/>
        <w:autoSpaceDN w:val="0"/>
        <w:adjustRightInd w:val="0"/>
        <w:spacing w:before="72" w:beforeLines="30" w:after="72" w:afterLines="30"/>
        <w:jc w:val="center"/>
        <w:rPr>
          <w:rFonts w:eastAsia="Calibri"/>
          <w:b/>
          <w:bCs/>
          <w:color w:val="000000"/>
          <w:szCs w:val="24"/>
          <w:lang w:eastAsia="pt-BR"/>
        </w:rPr>
      </w:pPr>
    </w:p>
    <w:p w14:paraId="510EE746">
      <w:pPr>
        <w:suppressAutoHyphens w:val="0"/>
        <w:autoSpaceDE w:val="0"/>
        <w:autoSpaceDN w:val="0"/>
        <w:adjustRightInd w:val="0"/>
        <w:spacing w:before="72" w:beforeLines="30" w:after="72" w:afterLines="30"/>
        <w:jc w:val="both"/>
        <w:rPr>
          <w:rFonts w:eastAsia="Calibri"/>
          <w:b/>
          <w:bCs/>
          <w:color w:val="000000"/>
          <w:szCs w:val="24"/>
          <w:lang w:eastAsia="pt-BR"/>
        </w:rPr>
      </w:pPr>
    </w:p>
    <w:p w14:paraId="574E8809">
      <w:pPr>
        <w:suppressAutoHyphens w:val="0"/>
        <w:autoSpaceDE w:val="0"/>
        <w:autoSpaceDN w:val="0"/>
        <w:adjustRightInd w:val="0"/>
        <w:spacing w:before="72" w:beforeLines="30" w:after="72" w:afterLines="30"/>
        <w:jc w:val="center"/>
        <w:rPr>
          <w:rFonts w:eastAsia="Calibri"/>
          <w:b/>
          <w:bCs/>
          <w:color w:val="000000"/>
          <w:szCs w:val="24"/>
          <w:lang w:eastAsia="pt-BR"/>
        </w:rPr>
      </w:pPr>
    </w:p>
    <w:p w14:paraId="17F82F92">
      <w:pPr>
        <w:spacing w:before="72" w:beforeLines="30" w:after="72" w:afterLines="30"/>
        <w:jc w:val="center"/>
        <w:rPr>
          <w:b/>
          <w:bCs/>
          <w:szCs w:val="24"/>
          <w:u w:val="single"/>
        </w:rPr>
      </w:pPr>
      <w:r>
        <w:rPr>
          <w:b/>
          <w:bCs/>
          <w:szCs w:val="24"/>
          <w:u w:val="single"/>
        </w:rPr>
        <w:t>ANEXO I</w:t>
      </w:r>
      <w:bookmarkStart w:id="1" w:name="_Hlk82471863"/>
    </w:p>
    <w:bookmarkEnd w:id="1"/>
    <w:p w14:paraId="466D86D7">
      <w:pPr>
        <w:spacing w:before="72" w:beforeLines="30" w:after="72" w:afterLines="30"/>
        <w:jc w:val="center"/>
        <w:rPr>
          <w:b/>
          <w:bCs/>
          <w:szCs w:val="24"/>
          <w:u w:val="single"/>
        </w:rPr>
      </w:pPr>
      <w:r>
        <w:rPr>
          <w:b/>
          <w:bCs/>
          <w:szCs w:val="24"/>
          <w:u w:val="single"/>
        </w:rPr>
        <w:t>TERMO DE REFERÊNCIA</w:t>
      </w:r>
    </w:p>
    <w:p w14:paraId="72DACC88">
      <w:pPr>
        <w:spacing w:before="72" w:beforeLines="30" w:after="72" w:afterLines="30"/>
        <w:jc w:val="center"/>
        <w:rPr>
          <w:szCs w:val="24"/>
        </w:rPr>
      </w:pPr>
      <w:r>
        <w:rPr>
          <w:b/>
          <w:bCs/>
          <w:szCs w:val="24"/>
          <w:u w:val="single"/>
        </w:rPr>
        <w:t>AMPLA CONCORRÊNCIA</w:t>
      </w:r>
    </w:p>
    <w:p w14:paraId="2A0A4142">
      <w:pPr>
        <w:spacing w:before="72" w:beforeLines="30" w:after="72" w:afterLines="30"/>
        <w:jc w:val="both"/>
        <w:rPr>
          <w:szCs w:val="24"/>
        </w:rPr>
      </w:pPr>
    </w:p>
    <w:p w14:paraId="66309324">
      <w:pPr>
        <w:spacing w:before="72" w:beforeLines="30" w:after="72" w:afterLines="30"/>
        <w:jc w:val="both"/>
        <w:rPr>
          <w:szCs w:val="24"/>
        </w:rPr>
      </w:pPr>
    </w:p>
    <w:p w14:paraId="3D814CFD">
      <w:pPr>
        <w:pStyle w:val="77"/>
        <w:numPr>
          <w:ilvl w:val="0"/>
          <w:numId w:val="2"/>
        </w:numPr>
        <w:spacing w:before="72" w:beforeLines="30" w:after="72" w:afterLines="30" w:line="240" w:lineRule="auto"/>
        <w:ind w:left="0" w:firstLine="0"/>
        <w:rPr>
          <w:rFonts w:ascii="Times New Roman" w:hAnsi="Times New Roman" w:eastAsia="Arial" w:cs="Times New Roman"/>
          <w:b w:val="0"/>
          <w:bCs/>
          <w:sz w:val="24"/>
          <w:szCs w:val="24"/>
        </w:rPr>
      </w:pPr>
      <w:r>
        <w:rPr>
          <w:rFonts w:ascii="Times New Roman" w:hAnsi="Times New Roman" w:cs="Times New Roman"/>
          <w:b w:val="0"/>
          <w:bCs/>
          <w:sz w:val="24"/>
          <w:szCs w:val="24"/>
        </w:rPr>
        <w:t>CONDIÇÕES GERAIS DA CONTRATAÇÃO</w:t>
      </w:r>
    </w:p>
    <w:p w14:paraId="24735FC1">
      <w:pPr>
        <w:pStyle w:val="49"/>
        <w:numPr>
          <w:ilvl w:val="1"/>
          <w:numId w:val="2"/>
        </w:numPr>
        <w:suppressAutoHyphens w:val="0"/>
        <w:spacing w:before="72" w:beforeLines="30" w:after="72" w:afterLines="30"/>
        <w:ind w:left="0" w:firstLine="0"/>
        <w:jc w:val="both"/>
        <w:rPr>
          <w:szCs w:val="24"/>
        </w:rPr>
      </w:pPr>
      <w:r>
        <w:rPr>
          <w:b/>
          <w:szCs w:val="24"/>
        </w:rPr>
        <w:t xml:space="preserve">AQUISIÇÃO DE COMBUSTÍVEIS (TIPO GASOLINA COMUM, ÓLEO DIESEL S10, DIESEL COMUM E ARLA 32), NO MUNICÍPIO DE SIDROLANDIA-MS, PARA ATENDER OS VEÍCULOS DA FROTA OFICIAL DA PREFEITURA MUNICIPAL DE CARACOL MS, </w:t>
      </w:r>
      <w:r>
        <w:rPr>
          <w:szCs w:val="24"/>
        </w:rPr>
        <w:t>conforme condições e exigências estabelecidas neste instrumento.</w:t>
      </w:r>
    </w:p>
    <w:tbl>
      <w:tblPr>
        <w:tblStyle w:val="12"/>
        <w:tblW w:w="8784" w:type="dxa"/>
        <w:tblInd w:w="0" w:type="dxa"/>
        <w:tblLayout w:type="autofit"/>
        <w:tblCellMar>
          <w:top w:w="0" w:type="dxa"/>
          <w:left w:w="70" w:type="dxa"/>
          <w:bottom w:w="0" w:type="dxa"/>
          <w:right w:w="70" w:type="dxa"/>
        </w:tblCellMar>
      </w:tblPr>
      <w:tblGrid>
        <w:gridCol w:w="781"/>
        <w:gridCol w:w="2301"/>
        <w:gridCol w:w="1334"/>
        <w:gridCol w:w="1781"/>
        <w:gridCol w:w="1367"/>
        <w:gridCol w:w="1220"/>
      </w:tblGrid>
      <w:tr w14:paraId="68243D2E">
        <w:tblPrEx>
          <w:tblCellMar>
            <w:top w:w="0" w:type="dxa"/>
            <w:left w:w="70" w:type="dxa"/>
            <w:bottom w:w="0" w:type="dxa"/>
            <w:right w:w="70" w:type="dxa"/>
          </w:tblCellMar>
        </w:tblPrEx>
        <w:trPr>
          <w:trHeight w:val="495" w:hRule="atLeast"/>
        </w:trPr>
        <w:tc>
          <w:tcPr>
            <w:tcW w:w="727" w:type="dxa"/>
            <w:tcBorders>
              <w:top w:val="single" w:color="auto" w:sz="4" w:space="0"/>
              <w:left w:val="single" w:color="auto" w:sz="4" w:space="0"/>
              <w:bottom w:val="single" w:color="auto" w:sz="4" w:space="0"/>
              <w:right w:val="single" w:color="auto" w:sz="4" w:space="0"/>
            </w:tcBorders>
            <w:vAlign w:val="center"/>
          </w:tcPr>
          <w:p w14:paraId="792D28CE">
            <w:pPr>
              <w:spacing w:before="72" w:beforeLines="30" w:after="72" w:afterLines="30"/>
              <w:jc w:val="both"/>
              <w:rPr>
                <w:b/>
                <w:bCs/>
                <w:szCs w:val="24"/>
                <w:lang w:eastAsia="pt-BR"/>
              </w:rPr>
            </w:pPr>
            <w:r>
              <w:rPr>
                <w:b/>
                <w:bCs/>
                <w:szCs w:val="24"/>
                <w:lang w:eastAsia="pt-BR"/>
              </w:rPr>
              <w:t>ITEM</w:t>
            </w:r>
          </w:p>
        </w:tc>
        <w:tc>
          <w:tcPr>
            <w:tcW w:w="2587" w:type="dxa"/>
            <w:tcBorders>
              <w:top w:val="single" w:color="auto" w:sz="4" w:space="0"/>
              <w:left w:val="nil"/>
              <w:bottom w:val="single" w:color="auto" w:sz="4" w:space="0"/>
              <w:right w:val="single" w:color="auto" w:sz="4" w:space="0"/>
            </w:tcBorders>
            <w:vAlign w:val="center"/>
          </w:tcPr>
          <w:p w14:paraId="548361CB">
            <w:pPr>
              <w:spacing w:before="72" w:beforeLines="30" w:after="72" w:afterLines="30"/>
              <w:jc w:val="both"/>
              <w:rPr>
                <w:b/>
                <w:bCs/>
                <w:szCs w:val="24"/>
                <w:lang w:eastAsia="pt-BR"/>
              </w:rPr>
            </w:pPr>
            <w:r>
              <w:rPr>
                <w:b/>
                <w:bCs/>
                <w:szCs w:val="24"/>
                <w:lang w:eastAsia="pt-BR"/>
              </w:rPr>
              <w:t>PRODUTO / SERVIÇO</w:t>
            </w:r>
          </w:p>
        </w:tc>
        <w:tc>
          <w:tcPr>
            <w:tcW w:w="1359" w:type="dxa"/>
            <w:tcBorders>
              <w:top w:val="single" w:color="auto" w:sz="4" w:space="0"/>
              <w:left w:val="nil"/>
              <w:bottom w:val="single" w:color="auto" w:sz="4" w:space="0"/>
              <w:right w:val="single" w:color="auto" w:sz="4" w:space="0"/>
            </w:tcBorders>
            <w:vAlign w:val="center"/>
          </w:tcPr>
          <w:p w14:paraId="4F4B856F">
            <w:pPr>
              <w:spacing w:before="72" w:beforeLines="30" w:after="72" w:afterLines="30"/>
              <w:jc w:val="both"/>
              <w:rPr>
                <w:b/>
                <w:bCs/>
                <w:szCs w:val="24"/>
                <w:lang w:eastAsia="pt-BR"/>
              </w:rPr>
            </w:pPr>
            <w:r>
              <w:rPr>
                <w:b/>
                <w:bCs/>
                <w:szCs w:val="24"/>
                <w:lang w:eastAsia="pt-BR"/>
              </w:rPr>
              <w:t>UNIDADE</w:t>
            </w:r>
          </w:p>
        </w:tc>
        <w:tc>
          <w:tcPr>
            <w:tcW w:w="1701" w:type="dxa"/>
            <w:tcBorders>
              <w:top w:val="single" w:color="auto" w:sz="4" w:space="0"/>
              <w:left w:val="nil"/>
              <w:bottom w:val="single" w:color="auto" w:sz="4" w:space="0"/>
              <w:right w:val="single" w:color="auto" w:sz="4" w:space="0"/>
            </w:tcBorders>
            <w:vAlign w:val="center"/>
          </w:tcPr>
          <w:p w14:paraId="1F4AC141">
            <w:pPr>
              <w:spacing w:before="72" w:beforeLines="30" w:after="72" w:afterLines="30"/>
              <w:jc w:val="both"/>
              <w:rPr>
                <w:b/>
                <w:bCs/>
                <w:szCs w:val="24"/>
                <w:lang w:eastAsia="pt-BR"/>
              </w:rPr>
            </w:pPr>
            <w:r>
              <w:rPr>
                <w:b/>
                <w:bCs/>
                <w:szCs w:val="24"/>
                <w:lang w:eastAsia="pt-BR"/>
              </w:rPr>
              <w:t>QUANTIDADE</w:t>
            </w:r>
          </w:p>
        </w:tc>
        <w:tc>
          <w:tcPr>
            <w:tcW w:w="1276" w:type="dxa"/>
            <w:tcBorders>
              <w:top w:val="single" w:color="auto" w:sz="4" w:space="0"/>
              <w:left w:val="nil"/>
              <w:bottom w:val="single" w:color="auto" w:sz="4" w:space="0"/>
              <w:right w:val="single" w:color="auto" w:sz="4" w:space="0"/>
            </w:tcBorders>
            <w:vAlign w:val="center"/>
          </w:tcPr>
          <w:p w14:paraId="11E48A7F">
            <w:pPr>
              <w:spacing w:before="72" w:beforeLines="30" w:after="72" w:afterLines="30"/>
              <w:jc w:val="both"/>
              <w:rPr>
                <w:b/>
                <w:bCs/>
                <w:szCs w:val="24"/>
                <w:lang w:eastAsia="pt-BR"/>
              </w:rPr>
            </w:pPr>
            <w:r>
              <w:rPr>
                <w:b/>
                <w:bCs/>
                <w:szCs w:val="24"/>
                <w:lang w:eastAsia="pt-BR"/>
              </w:rPr>
              <w:t>VALOR UNITÁRIO MÁXIMO</w:t>
            </w:r>
          </w:p>
        </w:tc>
        <w:tc>
          <w:tcPr>
            <w:tcW w:w="1134" w:type="dxa"/>
            <w:tcBorders>
              <w:top w:val="single" w:color="auto" w:sz="4" w:space="0"/>
              <w:left w:val="nil"/>
              <w:bottom w:val="single" w:color="auto" w:sz="4" w:space="0"/>
              <w:right w:val="single" w:color="auto" w:sz="4" w:space="0"/>
            </w:tcBorders>
            <w:vAlign w:val="center"/>
          </w:tcPr>
          <w:p w14:paraId="07A1E03D">
            <w:pPr>
              <w:spacing w:before="72" w:beforeLines="30" w:after="72" w:afterLines="30"/>
              <w:jc w:val="both"/>
              <w:rPr>
                <w:b/>
                <w:bCs/>
                <w:szCs w:val="24"/>
                <w:lang w:eastAsia="pt-BR"/>
              </w:rPr>
            </w:pPr>
            <w:r>
              <w:rPr>
                <w:b/>
                <w:bCs/>
                <w:szCs w:val="24"/>
                <w:lang w:eastAsia="pt-BR"/>
              </w:rPr>
              <w:t>VALOR TOTAL MÁXIMO</w:t>
            </w:r>
          </w:p>
        </w:tc>
      </w:tr>
      <w:tr w14:paraId="311C0717">
        <w:tblPrEx>
          <w:tblCellMar>
            <w:top w:w="0" w:type="dxa"/>
            <w:left w:w="70" w:type="dxa"/>
            <w:bottom w:w="0" w:type="dxa"/>
            <w:right w:w="70" w:type="dxa"/>
          </w:tblCellMar>
        </w:tblPrEx>
        <w:trPr>
          <w:trHeight w:val="300" w:hRule="atLeast"/>
        </w:trPr>
        <w:tc>
          <w:tcPr>
            <w:tcW w:w="727" w:type="dxa"/>
            <w:tcBorders>
              <w:top w:val="nil"/>
              <w:left w:val="single" w:color="auto" w:sz="4" w:space="0"/>
              <w:bottom w:val="single" w:color="auto" w:sz="4" w:space="0"/>
              <w:right w:val="single" w:color="auto" w:sz="4" w:space="0"/>
            </w:tcBorders>
            <w:vAlign w:val="center"/>
          </w:tcPr>
          <w:p w14:paraId="514BF051">
            <w:pPr>
              <w:spacing w:before="72" w:beforeLines="30" w:after="72" w:afterLines="30"/>
              <w:jc w:val="both"/>
              <w:rPr>
                <w:szCs w:val="24"/>
                <w:lang w:eastAsia="pt-BR"/>
              </w:rPr>
            </w:pPr>
            <w:r>
              <w:rPr>
                <w:szCs w:val="24"/>
                <w:lang w:eastAsia="pt-BR"/>
              </w:rPr>
              <w:t>1</w:t>
            </w:r>
          </w:p>
        </w:tc>
        <w:tc>
          <w:tcPr>
            <w:tcW w:w="2587" w:type="dxa"/>
            <w:tcBorders>
              <w:top w:val="nil"/>
              <w:left w:val="nil"/>
              <w:bottom w:val="single" w:color="auto" w:sz="4" w:space="0"/>
              <w:right w:val="single" w:color="auto" w:sz="4" w:space="0"/>
            </w:tcBorders>
            <w:vAlign w:val="center"/>
          </w:tcPr>
          <w:p w14:paraId="694F2EC3">
            <w:pPr>
              <w:spacing w:before="72" w:beforeLines="30" w:after="72" w:afterLines="30"/>
              <w:jc w:val="both"/>
              <w:rPr>
                <w:szCs w:val="24"/>
                <w:lang w:eastAsia="pt-BR"/>
              </w:rPr>
            </w:pPr>
            <w:r>
              <w:rPr>
                <w:szCs w:val="24"/>
                <w:lang w:eastAsia="pt-BR"/>
              </w:rPr>
              <w:t>DIESEL COMUM</w:t>
            </w:r>
          </w:p>
        </w:tc>
        <w:tc>
          <w:tcPr>
            <w:tcW w:w="1359" w:type="dxa"/>
            <w:tcBorders>
              <w:top w:val="nil"/>
              <w:left w:val="nil"/>
              <w:bottom w:val="single" w:color="auto" w:sz="4" w:space="0"/>
              <w:right w:val="single" w:color="auto" w:sz="4" w:space="0"/>
            </w:tcBorders>
            <w:vAlign w:val="center"/>
          </w:tcPr>
          <w:p w14:paraId="1DC1D8CA">
            <w:pPr>
              <w:spacing w:before="72" w:beforeLines="30" w:after="72" w:afterLines="30"/>
              <w:jc w:val="both"/>
              <w:rPr>
                <w:szCs w:val="24"/>
                <w:lang w:eastAsia="pt-BR"/>
              </w:rPr>
            </w:pPr>
            <w:r>
              <w:rPr>
                <w:szCs w:val="24"/>
                <w:lang w:eastAsia="pt-BR"/>
              </w:rPr>
              <w:t>LT</w:t>
            </w:r>
          </w:p>
        </w:tc>
        <w:tc>
          <w:tcPr>
            <w:tcW w:w="1701" w:type="dxa"/>
            <w:tcBorders>
              <w:top w:val="nil"/>
              <w:left w:val="nil"/>
              <w:bottom w:val="single" w:color="auto" w:sz="4" w:space="0"/>
              <w:right w:val="single" w:color="auto" w:sz="4" w:space="0"/>
            </w:tcBorders>
            <w:vAlign w:val="center"/>
          </w:tcPr>
          <w:p w14:paraId="30A69114">
            <w:pPr>
              <w:spacing w:before="72" w:beforeLines="30" w:after="72" w:afterLines="30"/>
              <w:jc w:val="both"/>
              <w:rPr>
                <w:szCs w:val="24"/>
                <w:lang w:eastAsia="pt-BR"/>
              </w:rPr>
            </w:pPr>
            <w:r>
              <w:rPr>
                <w:szCs w:val="24"/>
                <w:lang w:eastAsia="pt-BR"/>
              </w:rPr>
              <w:t>8000</w:t>
            </w:r>
          </w:p>
        </w:tc>
        <w:tc>
          <w:tcPr>
            <w:tcW w:w="1276" w:type="dxa"/>
            <w:tcBorders>
              <w:top w:val="nil"/>
              <w:left w:val="nil"/>
              <w:bottom w:val="single" w:color="auto" w:sz="4" w:space="0"/>
              <w:right w:val="single" w:color="auto" w:sz="4" w:space="0"/>
            </w:tcBorders>
            <w:vAlign w:val="center"/>
          </w:tcPr>
          <w:p w14:paraId="011881FD">
            <w:pPr>
              <w:spacing w:before="72" w:beforeLines="30" w:after="72" w:afterLines="30"/>
              <w:jc w:val="both"/>
              <w:rPr>
                <w:szCs w:val="24"/>
                <w:lang w:eastAsia="pt-BR"/>
              </w:rPr>
            </w:pPr>
            <w:r>
              <w:rPr>
                <w:szCs w:val="24"/>
                <w:lang w:eastAsia="pt-BR"/>
              </w:rPr>
              <w:t>6,42</w:t>
            </w:r>
          </w:p>
        </w:tc>
        <w:tc>
          <w:tcPr>
            <w:tcW w:w="1134" w:type="dxa"/>
            <w:tcBorders>
              <w:top w:val="nil"/>
              <w:left w:val="nil"/>
              <w:bottom w:val="single" w:color="auto" w:sz="4" w:space="0"/>
              <w:right w:val="single" w:color="auto" w:sz="4" w:space="0"/>
            </w:tcBorders>
            <w:vAlign w:val="center"/>
          </w:tcPr>
          <w:p w14:paraId="243F7298">
            <w:pPr>
              <w:spacing w:before="72" w:beforeLines="30" w:after="72" w:afterLines="30"/>
              <w:jc w:val="both"/>
              <w:rPr>
                <w:szCs w:val="24"/>
                <w:lang w:eastAsia="pt-BR"/>
              </w:rPr>
            </w:pPr>
            <w:r>
              <w:rPr>
                <w:szCs w:val="24"/>
                <w:lang w:eastAsia="pt-BR"/>
              </w:rPr>
              <w:t>51.360,00</w:t>
            </w:r>
          </w:p>
        </w:tc>
      </w:tr>
      <w:tr w14:paraId="580C1D4D">
        <w:tblPrEx>
          <w:tblCellMar>
            <w:top w:w="0" w:type="dxa"/>
            <w:left w:w="70" w:type="dxa"/>
            <w:bottom w:w="0" w:type="dxa"/>
            <w:right w:w="70" w:type="dxa"/>
          </w:tblCellMar>
        </w:tblPrEx>
        <w:trPr>
          <w:trHeight w:val="300" w:hRule="atLeast"/>
        </w:trPr>
        <w:tc>
          <w:tcPr>
            <w:tcW w:w="727" w:type="dxa"/>
            <w:tcBorders>
              <w:top w:val="nil"/>
              <w:left w:val="single" w:color="auto" w:sz="4" w:space="0"/>
              <w:bottom w:val="single" w:color="auto" w:sz="4" w:space="0"/>
              <w:right w:val="single" w:color="auto" w:sz="4" w:space="0"/>
            </w:tcBorders>
            <w:vAlign w:val="center"/>
          </w:tcPr>
          <w:p w14:paraId="1B48C27B">
            <w:pPr>
              <w:spacing w:before="72" w:beforeLines="30" w:after="72" w:afterLines="30"/>
              <w:jc w:val="both"/>
              <w:rPr>
                <w:szCs w:val="24"/>
                <w:lang w:eastAsia="pt-BR"/>
              </w:rPr>
            </w:pPr>
            <w:r>
              <w:rPr>
                <w:szCs w:val="24"/>
                <w:lang w:eastAsia="pt-BR"/>
              </w:rPr>
              <w:t>2</w:t>
            </w:r>
          </w:p>
        </w:tc>
        <w:tc>
          <w:tcPr>
            <w:tcW w:w="2587" w:type="dxa"/>
            <w:tcBorders>
              <w:top w:val="nil"/>
              <w:left w:val="nil"/>
              <w:bottom w:val="single" w:color="auto" w:sz="4" w:space="0"/>
              <w:right w:val="single" w:color="auto" w:sz="4" w:space="0"/>
            </w:tcBorders>
            <w:vAlign w:val="center"/>
          </w:tcPr>
          <w:p w14:paraId="51599E98">
            <w:pPr>
              <w:spacing w:before="72" w:beforeLines="30" w:after="72" w:afterLines="30"/>
              <w:jc w:val="both"/>
              <w:rPr>
                <w:szCs w:val="24"/>
                <w:lang w:eastAsia="pt-BR"/>
              </w:rPr>
            </w:pPr>
            <w:r>
              <w:rPr>
                <w:szCs w:val="24"/>
                <w:lang w:eastAsia="pt-BR"/>
              </w:rPr>
              <w:t>DIESEL S10</w:t>
            </w:r>
          </w:p>
        </w:tc>
        <w:tc>
          <w:tcPr>
            <w:tcW w:w="1359" w:type="dxa"/>
            <w:tcBorders>
              <w:top w:val="nil"/>
              <w:left w:val="nil"/>
              <w:bottom w:val="single" w:color="auto" w:sz="4" w:space="0"/>
              <w:right w:val="single" w:color="auto" w:sz="4" w:space="0"/>
            </w:tcBorders>
            <w:vAlign w:val="center"/>
          </w:tcPr>
          <w:p w14:paraId="76260E5C">
            <w:pPr>
              <w:spacing w:before="72" w:beforeLines="30" w:after="72" w:afterLines="30"/>
              <w:jc w:val="both"/>
              <w:rPr>
                <w:szCs w:val="24"/>
                <w:lang w:eastAsia="pt-BR"/>
              </w:rPr>
            </w:pPr>
            <w:r>
              <w:rPr>
                <w:szCs w:val="24"/>
                <w:lang w:eastAsia="pt-BR"/>
              </w:rPr>
              <w:t>LT</w:t>
            </w:r>
          </w:p>
        </w:tc>
        <w:tc>
          <w:tcPr>
            <w:tcW w:w="1701" w:type="dxa"/>
            <w:tcBorders>
              <w:top w:val="nil"/>
              <w:left w:val="nil"/>
              <w:bottom w:val="single" w:color="auto" w:sz="4" w:space="0"/>
              <w:right w:val="single" w:color="auto" w:sz="4" w:space="0"/>
            </w:tcBorders>
            <w:vAlign w:val="center"/>
          </w:tcPr>
          <w:p w14:paraId="2D01DF8D">
            <w:pPr>
              <w:spacing w:before="72" w:beforeLines="30" w:after="72" w:afterLines="30"/>
              <w:jc w:val="both"/>
              <w:rPr>
                <w:szCs w:val="24"/>
                <w:lang w:eastAsia="pt-BR"/>
              </w:rPr>
            </w:pPr>
            <w:r>
              <w:rPr>
                <w:szCs w:val="24"/>
                <w:lang w:eastAsia="pt-BR"/>
              </w:rPr>
              <w:t>97000</w:t>
            </w:r>
          </w:p>
        </w:tc>
        <w:tc>
          <w:tcPr>
            <w:tcW w:w="1276" w:type="dxa"/>
            <w:tcBorders>
              <w:top w:val="nil"/>
              <w:left w:val="nil"/>
              <w:bottom w:val="single" w:color="auto" w:sz="4" w:space="0"/>
              <w:right w:val="single" w:color="auto" w:sz="4" w:space="0"/>
            </w:tcBorders>
            <w:vAlign w:val="center"/>
          </w:tcPr>
          <w:p w14:paraId="3BE9EF14">
            <w:pPr>
              <w:spacing w:before="72" w:beforeLines="30" w:after="72" w:afterLines="30"/>
              <w:jc w:val="both"/>
              <w:rPr>
                <w:szCs w:val="24"/>
                <w:lang w:eastAsia="pt-BR"/>
              </w:rPr>
            </w:pPr>
            <w:r>
              <w:rPr>
                <w:szCs w:val="24"/>
                <w:lang w:eastAsia="pt-BR"/>
              </w:rPr>
              <w:t>6,73</w:t>
            </w:r>
          </w:p>
        </w:tc>
        <w:tc>
          <w:tcPr>
            <w:tcW w:w="1134" w:type="dxa"/>
            <w:tcBorders>
              <w:top w:val="nil"/>
              <w:left w:val="nil"/>
              <w:bottom w:val="single" w:color="auto" w:sz="4" w:space="0"/>
              <w:right w:val="single" w:color="auto" w:sz="4" w:space="0"/>
            </w:tcBorders>
            <w:vAlign w:val="center"/>
          </w:tcPr>
          <w:p w14:paraId="1885975A">
            <w:pPr>
              <w:spacing w:before="72" w:beforeLines="30" w:after="72" w:afterLines="30"/>
              <w:jc w:val="both"/>
              <w:rPr>
                <w:szCs w:val="24"/>
                <w:lang w:eastAsia="pt-BR"/>
              </w:rPr>
            </w:pPr>
            <w:r>
              <w:rPr>
                <w:szCs w:val="24"/>
                <w:lang w:eastAsia="pt-BR"/>
              </w:rPr>
              <w:t>652.810,00</w:t>
            </w:r>
          </w:p>
        </w:tc>
      </w:tr>
      <w:tr w14:paraId="6131237B">
        <w:tblPrEx>
          <w:tblCellMar>
            <w:top w:w="0" w:type="dxa"/>
            <w:left w:w="70" w:type="dxa"/>
            <w:bottom w:w="0" w:type="dxa"/>
            <w:right w:w="70" w:type="dxa"/>
          </w:tblCellMar>
        </w:tblPrEx>
        <w:trPr>
          <w:trHeight w:val="300" w:hRule="atLeast"/>
        </w:trPr>
        <w:tc>
          <w:tcPr>
            <w:tcW w:w="727" w:type="dxa"/>
            <w:tcBorders>
              <w:top w:val="nil"/>
              <w:left w:val="single" w:color="auto" w:sz="4" w:space="0"/>
              <w:bottom w:val="single" w:color="auto" w:sz="4" w:space="0"/>
              <w:right w:val="single" w:color="auto" w:sz="4" w:space="0"/>
            </w:tcBorders>
            <w:vAlign w:val="center"/>
          </w:tcPr>
          <w:p w14:paraId="63CD095C">
            <w:pPr>
              <w:spacing w:before="72" w:beforeLines="30" w:after="72" w:afterLines="30"/>
              <w:jc w:val="both"/>
              <w:rPr>
                <w:szCs w:val="24"/>
                <w:lang w:eastAsia="pt-BR"/>
              </w:rPr>
            </w:pPr>
            <w:r>
              <w:rPr>
                <w:szCs w:val="24"/>
                <w:lang w:eastAsia="pt-BR"/>
              </w:rPr>
              <w:t>3</w:t>
            </w:r>
          </w:p>
        </w:tc>
        <w:tc>
          <w:tcPr>
            <w:tcW w:w="2587" w:type="dxa"/>
            <w:tcBorders>
              <w:top w:val="nil"/>
              <w:left w:val="nil"/>
              <w:bottom w:val="single" w:color="auto" w:sz="4" w:space="0"/>
              <w:right w:val="single" w:color="auto" w:sz="4" w:space="0"/>
            </w:tcBorders>
            <w:vAlign w:val="center"/>
          </w:tcPr>
          <w:p w14:paraId="4BECE7F6">
            <w:pPr>
              <w:spacing w:before="72" w:beforeLines="30" w:after="72" w:afterLines="30"/>
              <w:jc w:val="both"/>
              <w:rPr>
                <w:szCs w:val="24"/>
                <w:lang w:eastAsia="pt-BR"/>
              </w:rPr>
            </w:pPr>
            <w:r>
              <w:rPr>
                <w:szCs w:val="24"/>
                <w:lang w:eastAsia="pt-BR"/>
              </w:rPr>
              <w:t>GASOLINA COMUM</w:t>
            </w:r>
          </w:p>
        </w:tc>
        <w:tc>
          <w:tcPr>
            <w:tcW w:w="1359" w:type="dxa"/>
            <w:tcBorders>
              <w:top w:val="nil"/>
              <w:left w:val="nil"/>
              <w:bottom w:val="single" w:color="auto" w:sz="4" w:space="0"/>
              <w:right w:val="single" w:color="auto" w:sz="4" w:space="0"/>
            </w:tcBorders>
            <w:vAlign w:val="center"/>
          </w:tcPr>
          <w:p w14:paraId="5A8BA487">
            <w:pPr>
              <w:spacing w:before="72" w:beforeLines="30" w:after="72" w:afterLines="30"/>
              <w:jc w:val="both"/>
              <w:rPr>
                <w:szCs w:val="24"/>
                <w:lang w:eastAsia="pt-BR"/>
              </w:rPr>
            </w:pPr>
            <w:r>
              <w:rPr>
                <w:szCs w:val="24"/>
                <w:lang w:eastAsia="pt-BR"/>
              </w:rPr>
              <w:t>LT</w:t>
            </w:r>
          </w:p>
        </w:tc>
        <w:tc>
          <w:tcPr>
            <w:tcW w:w="1701" w:type="dxa"/>
            <w:tcBorders>
              <w:top w:val="nil"/>
              <w:left w:val="nil"/>
              <w:bottom w:val="single" w:color="auto" w:sz="4" w:space="0"/>
              <w:right w:val="single" w:color="auto" w:sz="4" w:space="0"/>
            </w:tcBorders>
            <w:vAlign w:val="center"/>
          </w:tcPr>
          <w:p w14:paraId="3A33B8EB">
            <w:pPr>
              <w:spacing w:before="72" w:beforeLines="30" w:after="72" w:afterLines="30"/>
              <w:jc w:val="both"/>
              <w:rPr>
                <w:szCs w:val="24"/>
                <w:lang w:eastAsia="pt-BR"/>
              </w:rPr>
            </w:pPr>
            <w:r>
              <w:rPr>
                <w:szCs w:val="24"/>
                <w:lang w:eastAsia="pt-BR"/>
              </w:rPr>
              <w:t>41500</w:t>
            </w:r>
          </w:p>
        </w:tc>
        <w:tc>
          <w:tcPr>
            <w:tcW w:w="1276" w:type="dxa"/>
            <w:tcBorders>
              <w:top w:val="nil"/>
              <w:left w:val="nil"/>
              <w:bottom w:val="single" w:color="auto" w:sz="4" w:space="0"/>
              <w:right w:val="single" w:color="auto" w:sz="4" w:space="0"/>
            </w:tcBorders>
            <w:vAlign w:val="center"/>
          </w:tcPr>
          <w:p w14:paraId="6D49DC18">
            <w:pPr>
              <w:spacing w:before="72" w:beforeLines="30" w:after="72" w:afterLines="30"/>
              <w:jc w:val="both"/>
              <w:rPr>
                <w:szCs w:val="24"/>
                <w:lang w:eastAsia="pt-BR"/>
              </w:rPr>
            </w:pPr>
            <w:r>
              <w:rPr>
                <w:szCs w:val="24"/>
                <w:lang w:eastAsia="pt-BR"/>
              </w:rPr>
              <w:t>6,63</w:t>
            </w:r>
          </w:p>
        </w:tc>
        <w:tc>
          <w:tcPr>
            <w:tcW w:w="1134" w:type="dxa"/>
            <w:tcBorders>
              <w:top w:val="nil"/>
              <w:left w:val="nil"/>
              <w:bottom w:val="single" w:color="auto" w:sz="4" w:space="0"/>
              <w:right w:val="single" w:color="auto" w:sz="4" w:space="0"/>
            </w:tcBorders>
            <w:vAlign w:val="center"/>
          </w:tcPr>
          <w:p w14:paraId="458D84EC">
            <w:pPr>
              <w:spacing w:before="72" w:beforeLines="30" w:after="72" w:afterLines="30"/>
              <w:jc w:val="both"/>
              <w:rPr>
                <w:szCs w:val="24"/>
                <w:lang w:eastAsia="pt-BR"/>
              </w:rPr>
            </w:pPr>
            <w:r>
              <w:rPr>
                <w:szCs w:val="24"/>
                <w:lang w:eastAsia="pt-BR"/>
              </w:rPr>
              <w:t>275.145,00</w:t>
            </w:r>
          </w:p>
        </w:tc>
      </w:tr>
      <w:tr w14:paraId="2953E983">
        <w:tblPrEx>
          <w:tblCellMar>
            <w:top w:w="0" w:type="dxa"/>
            <w:left w:w="70" w:type="dxa"/>
            <w:bottom w:w="0" w:type="dxa"/>
            <w:right w:w="70" w:type="dxa"/>
          </w:tblCellMar>
        </w:tblPrEx>
        <w:trPr>
          <w:trHeight w:val="300" w:hRule="atLeast"/>
        </w:trPr>
        <w:tc>
          <w:tcPr>
            <w:tcW w:w="727" w:type="dxa"/>
            <w:tcBorders>
              <w:top w:val="nil"/>
              <w:left w:val="single" w:color="auto" w:sz="4" w:space="0"/>
              <w:bottom w:val="single" w:color="auto" w:sz="4" w:space="0"/>
              <w:right w:val="single" w:color="auto" w:sz="4" w:space="0"/>
            </w:tcBorders>
            <w:vAlign w:val="center"/>
          </w:tcPr>
          <w:p w14:paraId="352B060B">
            <w:pPr>
              <w:spacing w:before="72" w:beforeLines="30" w:after="72" w:afterLines="30"/>
              <w:jc w:val="both"/>
              <w:rPr>
                <w:szCs w:val="24"/>
                <w:lang w:eastAsia="pt-BR"/>
              </w:rPr>
            </w:pPr>
            <w:r>
              <w:rPr>
                <w:szCs w:val="24"/>
                <w:lang w:eastAsia="pt-BR"/>
              </w:rPr>
              <w:t>4</w:t>
            </w:r>
          </w:p>
        </w:tc>
        <w:tc>
          <w:tcPr>
            <w:tcW w:w="2587" w:type="dxa"/>
            <w:tcBorders>
              <w:top w:val="nil"/>
              <w:left w:val="nil"/>
              <w:bottom w:val="single" w:color="auto" w:sz="4" w:space="0"/>
              <w:right w:val="single" w:color="auto" w:sz="4" w:space="0"/>
            </w:tcBorders>
            <w:vAlign w:val="center"/>
          </w:tcPr>
          <w:p w14:paraId="4E939E1A">
            <w:pPr>
              <w:spacing w:before="72" w:beforeLines="30" w:after="72" w:afterLines="30"/>
              <w:jc w:val="both"/>
              <w:rPr>
                <w:szCs w:val="24"/>
                <w:lang w:eastAsia="pt-BR"/>
              </w:rPr>
            </w:pPr>
            <w:r>
              <w:rPr>
                <w:szCs w:val="24"/>
                <w:lang w:eastAsia="pt-BR"/>
              </w:rPr>
              <w:t>ARLA 32 (Agemte Redutor Líquido de Emissão Automotivas)</w:t>
            </w:r>
          </w:p>
        </w:tc>
        <w:tc>
          <w:tcPr>
            <w:tcW w:w="1359" w:type="dxa"/>
            <w:tcBorders>
              <w:top w:val="nil"/>
              <w:left w:val="nil"/>
              <w:bottom w:val="single" w:color="auto" w:sz="4" w:space="0"/>
              <w:right w:val="single" w:color="auto" w:sz="4" w:space="0"/>
            </w:tcBorders>
            <w:vAlign w:val="center"/>
          </w:tcPr>
          <w:p w14:paraId="10251793">
            <w:pPr>
              <w:spacing w:before="72" w:beforeLines="30" w:after="72" w:afterLines="30"/>
              <w:jc w:val="both"/>
              <w:rPr>
                <w:szCs w:val="24"/>
                <w:lang w:eastAsia="pt-BR"/>
              </w:rPr>
            </w:pPr>
            <w:r>
              <w:rPr>
                <w:szCs w:val="24"/>
                <w:lang w:eastAsia="pt-BR"/>
              </w:rPr>
              <w:t>LT</w:t>
            </w:r>
          </w:p>
        </w:tc>
        <w:tc>
          <w:tcPr>
            <w:tcW w:w="1701" w:type="dxa"/>
            <w:tcBorders>
              <w:top w:val="nil"/>
              <w:left w:val="nil"/>
              <w:bottom w:val="single" w:color="auto" w:sz="4" w:space="0"/>
              <w:right w:val="single" w:color="auto" w:sz="4" w:space="0"/>
            </w:tcBorders>
            <w:vAlign w:val="center"/>
          </w:tcPr>
          <w:p w14:paraId="7A062ADB">
            <w:pPr>
              <w:spacing w:before="72" w:beforeLines="30" w:after="72" w:afterLines="30"/>
              <w:jc w:val="both"/>
              <w:rPr>
                <w:szCs w:val="24"/>
                <w:lang w:eastAsia="pt-BR"/>
              </w:rPr>
            </w:pPr>
            <w:r>
              <w:rPr>
                <w:szCs w:val="24"/>
                <w:lang w:eastAsia="pt-BR"/>
              </w:rPr>
              <w:t>6500</w:t>
            </w:r>
          </w:p>
        </w:tc>
        <w:tc>
          <w:tcPr>
            <w:tcW w:w="1276" w:type="dxa"/>
            <w:tcBorders>
              <w:top w:val="nil"/>
              <w:left w:val="nil"/>
              <w:bottom w:val="single" w:color="auto" w:sz="4" w:space="0"/>
              <w:right w:val="single" w:color="auto" w:sz="4" w:space="0"/>
            </w:tcBorders>
            <w:vAlign w:val="center"/>
          </w:tcPr>
          <w:p w14:paraId="59A70633">
            <w:pPr>
              <w:spacing w:before="72" w:beforeLines="30" w:after="72" w:afterLines="30"/>
              <w:jc w:val="both"/>
              <w:rPr>
                <w:szCs w:val="24"/>
                <w:lang w:eastAsia="pt-BR"/>
              </w:rPr>
            </w:pPr>
            <w:r>
              <w:rPr>
                <w:szCs w:val="24"/>
                <w:lang w:eastAsia="pt-BR"/>
              </w:rPr>
              <w:t>4,76</w:t>
            </w:r>
          </w:p>
        </w:tc>
        <w:tc>
          <w:tcPr>
            <w:tcW w:w="1134" w:type="dxa"/>
            <w:tcBorders>
              <w:top w:val="nil"/>
              <w:left w:val="nil"/>
              <w:bottom w:val="single" w:color="auto" w:sz="4" w:space="0"/>
              <w:right w:val="single" w:color="auto" w:sz="4" w:space="0"/>
            </w:tcBorders>
            <w:vAlign w:val="center"/>
          </w:tcPr>
          <w:p w14:paraId="77A5A911">
            <w:pPr>
              <w:spacing w:before="72" w:beforeLines="30" w:after="72" w:afterLines="30"/>
              <w:jc w:val="both"/>
              <w:rPr>
                <w:szCs w:val="24"/>
                <w:lang w:eastAsia="pt-BR"/>
              </w:rPr>
            </w:pPr>
            <w:r>
              <w:rPr>
                <w:szCs w:val="24"/>
                <w:lang w:eastAsia="pt-BR"/>
              </w:rPr>
              <w:t>30.940,00</w:t>
            </w:r>
          </w:p>
        </w:tc>
      </w:tr>
    </w:tbl>
    <w:p w14:paraId="133215A4">
      <w:pPr>
        <w:pStyle w:val="234"/>
        <w:spacing w:before="72" w:beforeLines="30" w:beforeAutospacing="0" w:after="72" w:afterLines="30" w:afterAutospacing="0"/>
        <w:jc w:val="both"/>
        <w:rPr>
          <w:b/>
          <w:bCs/>
        </w:rPr>
      </w:pPr>
    </w:p>
    <w:p w14:paraId="03750042">
      <w:pPr>
        <w:pStyle w:val="234"/>
        <w:spacing w:before="72" w:beforeLines="30" w:beforeAutospacing="0" w:after="72" w:afterLines="30" w:afterAutospacing="0"/>
        <w:jc w:val="both"/>
        <w:rPr>
          <w:b/>
          <w:bCs/>
        </w:rPr>
      </w:pPr>
      <w:r>
        <w:rPr>
          <w:b/>
          <w:bCs/>
        </w:rPr>
        <w:t xml:space="preserve">Total da licitação é R$ 1.010.255,00. </w:t>
      </w:r>
    </w:p>
    <w:p w14:paraId="3A97A8FC">
      <w:pPr>
        <w:pStyle w:val="234"/>
        <w:spacing w:before="72" w:beforeLines="30" w:beforeAutospacing="0" w:after="72" w:afterLines="30" w:afterAutospacing="0"/>
        <w:jc w:val="both"/>
      </w:pPr>
      <w:r>
        <w:rPr>
          <w:b/>
          <w:bCs/>
        </w:rPr>
        <w:t>1.2.</w:t>
      </w:r>
      <w:r>
        <w:t xml:space="preserve"> Os bens objeto desta contratação são caracterizados como comuns, cujos padrões de desempenho e qualidade foram objetivamente definidos através de especificações usuais de mercado. </w:t>
      </w:r>
    </w:p>
    <w:p w14:paraId="673AB08C">
      <w:pPr>
        <w:pStyle w:val="234"/>
        <w:spacing w:before="72" w:beforeLines="30" w:beforeAutospacing="0" w:after="72" w:afterLines="30" w:afterAutospacing="0"/>
        <w:jc w:val="both"/>
      </w:pPr>
      <w:r>
        <w:rPr>
          <w:b/>
          <w:bCs/>
        </w:rPr>
        <w:t>1.3.</w:t>
      </w:r>
      <w:r>
        <w:t xml:space="preserve"> O objeto desta contratação não se enquadra como sendo de bem de luxo, conforme decreto 109 de 19 de setembro de 2022.</w:t>
      </w:r>
    </w:p>
    <w:p w14:paraId="5193E55E">
      <w:pPr>
        <w:spacing w:before="72" w:beforeLines="30" w:after="72" w:afterLines="30"/>
        <w:jc w:val="both"/>
        <w:rPr>
          <w:bCs/>
          <w:color w:val="000000"/>
          <w:szCs w:val="24"/>
        </w:rPr>
      </w:pPr>
      <w:bookmarkStart w:id="2" w:name="_Hlk220659217"/>
      <w:r>
        <w:rPr>
          <w:b/>
          <w:color w:val="000000"/>
          <w:szCs w:val="24"/>
        </w:rPr>
        <w:t>1.4</w:t>
      </w:r>
      <w:r>
        <w:rPr>
          <w:bCs/>
          <w:color w:val="000000"/>
          <w:szCs w:val="24"/>
        </w:rPr>
        <w:t>.O prazo de vigência da Ata de Registro de Preços é de 12 meses,</w:t>
      </w:r>
      <w:r>
        <w:rPr>
          <w:color w:val="000000"/>
          <w:szCs w:val="24"/>
        </w:rPr>
        <w:t xml:space="preserve"> </w:t>
      </w:r>
      <w:bookmarkStart w:id="3" w:name="_Hlk205283203"/>
      <w:r>
        <w:rPr>
          <w:color w:val="000000"/>
          <w:szCs w:val="24"/>
        </w:rPr>
        <w:t>contados do primeiro dia útil subsequente a publicação do extrato da ARP no diário oficial do município</w:t>
      </w:r>
      <w:bookmarkEnd w:id="3"/>
      <w:r>
        <w:rPr>
          <w:bCs/>
          <w:color w:val="000000"/>
          <w:szCs w:val="24"/>
        </w:rPr>
        <w:t xml:space="preserve"> prorrogável por igual período, desde que comprovado o preço vantajoso, na forma do art. 84 da Lei n° 14.133, de 2021.</w:t>
      </w:r>
    </w:p>
    <w:p w14:paraId="31D32050">
      <w:pPr>
        <w:spacing w:before="72" w:beforeLines="30" w:after="72" w:afterLines="30"/>
        <w:jc w:val="both"/>
        <w:rPr>
          <w:bCs/>
          <w:szCs w:val="24"/>
        </w:rPr>
      </w:pPr>
      <w:r>
        <w:rPr>
          <w:b/>
          <w:szCs w:val="24"/>
        </w:rPr>
        <w:t>1.5.</w:t>
      </w:r>
      <w:r>
        <w:rPr>
          <w:bCs/>
          <w:szCs w:val="24"/>
        </w:rPr>
        <w:t xml:space="preserve"> O prazo de vigência do Contrato é de 12 meses, contados </w:t>
      </w:r>
      <w:r>
        <w:rPr>
          <w:color w:val="000000"/>
          <w:szCs w:val="24"/>
        </w:rPr>
        <w:t>do primeiro dia útil subsequente a publicação do extrato do contrato no diário oficial do município</w:t>
      </w:r>
      <w:r>
        <w:rPr>
          <w:bCs/>
          <w:szCs w:val="24"/>
        </w:rPr>
        <w:t xml:space="preserve"> na forma do artigo e 105 da Lei n° 14.133, de 2021.</w:t>
      </w:r>
    </w:p>
    <w:p w14:paraId="0B8B7CC0">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color w:val="000000"/>
          <w:sz w:val="24"/>
          <w:szCs w:val="24"/>
        </w:rPr>
        <w:t>1.6.</w:t>
      </w:r>
      <w:r>
        <w:rPr>
          <w:rFonts w:ascii="Times New Roman" w:hAnsi="Times New Roman"/>
          <w:color w:val="000000"/>
          <w:sz w:val="24"/>
          <w:szCs w:val="24"/>
        </w:rPr>
        <w:t xml:space="preserve"> </w:t>
      </w:r>
      <w:r>
        <w:rPr>
          <w:rFonts w:ascii="Times New Roman" w:hAnsi="Times New Roman"/>
          <w:sz w:val="24"/>
          <w:szCs w:val="24"/>
        </w:rPr>
        <w:t xml:space="preserve"> A ata oferece maior detalhamento das regras que serão aplicadas em relação à vigência da contratação.</w:t>
      </w:r>
    </w:p>
    <w:bookmarkEnd w:id="2"/>
    <w:p w14:paraId="013D8382">
      <w:pPr>
        <w:pStyle w:val="94"/>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p>
    <w:p w14:paraId="2FEAB6B8">
      <w:pPr>
        <w:pStyle w:val="77"/>
        <w:numPr>
          <w:ilvl w:val="0"/>
          <w:numId w:val="6"/>
        </w:numPr>
        <w:spacing w:before="72" w:beforeLines="30" w:after="72" w:afterLines="30" w:line="240" w:lineRule="auto"/>
        <w:ind w:left="0" w:firstLine="0"/>
        <w:rPr>
          <w:rFonts w:ascii="Times New Roman" w:hAnsi="Times New Roman" w:cs="Times New Roman"/>
          <w:sz w:val="24"/>
          <w:szCs w:val="24"/>
        </w:rPr>
      </w:pPr>
      <w:r>
        <w:rPr>
          <w:rFonts w:ascii="Times New Roman" w:hAnsi="Times New Roman" w:cs="Times New Roman"/>
          <w:sz w:val="24"/>
          <w:szCs w:val="24"/>
        </w:rPr>
        <w:t>FUNDAMENTAÇÃO E DESCRIÇÃO DA NECESSIDADE DA CONTRATAÇÃO.</w:t>
      </w:r>
    </w:p>
    <w:p w14:paraId="5A7075ED">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2.1</w:t>
      </w:r>
      <w:r>
        <w:rPr>
          <w:rFonts w:ascii="Times New Roman" w:hAnsi="Times New Roman"/>
          <w:sz w:val="24"/>
          <w:szCs w:val="24"/>
        </w:rPr>
        <w:t>. A Fundamentação da Contratação e de seus quantitativos encontra-se pormenorizada em Tópico específico dos Estudos Técnicos Preliminares.</w:t>
      </w:r>
    </w:p>
    <w:p w14:paraId="2768FC93">
      <w:pPr>
        <w:pStyle w:val="80"/>
        <w:numPr>
          <w:ilvl w:val="0"/>
          <w:numId w:val="0"/>
        </w:numPr>
        <w:spacing w:before="72" w:beforeLines="30" w:after="72" w:afterLines="30" w:line="240" w:lineRule="auto"/>
        <w:rPr>
          <w:rFonts w:ascii="Times New Roman" w:hAnsi="Times New Roman"/>
          <w:sz w:val="24"/>
          <w:szCs w:val="24"/>
        </w:rPr>
      </w:pPr>
      <w:bookmarkStart w:id="4" w:name="_Hlk220659307"/>
      <w:r>
        <w:rPr>
          <w:rFonts w:ascii="Times New Roman" w:hAnsi="Times New Roman"/>
          <w:b/>
          <w:bCs/>
          <w:sz w:val="24"/>
          <w:szCs w:val="24"/>
        </w:rPr>
        <w:t>2.2</w:t>
      </w:r>
      <w:r>
        <w:rPr>
          <w:rFonts w:ascii="Times New Roman" w:hAnsi="Times New Roman"/>
          <w:sz w:val="24"/>
          <w:szCs w:val="24"/>
        </w:rPr>
        <w:t>. O objeto da contratação está previsto no Plano de Contratações Anual 2026, conforme detalhamento a seguir:</w:t>
      </w:r>
    </w:p>
    <w:p w14:paraId="01AE4BC1">
      <w:pPr>
        <w:pStyle w:val="94"/>
        <w:numPr>
          <w:ilvl w:val="0"/>
          <w:numId w:val="7"/>
        </w:numPr>
        <w:spacing w:before="72" w:beforeLines="30" w:after="72" w:afterLines="30"/>
        <w:ind w:left="0" w:firstLine="0"/>
        <w:jc w:val="both"/>
        <w:rPr>
          <w:rFonts w:ascii="Times New Roman" w:hAnsi="Times New Roman" w:cs="Times New Roman"/>
          <w:bCs/>
          <w:iCs/>
          <w:sz w:val="24"/>
          <w:szCs w:val="24"/>
        </w:rPr>
      </w:pPr>
      <w:r>
        <w:rPr>
          <w:rFonts w:ascii="Times New Roman" w:hAnsi="Times New Roman" w:cs="Times New Roman"/>
          <w:bCs/>
          <w:iCs/>
          <w:sz w:val="24"/>
          <w:szCs w:val="24"/>
        </w:rPr>
        <w:t>ID PCA no PNCP: 03217924000132-0-000005/2026 e https://pncp.gov.br/app/pca/03217924000132/2026</w:t>
      </w:r>
    </w:p>
    <w:p w14:paraId="169CCF02">
      <w:pPr>
        <w:pStyle w:val="94"/>
        <w:numPr>
          <w:ilvl w:val="0"/>
          <w:numId w:val="7"/>
        </w:numPr>
        <w:spacing w:before="72" w:beforeLines="30" w:after="72" w:afterLines="30"/>
        <w:ind w:left="0" w:firstLine="0"/>
        <w:jc w:val="both"/>
        <w:rPr>
          <w:rFonts w:ascii="Times New Roman" w:hAnsi="Times New Roman" w:cs="Times New Roman"/>
          <w:bCs/>
          <w:iCs/>
          <w:sz w:val="24"/>
          <w:szCs w:val="24"/>
        </w:rPr>
      </w:pPr>
      <w:r>
        <w:rPr>
          <w:rFonts w:ascii="Times New Roman" w:hAnsi="Times New Roman" w:cs="Times New Roman"/>
          <w:bCs/>
          <w:iCs/>
          <w:sz w:val="24"/>
          <w:szCs w:val="24"/>
        </w:rPr>
        <w:t>Data de publicação no PNCP: 18/11/2025</w:t>
      </w:r>
    </w:p>
    <w:p w14:paraId="18BE336F">
      <w:pPr>
        <w:pStyle w:val="49"/>
        <w:numPr>
          <w:ilvl w:val="0"/>
          <w:numId w:val="7"/>
        </w:numPr>
        <w:suppressAutoHyphens w:val="0"/>
        <w:spacing w:before="72" w:beforeLines="30" w:after="72" w:afterLines="30"/>
        <w:ind w:left="0" w:firstLine="0"/>
        <w:jc w:val="both"/>
        <w:rPr>
          <w:bCs/>
          <w:szCs w:val="24"/>
        </w:rPr>
      </w:pPr>
      <w:r>
        <w:rPr>
          <w:bCs/>
          <w:szCs w:val="24"/>
        </w:rPr>
        <w:t xml:space="preserve">Classe/Grupo: 030- Material de consumo </w:t>
      </w:r>
    </w:p>
    <w:bookmarkEnd w:id="4"/>
    <w:p w14:paraId="53C7DA2D">
      <w:pPr>
        <w:spacing w:before="72" w:beforeLines="30" w:after="72" w:afterLines="30"/>
        <w:jc w:val="both"/>
        <w:rPr>
          <w:color w:val="44546A" w:themeColor="text2"/>
          <w:szCs w:val="24"/>
          <w14:textFill>
            <w14:solidFill>
              <w14:schemeClr w14:val="tx2"/>
            </w14:solidFill>
          </w14:textFill>
        </w:rPr>
      </w:pPr>
    </w:p>
    <w:p w14:paraId="3509DAAC">
      <w:pPr>
        <w:pStyle w:val="77"/>
        <w:numPr>
          <w:ilvl w:val="0"/>
          <w:numId w:val="2"/>
        </w:numPr>
        <w:spacing w:before="72" w:beforeLines="30" w:after="72" w:afterLines="30" w:line="240" w:lineRule="auto"/>
        <w:ind w:left="0" w:firstLine="0"/>
        <w:rPr>
          <w:rFonts w:ascii="Times New Roman" w:hAnsi="Times New Roman" w:cs="Times New Roman"/>
          <w:sz w:val="24"/>
          <w:szCs w:val="24"/>
        </w:rPr>
      </w:pPr>
      <w:r>
        <w:rPr>
          <w:rFonts w:ascii="Times New Roman" w:hAnsi="Times New Roman" w:cs="Times New Roman"/>
          <w:sz w:val="24"/>
          <w:szCs w:val="24"/>
        </w:rPr>
        <w:t>DESCRIÇÃO DA SOLUÇÃO COMO UM TODO CONSIDERADO O CICLO DE VIDA DO OBJETO E ESPECIFICAÇÃO DO PRODUTO</w:t>
      </w:r>
    </w:p>
    <w:p w14:paraId="5616C8A8">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3.1 A descrição da solução como um todo encontra-se pormenorizada em tópico           específico dos Estudos Técnicos Preliminares.</w:t>
      </w:r>
    </w:p>
    <w:p w14:paraId="431CBC82">
      <w:pPr>
        <w:pStyle w:val="80"/>
        <w:numPr>
          <w:ilvl w:val="0"/>
          <w:numId w:val="0"/>
        </w:numPr>
        <w:spacing w:before="72" w:beforeLines="30" w:after="72" w:afterLines="30" w:line="240" w:lineRule="auto"/>
        <w:rPr>
          <w:rFonts w:ascii="Times New Roman" w:hAnsi="Times New Roman"/>
          <w:sz w:val="24"/>
          <w:szCs w:val="24"/>
        </w:rPr>
      </w:pPr>
    </w:p>
    <w:p w14:paraId="40789B26">
      <w:pPr>
        <w:pStyle w:val="77"/>
        <w:numPr>
          <w:ilvl w:val="0"/>
          <w:numId w:val="2"/>
        </w:numPr>
        <w:spacing w:before="72" w:beforeLines="30" w:after="72" w:afterLines="30" w:line="240" w:lineRule="auto"/>
        <w:ind w:left="0" w:firstLine="0"/>
        <w:rPr>
          <w:rFonts w:ascii="Times New Roman" w:hAnsi="Times New Roman" w:cs="Times New Roman"/>
          <w:sz w:val="24"/>
          <w:szCs w:val="24"/>
        </w:rPr>
      </w:pPr>
      <w:r>
        <w:rPr>
          <w:rFonts w:ascii="Times New Roman" w:hAnsi="Times New Roman" w:cs="Times New Roman"/>
          <w:sz w:val="24"/>
          <w:szCs w:val="24"/>
        </w:rPr>
        <w:t>REQUISITOS DA CONTRATAÇÃO</w:t>
      </w:r>
    </w:p>
    <w:p w14:paraId="6DE4C510">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4.1 Os requisitos da contratação estão inseridos na descrição das especificações do objeto que constam no item 1.1. </w:t>
      </w:r>
    </w:p>
    <w:p w14:paraId="7C68E2DB">
      <w:pPr>
        <w:pStyle w:val="49"/>
        <w:numPr>
          <w:ilvl w:val="2"/>
          <w:numId w:val="8"/>
        </w:numPr>
        <w:suppressAutoHyphens w:val="0"/>
        <w:spacing w:before="72" w:beforeLines="30" w:after="72" w:afterLines="30"/>
        <w:ind w:left="0" w:firstLine="0"/>
        <w:jc w:val="both"/>
        <w:rPr>
          <w:b/>
          <w:bCs/>
          <w:i/>
          <w:iCs/>
          <w:color w:val="000000" w:themeColor="text1"/>
          <w:szCs w:val="24"/>
          <w14:textFill>
            <w14:solidFill>
              <w14:schemeClr w14:val="tx1"/>
            </w14:solidFill>
          </w14:textFill>
        </w:rPr>
      </w:pPr>
      <w:r>
        <w:rPr>
          <w:b/>
          <w:szCs w:val="24"/>
          <w:lang w:eastAsia="pt-BR"/>
        </w:rPr>
        <w:t>Os abastecimentos de combustíveis/arla deverão ser disponibilizados 24 horas por dia, incluindo finais de semana e feriados, considerando as necessidades de algumas secretarias, como exemplo ambulâncias da secretaria de saúde</w:t>
      </w:r>
      <w:r>
        <w:rPr>
          <w:b/>
          <w:color w:val="000000" w:themeColor="text1"/>
          <w:szCs w:val="24"/>
          <w14:textFill>
            <w14:solidFill>
              <w14:schemeClr w14:val="tx1"/>
            </w14:solidFill>
          </w14:textFill>
        </w:rPr>
        <w:t>.</w:t>
      </w:r>
    </w:p>
    <w:p w14:paraId="5ED3E910">
      <w:pPr>
        <w:pStyle w:val="239"/>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4.2. Subcontratação</w:t>
      </w:r>
    </w:p>
    <w:p w14:paraId="02A0EE3F">
      <w:pPr>
        <w:pStyle w:val="80"/>
        <w:numPr>
          <w:ilvl w:val="2"/>
          <w:numId w:val="9"/>
        </w:numPr>
        <w:tabs>
          <w:tab w:val="left" w:pos="8931"/>
        </w:tabs>
        <w:spacing w:before="72" w:beforeLines="30" w:after="72" w:afterLines="30" w:line="240" w:lineRule="auto"/>
        <w:ind w:left="0" w:firstLine="0"/>
        <w:rPr>
          <w:rFonts w:ascii="Times New Roman" w:hAnsi="Times New Roman"/>
          <w:sz w:val="24"/>
          <w:szCs w:val="24"/>
        </w:rPr>
      </w:pPr>
      <w:r>
        <w:rPr>
          <w:rFonts w:ascii="Times New Roman" w:hAnsi="Times New Roman"/>
          <w:sz w:val="24"/>
          <w:szCs w:val="24"/>
        </w:rPr>
        <w:t>Não é admitida a subcontratação do objeto contratual.</w:t>
      </w:r>
    </w:p>
    <w:p w14:paraId="72E09BC9">
      <w:pPr>
        <w:pStyle w:val="239"/>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4.3. Garantia da contratação</w:t>
      </w:r>
    </w:p>
    <w:p w14:paraId="2DC55101">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4.3.1 Não haverá exigência da garantia da contratação dos </w:t>
      </w:r>
      <w:r>
        <w:fldChar w:fldCharType="begin"/>
      </w:r>
      <w:r>
        <w:instrText xml:space="preserve"> HYPERLINK "http://www.planalto.gov.br/ccivil_03/_ato2019-2022/2021/lei/L14133.htm" \l "art96" \h </w:instrText>
      </w:r>
      <w:r>
        <w:fldChar w:fldCharType="separate"/>
      </w:r>
      <w:r>
        <w:rPr>
          <w:rStyle w:val="17"/>
          <w:rFonts w:ascii="Times New Roman" w:hAnsi="Times New Roman"/>
          <w:color w:val="000000" w:themeColor="text1"/>
          <w:sz w:val="24"/>
          <w:szCs w:val="24"/>
          <w14:textFill>
            <w14:solidFill>
              <w14:schemeClr w14:val="tx1"/>
            </w14:solidFill>
          </w14:textFill>
        </w:rPr>
        <w:t>artigos 96 e seguintes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sz w:val="24"/>
          <w:szCs w:val="24"/>
        </w:rPr>
        <w:t>, pelas razões constantes do Estudo Técnico Preliminar.</w:t>
      </w:r>
    </w:p>
    <w:p w14:paraId="05C15BD3">
      <w:pPr>
        <w:pStyle w:val="80"/>
        <w:numPr>
          <w:ilvl w:val="0"/>
          <w:numId w:val="0"/>
        </w:numPr>
        <w:spacing w:before="72" w:beforeLines="30" w:after="72" w:afterLines="30" w:line="240" w:lineRule="auto"/>
        <w:rPr>
          <w:rFonts w:ascii="Times New Roman" w:hAnsi="Times New Roman"/>
          <w:sz w:val="24"/>
          <w:szCs w:val="24"/>
        </w:rPr>
      </w:pPr>
    </w:p>
    <w:p w14:paraId="65EC5390">
      <w:pPr>
        <w:pStyle w:val="77"/>
        <w:numPr>
          <w:ilvl w:val="0"/>
          <w:numId w:val="2"/>
        </w:numPr>
        <w:spacing w:before="72" w:beforeLines="30" w:after="72" w:afterLines="30" w:line="240" w:lineRule="auto"/>
        <w:ind w:left="0" w:firstLine="0"/>
        <w:rPr>
          <w:rFonts w:ascii="Times New Roman" w:hAnsi="Times New Roman" w:cs="Times New Roman"/>
          <w:sz w:val="24"/>
          <w:szCs w:val="24"/>
        </w:rPr>
      </w:pPr>
      <w:r>
        <w:rPr>
          <w:rFonts w:ascii="Times New Roman" w:hAnsi="Times New Roman" w:cs="Times New Roman"/>
          <w:sz w:val="24"/>
          <w:szCs w:val="24"/>
        </w:rPr>
        <w:t>MODELO DE EXECUÇÃO DO OBJETO</w:t>
      </w:r>
    </w:p>
    <w:p w14:paraId="364EB812">
      <w:pPr>
        <w:pStyle w:val="223"/>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Condições de Entrega</w:t>
      </w:r>
    </w:p>
    <w:p w14:paraId="04F84E94">
      <w:pPr>
        <w:numPr>
          <w:ilvl w:val="1"/>
          <w:numId w:val="2"/>
        </w:numPr>
        <w:suppressAutoHyphens w:val="0"/>
        <w:spacing w:before="72" w:beforeLines="30" w:after="72" w:afterLines="30"/>
        <w:ind w:left="0" w:firstLine="0"/>
        <w:jc w:val="both"/>
        <w:rPr>
          <w:b/>
          <w:bCs/>
          <w:i/>
          <w:iCs/>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O prazo para fornecimento do objeto será IMEDIATO, conforme solicitação da </w:t>
      </w:r>
      <w:r>
        <w:rPr>
          <w:bCs/>
          <w:color w:val="000000" w:themeColor="text1"/>
          <w:szCs w:val="24"/>
          <w14:textFill>
            <w14:solidFill>
              <w14:schemeClr w14:val="tx1"/>
            </w14:solidFill>
          </w14:textFill>
        </w:rPr>
        <w:t xml:space="preserve">Secretarias Municipais, e os </w:t>
      </w:r>
      <w:r>
        <w:rPr>
          <w:color w:val="000000" w:themeColor="text1"/>
          <w:szCs w:val="24"/>
          <w14:textFill>
            <w14:solidFill>
              <w14:schemeClr w14:val="tx1"/>
            </w14:solidFill>
          </w14:textFill>
        </w:rPr>
        <w:t xml:space="preserve">abastecimentos dos veículos serão realizados de forma individual, direto na bomba do estabelecimento da empresa contratada/detentora, no município de Sidrolândia no estado de Mato Grosso do Sul. </w:t>
      </w:r>
    </w:p>
    <w:p w14:paraId="44EB348B">
      <w:pPr>
        <w:numPr>
          <w:ilvl w:val="1"/>
          <w:numId w:val="2"/>
        </w:numPr>
        <w:suppressAutoHyphens w:val="0"/>
        <w:spacing w:before="72" w:beforeLines="30" w:after="72" w:afterLines="30"/>
        <w:ind w:left="0" w:firstLine="0"/>
        <w:jc w:val="both"/>
        <w:rPr>
          <w:b/>
          <w:bCs/>
          <w:i/>
          <w:iCs/>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 Os Objetos serão fornecidos parcelados, até que seja atingida a quantidade total adquirida, em atendimento às requisições escritas expedidas.</w:t>
      </w:r>
    </w:p>
    <w:p w14:paraId="0E4B9BDB">
      <w:pPr>
        <w:numPr>
          <w:ilvl w:val="1"/>
          <w:numId w:val="2"/>
        </w:numPr>
        <w:suppressAutoHyphens w:val="0"/>
        <w:spacing w:before="72" w:beforeLines="30" w:after="72" w:afterLines="30"/>
        <w:ind w:left="0" w:firstLine="0"/>
        <w:jc w:val="both"/>
        <w:rPr>
          <w:b/>
          <w:bCs/>
          <w:i/>
          <w:iCs/>
          <w:color w:val="000000" w:themeColor="text1"/>
          <w:szCs w:val="24"/>
          <w14:textFill>
            <w14:solidFill>
              <w14:schemeClr w14:val="tx1"/>
            </w14:solidFill>
          </w14:textFill>
        </w:rPr>
      </w:pPr>
      <w:bookmarkStart w:id="5" w:name="_Hlk221279097"/>
      <w:r>
        <w:rPr>
          <w:color w:val="000000" w:themeColor="text1"/>
          <w:szCs w:val="24"/>
          <w14:textFill>
            <w14:solidFill>
              <w14:schemeClr w14:val="tx1"/>
            </w14:solidFill>
          </w14:textFill>
        </w:rPr>
        <w:t>Os combustíveis/arla deverão estar disponibilizados 24 horas por dia, incluindo finais de semana e feriados, considerando as necessidades de algumas secretarias, como exemplo ambulâncias da secretaria de saúde.</w:t>
      </w:r>
    </w:p>
    <w:bookmarkEnd w:id="5"/>
    <w:p w14:paraId="05A6CE7E">
      <w:pPr>
        <w:pStyle w:val="50"/>
        <w:spacing w:before="72" w:beforeLines="30" w:after="72" w:afterLines="30"/>
        <w:jc w:val="both"/>
        <w:rPr>
          <w:color w:val="000000" w:themeColor="text1"/>
          <w14:textFill>
            <w14:solidFill>
              <w14:schemeClr w14:val="tx1"/>
            </w14:solidFill>
          </w14:textFill>
        </w:rPr>
      </w:pPr>
      <w:r>
        <w:rPr>
          <w:b/>
          <w:bCs/>
          <w:color w:val="000000" w:themeColor="text1"/>
          <w14:textFill>
            <w14:solidFill>
              <w14:schemeClr w14:val="tx1"/>
            </w14:solidFill>
          </w14:textFill>
        </w:rPr>
        <w:t>5.4.</w:t>
      </w:r>
      <w:r>
        <w:rPr>
          <w:color w:val="000000" w:themeColor="text1"/>
          <w14:textFill>
            <w14:solidFill>
              <w14:schemeClr w14:val="tx1"/>
            </w14:solidFill>
          </w14:textFill>
        </w:rPr>
        <w:t xml:space="preserve">  Os abastecimentos serão efetuados somente com a apresentação das requisições e nas quantidades estipuladas naquele documento; </w:t>
      </w:r>
    </w:p>
    <w:p w14:paraId="6B4C7882">
      <w:pPr>
        <w:pStyle w:val="50"/>
        <w:spacing w:before="72" w:beforeLines="30" w:after="72" w:afterLines="30"/>
        <w:jc w:val="both"/>
        <w:rPr>
          <w:color w:val="000000" w:themeColor="text1"/>
          <w14:textFill>
            <w14:solidFill>
              <w14:schemeClr w14:val="tx1"/>
            </w14:solidFill>
          </w14:textFill>
        </w:rPr>
      </w:pPr>
      <w:r>
        <w:rPr>
          <w:b/>
          <w:bCs/>
          <w:color w:val="000000" w:themeColor="text1"/>
          <w14:textFill>
            <w14:solidFill>
              <w14:schemeClr w14:val="tx1"/>
            </w14:solidFill>
          </w14:textFill>
        </w:rPr>
        <w:t>5.5</w:t>
      </w:r>
      <w:r>
        <w:rPr>
          <w:color w:val="000000" w:themeColor="text1"/>
          <w14:textFill>
            <w14:solidFill>
              <w14:schemeClr w14:val="tx1"/>
            </w14:solidFill>
          </w14:textFill>
        </w:rPr>
        <w:t xml:space="preserve">.  O fornecimento dos produtos contratados se dará a partir da publicação do extrato da ata no diário oficial do município. </w:t>
      </w:r>
    </w:p>
    <w:p w14:paraId="6FB81107">
      <w:pPr>
        <w:pStyle w:val="50"/>
        <w:spacing w:before="72" w:beforeLines="30" w:after="72" w:afterLines="30"/>
        <w:jc w:val="both"/>
        <w:rPr>
          <w:color w:val="000000" w:themeColor="text1"/>
          <w14:textFill>
            <w14:solidFill>
              <w14:schemeClr w14:val="tx1"/>
            </w14:solidFill>
          </w14:textFill>
        </w:rPr>
      </w:pPr>
      <w:r>
        <w:rPr>
          <w:b/>
          <w:bCs/>
          <w:color w:val="000000" w:themeColor="text1"/>
          <w14:textFill>
            <w14:solidFill>
              <w14:schemeClr w14:val="tx1"/>
            </w14:solidFill>
          </w14:textFill>
        </w:rPr>
        <w:t>5.6.</w:t>
      </w:r>
      <w:r>
        <w:rPr>
          <w:color w:val="000000" w:themeColor="text1"/>
          <w14:textFill>
            <w14:solidFill>
              <w14:schemeClr w14:val="tx1"/>
            </w14:solidFill>
          </w14:textFill>
        </w:rPr>
        <w:t xml:space="preserve">  As requisições serão em formulário padrão da Prefeitura Municipal de Caracol. </w:t>
      </w:r>
    </w:p>
    <w:p w14:paraId="037238DA">
      <w:pPr>
        <w:pStyle w:val="50"/>
        <w:spacing w:before="72" w:beforeLines="30" w:after="72" w:afterLines="30"/>
        <w:jc w:val="both"/>
        <w:rPr>
          <w:color w:val="000000" w:themeColor="text1"/>
          <w14:textFill>
            <w14:solidFill>
              <w14:schemeClr w14:val="tx1"/>
            </w14:solidFill>
          </w14:textFill>
        </w:rPr>
      </w:pPr>
      <w:r>
        <w:rPr>
          <w:b/>
          <w:bCs/>
          <w:color w:val="000000" w:themeColor="text1"/>
          <w14:textFill>
            <w14:solidFill>
              <w14:schemeClr w14:val="tx1"/>
            </w14:solidFill>
          </w14:textFill>
        </w:rPr>
        <w:t>5.7.</w:t>
      </w:r>
      <w:r>
        <w:rPr>
          <w:color w:val="000000" w:themeColor="text1"/>
          <w14:textFill>
            <w14:solidFill>
              <w14:schemeClr w14:val="tx1"/>
            </w14:solidFill>
          </w14:textFill>
        </w:rPr>
        <w:t xml:space="preserve">  O fornecimento deverá ser efetuado no ato do recebimento da respectiva requisição. </w:t>
      </w:r>
    </w:p>
    <w:p w14:paraId="4FFBA7AF">
      <w:pPr>
        <w:spacing w:before="72" w:beforeLines="30" w:after="72" w:afterLines="30"/>
        <w:jc w:val="both"/>
        <w:rPr>
          <w:bCs/>
          <w:iCs/>
          <w:color w:val="000000" w:themeColor="text1"/>
          <w:szCs w:val="24"/>
          <w14:textFill>
            <w14:solidFill>
              <w14:schemeClr w14:val="tx1"/>
            </w14:solidFill>
          </w14:textFill>
        </w:rPr>
      </w:pPr>
      <w:r>
        <w:rPr>
          <w:b/>
          <w:iCs/>
          <w:color w:val="000000" w:themeColor="text1"/>
          <w:szCs w:val="24"/>
          <w14:textFill>
            <w14:solidFill>
              <w14:schemeClr w14:val="tx1"/>
            </w14:solidFill>
          </w14:textFill>
        </w:rPr>
        <w:t xml:space="preserve">5.8. </w:t>
      </w:r>
      <w:r>
        <w:rPr>
          <w:bCs/>
          <w:iCs/>
          <w:color w:val="000000" w:themeColor="text1"/>
          <w:szCs w:val="24"/>
          <w14:textFill>
            <w14:solidFill>
              <w14:schemeClr w14:val="tx1"/>
            </w14:solidFill>
          </w14:textFill>
        </w:rPr>
        <w:t>Nos preços cotados deverão estar incluídos todos os tributos incidentes ou que venham a incidir sobre o produto, encargos trabalhistas e previdenciários, frete, carga e descarga.</w:t>
      </w:r>
    </w:p>
    <w:p w14:paraId="045CD006">
      <w:pPr>
        <w:spacing w:before="72" w:beforeLines="30" w:after="72" w:afterLines="30"/>
        <w:jc w:val="both"/>
        <w:rPr>
          <w:bCs/>
          <w:iCs/>
          <w:color w:val="000000" w:themeColor="text1"/>
          <w:szCs w:val="24"/>
          <w14:textFill>
            <w14:solidFill>
              <w14:schemeClr w14:val="tx1"/>
            </w14:solidFill>
          </w14:textFill>
        </w:rPr>
      </w:pPr>
      <w:r>
        <w:rPr>
          <w:b/>
          <w:bCs/>
          <w:color w:val="000000" w:themeColor="text1"/>
          <w:szCs w:val="24"/>
          <w14:textFill>
            <w14:solidFill>
              <w14:schemeClr w14:val="tx1"/>
            </w14:solidFill>
          </w14:textFill>
        </w:rPr>
        <w:t>5.9.</w:t>
      </w:r>
      <w:r>
        <w:rPr>
          <w:color w:val="000000" w:themeColor="text1"/>
          <w:szCs w:val="24"/>
          <w14:textFill>
            <w14:solidFill>
              <w14:schemeClr w14:val="tx1"/>
            </w14:solidFill>
          </w14:textFill>
        </w:rPr>
        <w:t xml:space="preserve"> Todos os produtos devem ser de ótima qualidade, cumprir com todas as especificações do edital e estar de acordo com a legislação específica vigente e pertinente.</w:t>
      </w:r>
    </w:p>
    <w:p w14:paraId="77A53BC9">
      <w:pPr>
        <w:spacing w:before="72" w:beforeLines="30" w:after="72" w:afterLines="30"/>
        <w:jc w:val="both"/>
        <w:rPr>
          <w:color w:val="000000" w:themeColor="text1"/>
          <w:szCs w:val="24"/>
          <w14:textFill>
            <w14:solidFill>
              <w14:schemeClr w14:val="tx1"/>
            </w14:solidFill>
          </w14:textFill>
        </w:rPr>
      </w:pPr>
      <w:r>
        <w:rPr>
          <w:b/>
          <w:bCs/>
          <w:color w:val="000000" w:themeColor="text1"/>
          <w:szCs w:val="24"/>
          <w14:textFill>
            <w14:solidFill>
              <w14:schemeClr w14:val="tx1"/>
            </w14:solidFill>
          </w14:textFill>
        </w:rPr>
        <w:t>5.10</w:t>
      </w:r>
      <w:r>
        <w:rPr>
          <w:color w:val="000000" w:themeColor="text1"/>
          <w:szCs w:val="24"/>
          <w14:textFill>
            <w14:solidFill>
              <w14:schemeClr w14:val="tx1"/>
            </w14:solidFill>
          </w14:textFill>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18F38469">
      <w:pPr>
        <w:pStyle w:val="239"/>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Garantia, manutenção e assistência técnica</w:t>
      </w:r>
    </w:p>
    <w:p w14:paraId="512B6352">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5.11.</w:t>
      </w:r>
      <w:r>
        <w:rPr>
          <w:rFonts w:ascii="Times New Roman" w:hAnsi="Times New Roman"/>
          <w:sz w:val="24"/>
          <w:szCs w:val="24"/>
        </w:rPr>
        <w:t xml:space="preserve"> O prazo de garantia é aquele estabelecido na Lei nº 8.078, de 11 de setembro de 1990 (Código de Defesa do Consumidor).</w:t>
      </w:r>
    </w:p>
    <w:p w14:paraId="088E1CF4">
      <w:pPr>
        <w:pStyle w:val="80"/>
        <w:numPr>
          <w:ilvl w:val="0"/>
          <w:numId w:val="0"/>
        </w:numPr>
        <w:spacing w:before="72" w:beforeLines="30" w:after="72" w:afterLines="30" w:line="240" w:lineRule="auto"/>
        <w:rPr>
          <w:rFonts w:ascii="Times New Roman" w:hAnsi="Times New Roman"/>
          <w:sz w:val="24"/>
          <w:szCs w:val="24"/>
        </w:rPr>
      </w:pPr>
    </w:p>
    <w:p w14:paraId="4EF98027">
      <w:pPr>
        <w:pStyle w:val="64"/>
        <w:numPr>
          <w:ilvl w:val="0"/>
          <w:numId w:val="0"/>
        </w:numPr>
        <w:spacing w:before="72" w:beforeLines="30" w:after="72" w:afterLines="30"/>
        <w:rPr>
          <w:rFonts w:ascii="Times New Roman" w:hAnsi="Times New Roman"/>
          <w:sz w:val="24"/>
          <w:szCs w:val="24"/>
        </w:rPr>
      </w:pPr>
      <w:r>
        <w:rPr>
          <w:rFonts w:ascii="Times New Roman" w:hAnsi="Times New Roman"/>
          <w:sz w:val="24"/>
          <w:szCs w:val="24"/>
        </w:rPr>
        <w:t>6. MODELO DE GESTÃO DO CONTRATO</w:t>
      </w:r>
    </w:p>
    <w:p w14:paraId="54B624E5">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6.1</w:t>
      </w:r>
      <w:r>
        <w:rPr>
          <w:rFonts w:ascii="Times New Roman" w:hAnsi="Times New Roman"/>
          <w:sz w:val="24"/>
          <w:szCs w:val="24"/>
        </w:rPr>
        <w:t>. O contrato deverá ser executado fielmente pelas partes, de acordo com as cláusulas avençadas e as normas da Lei nº 14.133, de 2021, e cada parte responderá pelas consequências de sua inexecução total ou parcial.</w:t>
      </w:r>
    </w:p>
    <w:p w14:paraId="6AB23F07">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6.2.</w:t>
      </w:r>
      <w:r>
        <w:rPr>
          <w:rFonts w:ascii="Times New Roman" w:hAnsi="Times New Roman"/>
          <w:sz w:val="24"/>
          <w:szCs w:val="24"/>
        </w:rPr>
        <w:t xml:space="preserve"> As comunicações entre o órgão ou entidade e a contratada devem ser realizadas por escrito sempre que o ato exigir tal formalidade, admitindo-se o uso de mensagem eletrônica para esse fim.</w:t>
      </w:r>
    </w:p>
    <w:p w14:paraId="5328E794">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6.3.</w:t>
      </w:r>
      <w:r>
        <w:rPr>
          <w:rFonts w:ascii="Times New Roman" w:hAnsi="Times New Roman"/>
          <w:sz w:val="24"/>
          <w:szCs w:val="24"/>
        </w:rPr>
        <w:t xml:space="preserve"> O órgão ou entidade poderá convocar representante da empresa para adoção de providências que devam ser cumpridas de imediato.</w:t>
      </w:r>
    </w:p>
    <w:p w14:paraId="6348F227">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6.4</w:t>
      </w:r>
      <w:r>
        <w:rPr>
          <w:rFonts w:ascii="Times New Roman" w:hAnsi="Times New Roman"/>
          <w:sz w:val="24"/>
          <w:szCs w:val="24"/>
        </w:rPr>
        <w:t>. Após a assinatura do contrato ou instrumento equivalente</w:t>
      </w:r>
      <w:r>
        <w:rPr>
          <w:rFonts w:ascii="Times New Roman" w:hAnsi="Times New Roman"/>
          <w:strike/>
          <w:sz w:val="24"/>
          <w:szCs w:val="24"/>
        </w:rPr>
        <w:t>,</w:t>
      </w:r>
      <w:r>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7EB6C3">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6.5</w:t>
      </w:r>
      <w:r>
        <w:rPr>
          <w:rFonts w:ascii="Times New Roman" w:hAnsi="Times New Roman"/>
          <w:sz w:val="24"/>
          <w:szCs w:val="24"/>
        </w:rPr>
        <w:t>. A execução do contrato deverá ser acompanhada e fiscalizada pelo(s) fiscal(is) do contrato, ou pelos respectivos substitutos (</w:t>
      </w:r>
      <w:r>
        <w:fldChar w:fldCharType="begin"/>
      </w:r>
      <w:r>
        <w:instrText xml:space="preserve"> HYPERLINK "http://www.planalto.gov.br/ccivil_03/_ato2019-2022/2021/lei/L14133.htm" \l "art117" \h </w:instrText>
      </w:r>
      <w:r>
        <w:fldChar w:fldCharType="separate"/>
      </w:r>
      <w:r>
        <w:rPr>
          <w:rStyle w:val="17"/>
          <w:rFonts w:ascii="Times New Roman" w:hAnsi="Times New Roman"/>
          <w:sz w:val="24"/>
          <w:szCs w:val="24"/>
        </w:rPr>
        <w:t>Lei nº 14.133, de 2021, art. 117, caput</w:t>
      </w:r>
      <w:r>
        <w:rPr>
          <w:rStyle w:val="17"/>
          <w:rFonts w:ascii="Times New Roman" w:hAnsi="Times New Roman"/>
          <w:sz w:val="24"/>
          <w:szCs w:val="24"/>
        </w:rPr>
        <w:fldChar w:fldCharType="end"/>
      </w:r>
      <w:r>
        <w:rPr>
          <w:rFonts w:ascii="Times New Roman" w:hAnsi="Times New Roman"/>
          <w:sz w:val="24"/>
          <w:szCs w:val="24"/>
        </w:rPr>
        <w:t>).</w:t>
      </w:r>
    </w:p>
    <w:p w14:paraId="1835FC3B">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6.6</w:t>
      </w:r>
      <w:r>
        <w:rPr>
          <w:rFonts w:ascii="Times New Roman" w:hAnsi="Times New Roman"/>
          <w:sz w:val="24"/>
          <w:szCs w:val="24"/>
        </w:rPr>
        <w:t xml:space="preserve">. O fiscal do contrato acompanhará a execução do contrato, para que sejam cumpridas todas as condições estabelecidas no contrato, de modo a assegurar os melhores resultados para a Administração. </w:t>
      </w:r>
    </w:p>
    <w:p w14:paraId="6A1A2F69">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6.6.1.</w:t>
      </w:r>
      <w:r>
        <w:rPr>
          <w:rFonts w:ascii="Times New Roman" w:hAnsi="Times New Roman"/>
          <w:sz w:val="24"/>
          <w:szCs w:val="24"/>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999BB88">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6.6.2</w:t>
      </w:r>
      <w:r>
        <w:rPr>
          <w:rFonts w:ascii="Times New Roman" w:hAnsi="Times New Roman"/>
          <w:sz w:val="24"/>
          <w:szCs w:val="24"/>
        </w:rPr>
        <w:t>. Identificada qualquer inexatidão ou irregularidade, o fiscal do contrato emitirá notificações para a correção da execução do contrato, determinando prazo para a correção.</w:t>
      </w:r>
    </w:p>
    <w:p w14:paraId="69BC0D3F">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6.6.3.</w:t>
      </w:r>
      <w:r>
        <w:rPr>
          <w:rFonts w:ascii="Times New Roman" w:hAnsi="Times New Roman"/>
          <w:sz w:val="24"/>
          <w:szCs w:val="24"/>
        </w:rPr>
        <w:t xml:space="preserve"> O fiscal do contrato informará ao gestor do contato, em tempo hábil, a situação que demandar decisão ou adoção de medidas que ultrapassem sua competência, para que adote as medidas necessárias e saneadoras, se for o caso.</w:t>
      </w:r>
    </w:p>
    <w:p w14:paraId="6E55169B">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6.6.4.</w:t>
      </w:r>
      <w:r>
        <w:rPr>
          <w:rFonts w:ascii="Times New Roman" w:hAnsi="Times New Roman"/>
          <w:sz w:val="24"/>
          <w:szCs w:val="24"/>
        </w:rPr>
        <w:t xml:space="preserve"> No caso de ocorrências que possam inviabilizar a execução do contrato nas datas aprazadas, o fiscal do contrato comunicará o fato imediatamente ao gestor do contrato.</w:t>
      </w:r>
    </w:p>
    <w:p w14:paraId="515127A7">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6.6.5</w:t>
      </w:r>
      <w:r>
        <w:rPr>
          <w:rFonts w:ascii="Times New Roman" w:hAnsi="Times New Roman"/>
          <w:sz w:val="24"/>
          <w:szCs w:val="24"/>
        </w:rPr>
        <w:t>. O fiscal do contrato comunicará ao gestor do contrato, em tempo hábil, o término do contrato sob sua responsabilidade, com vistas à renovação tempestiva ou à prorrogação contratual.</w:t>
      </w:r>
    </w:p>
    <w:p w14:paraId="316B0883">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6.7</w:t>
      </w:r>
      <w:r>
        <w:rPr>
          <w:rFonts w:ascii="Times New Roman" w:hAnsi="Times New Roman"/>
          <w:sz w:val="24"/>
          <w:szCs w:val="24"/>
        </w:rPr>
        <w:t>.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2325112">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6.7.1</w:t>
      </w:r>
      <w:r>
        <w:rPr>
          <w:rFonts w:ascii="Times New Roman" w:hAnsi="Times New Roman"/>
          <w:sz w:val="24"/>
          <w:szCs w:val="24"/>
        </w:rPr>
        <w:t>. Caso ocorra descumprimento das obrigações contratuais, o gestor do contrato atuará tempestivamente na solução do problema, tomando as providências cabíveis, quando ultrapassar a sua competência.</w:t>
      </w:r>
    </w:p>
    <w:p w14:paraId="0F5D0452">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6.8.</w:t>
      </w:r>
      <w:r>
        <w:rPr>
          <w:rFonts w:ascii="Times New Roman" w:hAnsi="Times New Roman"/>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E7B7D1A">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6.9.</w:t>
      </w:r>
      <w:r>
        <w:rPr>
          <w:rFonts w:ascii="Times New Roman" w:hAnsi="Times New Roman"/>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27B3AF1">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6.10</w:t>
      </w:r>
      <w:r>
        <w:rPr>
          <w:rFonts w:ascii="Times New Roman" w:hAnsi="Times New Roman"/>
          <w:sz w:val="24"/>
          <w:szCs w:val="24"/>
        </w:rPr>
        <w:t xml:space="preserve">.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C9109FE">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6.11.</w:t>
      </w:r>
      <w:r>
        <w:rPr>
          <w:rFonts w:ascii="Times New Roman" w:hAnsi="Times New Roman"/>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33911F7">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6.12.</w:t>
      </w:r>
      <w:r>
        <w:rPr>
          <w:rFonts w:ascii="Times New Roman" w:hAnsi="Times New Roman"/>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4F730F84">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6.13</w:t>
      </w:r>
      <w:r>
        <w:rPr>
          <w:rFonts w:ascii="Times New Roman" w:hAnsi="Times New Roman"/>
          <w:sz w:val="24"/>
          <w:szCs w:val="24"/>
        </w:rPr>
        <w:t>. O gestor do contrato deverá enviar a documentação pertinente ao setor de contratos para a formalização dos procedimentos de liquidação e pagamento, no valor dimensionado pela fiscalização e gestão nos termos do contrato.</w:t>
      </w:r>
    </w:p>
    <w:p w14:paraId="0C270C2E">
      <w:pPr>
        <w:pStyle w:val="80"/>
        <w:numPr>
          <w:ilvl w:val="0"/>
          <w:numId w:val="0"/>
        </w:numPr>
        <w:spacing w:before="72" w:beforeLines="30" w:after="72" w:afterLines="30" w:line="240" w:lineRule="auto"/>
        <w:rPr>
          <w:rFonts w:ascii="Times New Roman" w:hAnsi="Times New Roman"/>
          <w:sz w:val="24"/>
          <w:szCs w:val="24"/>
        </w:rPr>
      </w:pPr>
    </w:p>
    <w:p w14:paraId="510AF04A">
      <w:pPr>
        <w:pStyle w:val="64"/>
        <w:numPr>
          <w:ilvl w:val="0"/>
          <w:numId w:val="0"/>
        </w:numPr>
        <w:spacing w:before="72" w:beforeLines="30" w:after="72" w:afterLines="30"/>
        <w:rPr>
          <w:rFonts w:ascii="Times New Roman" w:hAnsi="Times New Roman"/>
          <w:sz w:val="24"/>
          <w:szCs w:val="24"/>
        </w:rPr>
      </w:pPr>
      <w:r>
        <w:rPr>
          <w:rFonts w:ascii="Times New Roman" w:hAnsi="Times New Roman"/>
          <w:sz w:val="24"/>
          <w:szCs w:val="24"/>
        </w:rPr>
        <w:t>7. CRITÉRIOS DE MEDIÇÃO E DE PAGAMENTO</w:t>
      </w:r>
    </w:p>
    <w:p w14:paraId="2BB12DD6">
      <w:pPr>
        <w:pStyle w:val="239"/>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Recebimento</w:t>
      </w:r>
    </w:p>
    <w:p w14:paraId="4738343F">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7.1</w:t>
      </w:r>
      <w:r>
        <w:rPr>
          <w:rFonts w:ascii="Times New Roman" w:hAnsi="Times New Roman"/>
          <w:sz w:val="24"/>
          <w:szCs w:val="24"/>
        </w:rPr>
        <w:t xml:space="preserve">. Os bens serão recebidos provisoriamente, de forma sumária, no ato da entrega, juntamente com a </w:t>
      </w:r>
      <w:r>
        <w:rPr>
          <w:rFonts w:ascii="Times New Roman" w:hAnsi="Times New Roman" w:eastAsia="Calibri"/>
          <w:sz w:val="24"/>
          <w:szCs w:val="24"/>
        </w:rPr>
        <w:t>nota</w:t>
      </w:r>
      <w:r>
        <w:rPr>
          <w:rFonts w:ascii="Times New Roman" w:hAnsi="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23935FE">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7.2.</w:t>
      </w:r>
      <w:r>
        <w:rPr>
          <w:rFonts w:ascii="Times New Roman" w:hAnsi="Times New Roman"/>
          <w:sz w:val="24"/>
          <w:szCs w:val="24"/>
        </w:rPr>
        <w:t xml:space="preserve"> Os bens poderão ser rejeitados, no todo ou em parte, inclusive antes do recebimento provisório, quando em desacordo com as especificações constantes no Termo de Referência e na proposta, devendo ser substituídos no prazo de 5(cinco) dias, a contar da notificação da contratada, às suas custas, sem prejuízo da aplicação das penalidades.</w:t>
      </w:r>
    </w:p>
    <w:p w14:paraId="77D93AB2">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7.3.</w:t>
      </w:r>
      <w:r>
        <w:rPr>
          <w:rFonts w:ascii="Times New Roman" w:hAnsi="Times New Roman"/>
          <w:sz w:val="24"/>
          <w:szCs w:val="24"/>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63ADAE4E">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7.4.</w:t>
      </w:r>
      <w:r>
        <w:rPr>
          <w:rFonts w:ascii="Times New Roman" w:hAnsi="Times New Roman"/>
          <w:sz w:val="24"/>
          <w:szCs w:val="24"/>
        </w:rPr>
        <w:t xml:space="preserve"> Para as contratações decorrentes de despesas cujos valores não ultrapassem o limite de que trata o </w:t>
      </w:r>
      <w:r>
        <w:fldChar w:fldCharType="begin"/>
      </w:r>
      <w:r>
        <w:instrText xml:space="preserve"> HYPERLINK "http://www.planalto.gov.br/ccivil_03/_ato2019-2022/2021/lei/L14133.htm" \l "art75" \h </w:instrText>
      </w:r>
      <w:r>
        <w:fldChar w:fldCharType="separate"/>
      </w:r>
      <w:r>
        <w:rPr>
          <w:rStyle w:val="17"/>
          <w:rFonts w:ascii="Times New Roman" w:hAnsi="Times New Roman"/>
          <w:color w:val="000000" w:themeColor="text1"/>
          <w:sz w:val="24"/>
          <w:szCs w:val="24"/>
          <w14:textFill>
            <w14:solidFill>
              <w14:schemeClr w14:val="tx1"/>
            </w14:solidFill>
          </w14:textFill>
        </w:rPr>
        <w:t>inciso II do art. 75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sz w:val="24"/>
          <w:szCs w:val="24"/>
        </w:rPr>
        <w:t>, o prazo máximo para o recebimento definitivo será de até 03 (três) dias úteis.</w:t>
      </w:r>
    </w:p>
    <w:p w14:paraId="1904D90E">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7.5.</w:t>
      </w:r>
      <w:r>
        <w:rPr>
          <w:rFonts w:ascii="Times New Roman" w:hAnsi="Times New Roman"/>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6A07A515">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7.6</w:t>
      </w:r>
      <w:r>
        <w:rPr>
          <w:rFonts w:ascii="Times New Roman" w:hAnsi="Times New Roman"/>
          <w:sz w:val="24"/>
          <w:szCs w:val="24"/>
        </w:rPr>
        <w:t xml:space="preserve">. No caso de controvérsia sobre a execução do objeto, quanto à dimensão, qualidade e quantidade, deverá ser observado o teor do </w:t>
      </w:r>
      <w:r>
        <w:fldChar w:fldCharType="begin"/>
      </w:r>
      <w:r>
        <w:instrText xml:space="preserve"> HYPERLINK "http://www.planalto.gov.br/ccivil_03/_ato2019-2022/2021/lei/L14133.htm" \l "art143" \h </w:instrText>
      </w:r>
      <w:r>
        <w:fldChar w:fldCharType="separate"/>
      </w:r>
      <w:r>
        <w:rPr>
          <w:rStyle w:val="17"/>
          <w:rFonts w:ascii="Times New Roman" w:hAnsi="Times New Roman"/>
          <w:color w:val="000000" w:themeColor="text1"/>
          <w:sz w:val="24"/>
          <w:szCs w:val="24"/>
          <w14:textFill>
            <w14:solidFill>
              <w14:schemeClr w14:val="tx1"/>
            </w14:solidFill>
          </w14:textFill>
        </w:rPr>
        <w:t>art. 143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sz w:val="24"/>
          <w:szCs w:val="24"/>
        </w:rPr>
        <w:t>, comunicando-se à empresa para emissão de Nota Fiscal no que pertine à parcela incontroversa da execução do objeto, para efeito de liquidação e pagamento.</w:t>
      </w:r>
    </w:p>
    <w:p w14:paraId="4254FCE8">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7.7</w:t>
      </w:r>
      <w:r>
        <w:rPr>
          <w:rFonts w:ascii="Times New Roman" w:hAnsi="Times New Roman"/>
          <w:sz w:val="24"/>
          <w:szCs w:val="24"/>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17727CC">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7.8</w:t>
      </w:r>
      <w:r>
        <w:rPr>
          <w:rFonts w:ascii="Times New Roman" w:hAnsi="Times New Roman"/>
          <w:sz w:val="24"/>
          <w:szCs w:val="24"/>
        </w:rPr>
        <w:t>. O recebimento provisório ou definitivo não excluirá a responsabilidade civil pela solidez e pela segurança dos bens nem a responsabilidade ético-profissional pela perfeita execução do contrato.</w:t>
      </w:r>
    </w:p>
    <w:p w14:paraId="633E9CF1">
      <w:pPr>
        <w:pStyle w:val="239"/>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Liquidação</w:t>
      </w:r>
    </w:p>
    <w:p w14:paraId="7417AF9A">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7.9</w:t>
      </w:r>
      <w:r>
        <w:rPr>
          <w:rFonts w:ascii="Times New Roman" w:hAnsi="Times New Roman"/>
          <w:sz w:val="24"/>
          <w:szCs w:val="24"/>
        </w:rPr>
        <w:t>. Recebida a Nota Fiscal ou documento de cobrança equivalente, correrá o prazo de dez dias úteis para fins de liquidação, na forma desta seção, prorrogáveis por igual período.</w:t>
      </w:r>
    </w:p>
    <w:p w14:paraId="4BB88FEB">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b/>
          <w:bCs/>
          <w:sz w:val="24"/>
          <w:szCs w:val="24"/>
        </w:rPr>
        <w:t>7.9.1</w:t>
      </w:r>
      <w:r>
        <w:rPr>
          <w:rFonts w:ascii="Times New Roman" w:hAnsi="Times New Roman" w:cs="Times New Roman"/>
          <w:sz w:val="24"/>
          <w:szCs w:val="24"/>
        </w:rPr>
        <w:t xml:space="preserve">. O prazo de que trata o item anterior será reduzido à metade, mantendo-se a possibilidade de prorrogação, no caso de contratações decorrentes de despesas cujos valores não ultrapassem o limite de que trata o </w:t>
      </w:r>
      <w:r>
        <w:fldChar w:fldCharType="begin"/>
      </w:r>
      <w:r>
        <w:instrText xml:space="preserve"> HYPERLINK "http://www.planalto.gov.br/ccivil_03/_ato2019-2022/2021/lei/L14133.htm" \l "art75" \h </w:instrText>
      </w:r>
      <w:r>
        <w:fldChar w:fldCharType="separate"/>
      </w:r>
      <w:r>
        <w:rPr>
          <w:rStyle w:val="17"/>
          <w:rFonts w:ascii="Times New Roman" w:hAnsi="Times New Roman" w:cs="Times New Roman"/>
          <w:sz w:val="24"/>
          <w:szCs w:val="24"/>
        </w:rPr>
        <w:t>inciso II do art. 75 da Lei nº 14.133, de 2021</w:t>
      </w:r>
      <w:r>
        <w:rPr>
          <w:rStyle w:val="17"/>
          <w:rFonts w:ascii="Times New Roman" w:hAnsi="Times New Roman" w:cs="Times New Roman"/>
          <w:sz w:val="24"/>
          <w:szCs w:val="24"/>
        </w:rPr>
        <w:fldChar w:fldCharType="end"/>
      </w:r>
      <w:r>
        <w:rPr>
          <w:rFonts w:ascii="Times New Roman" w:hAnsi="Times New Roman" w:cs="Times New Roman"/>
          <w:sz w:val="24"/>
          <w:szCs w:val="24"/>
        </w:rPr>
        <w:t>.</w:t>
      </w:r>
    </w:p>
    <w:p w14:paraId="027616A6">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7.10.</w:t>
      </w:r>
      <w:r>
        <w:rPr>
          <w:rFonts w:ascii="Times New Roman" w:hAnsi="Times New Roman"/>
          <w:sz w:val="24"/>
          <w:szCs w:val="24"/>
        </w:rPr>
        <w:t xml:space="preserve"> Para fins de liquidação, o setor competente deverá verificar se a nota fiscal ou instrumento de cobrança equivalente apresentado expressa os elementos necessários e essenciais do documento, tais como: </w:t>
      </w:r>
    </w:p>
    <w:p w14:paraId="074F7D7B">
      <w:pPr>
        <w:pStyle w:val="82"/>
        <w:numPr>
          <w:ilvl w:val="0"/>
          <w:numId w:val="0"/>
        </w:numPr>
        <w:spacing w:before="72" w:beforeLines="30" w:after="72" w:afterLines="30" w:line="240" w:lineRule="auto"/>
        <w:rPr>
          <w:rFonts w:ascii="Times New Roman" w:hAnsi="Times New Roman" w:cs="Times New Roman"/>
          <w:sz w:val="24"/>
          <w:szCs w:val="24"/>
          <w:lang w:eastAsia="en-US"/>
        </w:rPr>
      </w:pPr>
      <w:r>
        <w:rPr>
          <w:rFonts w:ascii="Times New Roman" w:hAnsi="Times New Roman" w:cs="Times New Roman"/>
          <w:b/>
          <w:bCs/>
          <w:sz w:val="24"/>
          <w:szCs w:val="24"/>
          <w:lang w:eastAsia="en-US"/>
        </w:rPr>
        <w:t>7.10.1.</w:t>
      </w:r>
      <w:r>
        <w:rPr>
          <w:rFonts w:ascii="Times New Roman" w:hAnsi="Times New Roman" w:cs="Times New Roman"/>
          <w:sz w:val="24"/>
          <w:szCs w:val="24"/>
          <w:lang w:eastAsia="en-US"/>
        </w:rPr>
        <w:t xml:space="preserve"> o prazo de validade;</w:t>
      </w:r>
    </w:p>
    <w:p w14:paraId="0F8D7A62">
      <w:pPr>
        <w:pStyle w:val="82"/>
        <w:numPr>
          <w:ilvl w:val="0"/>
          <w:numId w:val="0"/>
        </w:numPr>
        <w:spacing w:before="72" w:beforeLines="30" w:after="72" w:afterLines="30" w:line="240" w:lineRule="auto"/>
        <w:rPr>
          <w:rFonts w:ascii="Times New Roman" w:hAnsi="Times New Roman" w:cs="Times New Roman"/>
          <w:sz w:val="24"/>
          <w:szCs w:val="24"/>
          <w:lang w:eastAsia="en-US"/>
        </w:rPr>
      </w:pPr>
      <w:r>
        <w:rPr>
          <w:rFonts w:ascii="Times New Roman" w:hAnsi="Times New Roman" w:cs="Times New Roman"/>
          <w:b/>
          <w:bCs/>
          <w:sz w:val="24"/>
          <w:szCs w:val="24"/>
          <w:lang w:eastAsia="en-US"/>
        </w:rPr>
        <w:t>7.10.2</w:t>
      </w:r>
      <w:r>
        <w:rPr>
          <w:rFonts w:ascii="Times New Roman" w:hAnsi="Times New Roman" w:cs="Times New Roman"/>
          <w:sz w:val="24"/>
          <w:szCs w:val="24"/>
          <w:lang w:eastAsia="en-US"/>
        </w:rPr>
        <w:t xml:space="preserve">. a data da emissão; </w:t>
      </w:r>
    </w:p>
    <w:p w14:paraId="419CA987">
      <w:pPr>
        <w:pStyle w:val="82"/>
        <w:numPr>
          <w:ilvl w:val="0"/>
          <w:numId w:val="0"/>
        </w:numPr>
        <w:spacing w:before="72" w:beforeLines="30" w:after="72" w:afterLines="30" w:line="240" w:lineRule="auto"/>
        <w:rPr>
          <w:rFonts w:ascii="Times New Roman" w:hAnsi="Times New Roman" w:cs="Times New Roman"/>
          <w:sz w:val="24"/>
          <w:szCs w:val="24"/>
          <w:lang w:eastAsia="en-US"/>
        </w:rPr>
      </w:pPr>
      <w:r>
        <w:rPr>
          <w:rFonts w:ascii="Times New Roman" w:hAnsi="Times New Roman" w:cs="Times New Roman"/>
          <w:b/>
          <w:bCs/>
          <w:sz w:val="24"/>
          <w:szCs w:val="24"/>
          <w:lang w:eastAsia="en-US"/>
        </w:rPr>
        <w:t>7.10.3</w:t>
      </w:r>
      <w:r>
        <w:rPr>
          <w:rFonts w:ascii="Times New Roman" w:hAnsi="Times New Roman" w:cs="Times New Roman"/>
          <w:sz w:val="24"/>
          <w:szCs w:val="24"/>
          <w:lang w:eastAsia="en-US"/>
        </w:rPr>
        <w:t xml:space="preserve">. os dados do contrato e do órgão contratante; </w:t>
      </w:r>
    </w:p>
    <w:p w14:paraId="322089E1">
      <w:pPr>
        <w:pStyle w:val="82"/>
        <w:numPr>
          <w:ilvl w:val="0"/>
          <w:numId w:val="0"/>
        </w:numPr>
        <w:spacing w:before="72" w:beforeLines="30" w:after="72" w:afterLines="30" w:line="240" w:lineRule="auto"/>
        <w:rPr>
          <w:rFonts w:ascii="Times New Roman" w:hAnsi="Times New Roman" w:cs="Times New Roman"/>
          <w:sz w:val="24"/>
          <w:szCs w:val="24"/>
          <w:lang w:eastAsia="en-US"/>
        </w:rPr>
      </w:pPr>
      <w:r>
        <w:rPr>
          <w:rFonts w:ascii="Times New Roman" w:hAnsi="Times New Roman" w:cs="Times New Roman"/>
          <w:b/>
          <w:bCs/>
          <w:sz w:val="24"/>
          <w:szCs w:val="24"/>
          <w:lang w:eastAsia="en-US"/>
        </w:rPr>
        <w:t>7.10.4</w:t>
      </w:r>
      <w:r>
        <w:rPr>
          <w:rFonts w:ascii="Times New Roman" w:hAnsi="Times New Roman" w:cs="Times New Roman"/>
          <w:sz w:val="24"/>
          <w:szCs w:val="24"/>
          <w:lang w:eastAsia="en-US"/>
        </w:rPr>
        <w:t xml:space="preserve">. o período respectivo de execução do contrato; </w:t>
      </w:r>
    </w:p>
    <w:p w14:paraId="25565934">
      <w:pPr>
        <w:pStyle w:val="82"/>
        <w:numPr>
          <w:ilvl w:val="0"/>
          <w:numId w:val="0"/>
        </w:numPr>
        <w:spacing w:before="72" w:beforeLines="30" w:after="72" w:afterLines="30" w:line="240" w:lineRule="auto"/>
        <w:rPr>
          <w:rFonts w:ascii="Times New Roman" w:hAnsi="Times New Roman" w:cs="Times New Roman"/>
          <w:sz w:val="24"/>
          <w:szCs w:val="24"/>
          <w:lang w:eastAsia="en-US"/>
        </w:rPr>
      </w:pPr>
      <w:r>
        <w:rPr>
          <w:rFonts w:ascii="Times New Roman" w:hAnsi="Times New Roman" w:cs="Times New Roman"/>
          <w:b/>
          <w:bCs/>
          <w:sz w:val="24"/>
          <w:szCs w:val="24"/>
          <w:lang w:eastAsia="en-US"/>
        </w:rPr>
        <w:t>7.10.5.</w:t>
      </w:r>
      <w:r>
        <w:rPr>
          <w:rFonts w:ascii="Times New Roman" w:hAnsi="Times New Roman" w:cs="Times New Roman"/>
          <w:sz w:val="24"/>
          <w:szCs w:val="24"/>
          <w:lang w:eastAsia="en-US"/>
        </w:rPr>
        <w:t xml:space="preserve"> o valor a pagar; e </w:t>
      </w:r>
    </w:p>
    <w:p w14:paraId="7CA8D8E8">
      <w:pPr>
        <w:pStyle w:val="82"/>
        <w:numPr>
          <w:ilvl w:val="0"/>
          <w:numId w:val="0"/>
        </w:numPr>
        <w:spacing w:before="72" w:beforeLines="30" w:after="72" w:afterLines="30" w:line="240" w:lineRule="auto"/>
        <w:rPr>
          <w:rFonts w:ascii="Times New Roman" w:hAnsi="Times New Roman" w:cs="Times New Roman"/>
          <w:sz w:val="24"/>
          <w:szCs w:val="24"/>
          <w:lang w:eastAsia="en-US"/>
        </w:rPr>
      </w:pPr>
      <w:r>
        <w:rPr>
          <w:rFonts w:ascii="Times New Roman" w:hAnsi="Times New Roman" w:cs="Times New Roman"/>
          <w:b/>
          <w:bCs/>
          <w:sz w:val="24"/>
          <w:szCs w:val="24"/>
          <w:lang w:eastAsia="en-US"/>
        </w:rPr>
        <w:t>7.10.6</w:t>
      </w:r>
      <w:r>
        <w:rPr>
          <w:rFonts w:ascii="Times New Roman" w:hAnsi="Times New Roman" w:cs="Times New Roman"/>
          <w:sz w:val="24"/>
          <w:szCs w:val="24"/>
          <w:lang w:eastAsia="en-US"/>
        </w:rPr>
        <w:t>. eventual destaque do valor de retenções tributárias cabíveis.</w:t>
      </w:r>
    </w:p>
    <w:p w14:paraId="7496453F">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eastAsia="Calibri"/>
          <w:b/>
          <w:bCs/>
          <w:sz w:val="24"/>
          <w:szCs w:val="24"/>
        </w:rPr>
        <w:t>7.11.</w:t>
      </w:r>
      <w:r>
        <w:rPr>
          <w:rFonts w:ascii="Times New Roman" w:hAnsi="Times New Roman" w:eastAsia="Calibri"/>
          <w:sz w:val="24"/>
          <w:szCs w:val="24"/>
        </w:rPr>
        <w:t xml:space="preserve"> Havendo erro na apresentação da nota fiscal ou instrumento de cobrança equivalente, ou circunstância que impeça a </w:t>
      </w:r>
      <w:r>
        <w:rPr>
          <w:rFonts w:ascii="Times New Roman" w:hAnsi="Times New Roman"/>
          <w:sz w:val="24"/>
          <w:szCs w:val="24"/>
        </w:rPr>
        <w:t>liquidação da despesa, esta ficará sobrestada até que o contratado providencie as medidas saneadoras, reiniciando-se o prazo após a comprovação da regularização da situação, sem ônus ao contratante;</w:t>
      </w:r>
    </w:p>
    <w:p w14:paraId="43EB8396">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7.12.</w:t>
      </w:r>
      <w:r>
        <w:rPr>
          <w:rFonts w:ascii="Times New Roman" w:hAnsi="Times New Roman"/>
          <w:sz w:val="24"/>
          <w:szCs w:val="24"/>
        </w:rPr>
        <w:t xml:space="preserve"> A nota fiscal ou instrumento de cobrança equivalente deverá ser obrigatoriamente acompanhado da comprovação da regularidade fiscal. </w:t>
      </w:r>
    </w:p>
    <w:p w14:paraId="3D23FB84">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7.13</w:t>
      </w:r>
      <w:r>
        <w:rPr>
          <w:rFonts w:ascii="Times New Roman" w:hAnsi="Times New Roman"/>
          <w:sz w:val="24"/>
          <w:szCs w:val="24"/>
        </w:rPr>
        <w:t>.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74D19E">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7.14</w:t>
      </w:r>
      <w:r>
        <w:rPr>
          <w:rFonts w:ascii="Times New Roman" w:hAnsi="Times New Roman"/>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49A6BFF">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7.15.</w:t>
      </w:r>
      <w:r>
        <w:rPr>
          <w:rFonts w:ascii="Times New Roman" w:hAnsi="Times New Roman"/>
          <w:sz w:val="24"/>
          <w:szCs w:val="24"/>
        </w:rPr>
        <w:t xml:space="preserve"> Persistindo a irregularidade, o contratante deverá adotar as medidas necessárias à rescisão contratual nos autos do processo administrativo correspondente, assegurada ao contratado a ampla defesa. </w:t>
      </w:r>
    </w:p>
    <w:p w14:paraId="532DE80F">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7.16.</w:t>
      </w:r>
      <w:r>
        <w:rPr>
          <w:rFonts w:ascii="Times New Roman" w:hAnsi="Times New Roman"/>
          <w:sz w:val="24"/>
          <w:szCs w:val="24"/>
        </w:rPr>
        <w:t xml:space="preserve"> Havendo a efetiva execução do objeto, os pagamentos serão realizados normalmente, até que se decida pela rescisão do contrato.  </w:t>
      </w:r>
    </w:p>
    <w:p w14:paraId="232C59CC">
      <w:pPr>
        <w:pStyle w:val="239"/>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Prazo de pagamento</w:t>
      </w:r>
    </w:p>
    <w:p w14:paraId="777DB27C">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7.17</w:t>
      </w:r>
      <w:r>
        <w:rPr>
          <w:rFonts w:ascii="Times New Roman" w:hAnsi="Times New Roman"/>
          <w:sz w:val="24"/>
          <w:szCs w:val="24"/>
        </w:rPr>
        <w:t>. O pagamento será efetuado no prazo de até 10 (dez) dias úteis contados da finalização da liquidação da despesa.</w:t>
      </w:r>
    </w:p>
    <w:p w14:paraId="2C3534E9">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7.18</w:t>
      </w:r>
      <w:r>
        <w:rPr>
          <w:rFonts w:ascii="Times New Roman" w:hAnsi="Times New Roman"/>
          <w:sz w:val="24"/>
          <w:szCs w:val="24"/>
        </w:rPr>
        <w:t xml:space="preserve">. No caso de atraso pelo Contratante, os valores devidos ao contratado serão atualizados monetariamente entre o termo final do prazo de pagamento até a data de sua efetiva realização, mediante aplicação do índice </w:t>
      </w:r>
      <w:r>
        <w:rPr>
          <w:rFonts w:ascii="Times New Roman" w:hAnsi="Times New Roman"/>
          <w:iCs/>
          <w:sz w:val="24"/>
          <w:szCs w:val="24"/>
        </w:rPr>
        <w:t>IPCA</w:t>
      </w:r>
      <w:r>
        <w:rPr>
          <w:rFonts w:ascii="Times New Roman" w:hAnsi="Times New Roman"/>
          <w:i/>
          <w:iCs/>
          <w:sz w:val="24"/>
          <w:szCs w:val="24"/>
        </w:rPr>
        <w:t xml:space="preserve"> </w:t>
      </w:r>
      <w:r>
        <w:rPr>
          <w:rFonts w:ascii="Times New Roman" w:hAnsi="Times New Roman"/>
          <w:sz w:val="24"/>
          <w:szCs w:val="24"/>
        </w:rPr>
        <w:t>de correção monetária.</w:t>
      </w:r>
    </w:p>
    <w:p w14:paraId="103B9DD9">
      <w:pPr>
        <w:pStyle w:val="239"/>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Forma de pagamento</w:t>
      </w:r>
    </w:p>
    <w:p w14:paraId="5A234115">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7.19.</w:t>
      </w:r>
      <w:r>
        <w:rPr>
          <w:rFonts w:ascii="Times New Roman" w:hAnsi="Times New Roman"/>
          <w:sz w:val="24"/>
          <w:szCs w:val="24"/>
        </w:rPr>
        <w:t xml:space="preserve"> O pagamento será realizado por meio de ordem bancária, para crédito em banco, agência e conta corrente indicados pelo contratado.</w:t>
      </w:r>
    </w:p>
    <w:p w14:paraId="1584A5C3">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7.20</w:t>
      </w:r>
      <w:r>
        <w:rPr>
          <w:rFonts w:ascii="Times New Roman" w:hAnsi="Times New Roman"/>
          <w:sz w:val="24"/>
          <w:szCs w:val="24"/>
        </w:rPr>
        <w:t>. Será considerada data do pagamento o dia em que constar como emitida a ordem bancária para pagamento.</w:t>
      </w:r>
    </w:p>
    <w:p w14:paraId="1CD7E93B">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7.21.</w:t>
      </w:r>
      <w:r>
        <w:rPr>
          <w:rFonts w:ascii="Times New Roman" w:hAnsi="Times New Roman"/>
          <w:sz w:val="24"/>
          <w:szCs w:val="24"/>
        </w:rPr>
        <w:t xml:space="preserve"> Quando do pagamento, será efetuada a retenção tributária prevista na legislação aplicável.</w:t>
      </w:r>
    </w:p>
    <w:p w14:paraId="221B4989">
      <w:pPr>
        <w:pStyle w:val="82"/>
        <w:numPr>
          <w:ilvl w:val="0"/>
          <w:numId w:val="0"/>
        </w:numPr>
        <w:spacing w:before="72" w:beforeLines="30" w:after="72" w:afterLines="30" w:line="240" w:lineRule="auto"/>
        <w:rPr>
          <w:rFonts w:ascii="Times New Roman" w:hAnsi="Times New Roman" w:cs="Times New Roman"/>
          <w:sz w:val="24"/>
          <w:szCs w:val="24"/>
          <w:lang w:eastAsia="en-US"/>
        </w:rPr>
      </w:pPr>
      <w:r>
        <w:rPr>
          <w:rFonts w:ascii="Times New Roman" w:hAnsi="Times New Roman" w:cs="Times New Roman"/>
          <w:b/>
          <w:bCs/>
          <w:sz w:val="24"/>
          <w:szCs w:val="24"/>
          <w:lang w:eastAsia="en-US"/>
        </w:rPr>
        <w:t>7.21.1</w:t>
      </w:r>
      <w:r>
        <w:rPr>
          <w:rFonts w:ascii="Times New Roman" w:hAnsi="Times New Roman" w:cs="Times New Roman"/>
          <w:sz w:val="24"/>
          <w:szCs w:val="24"/>
          <w:lang w:eastAsia="en-US"/>
        </w:rPr>
        <w:t>. Independentemente do percentual de tributo inserido na planilha, quando houver, serão retidos na fonte, quando da realização do pagamento, os percentuais estabelecidos na legislação vigente.</w:t>
      </w:r>
    </w:p>
    <w:p w14:paraId="0BE0E317">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7.22.</w:t>
      </w:r>
      <w:r>
        <w:rPr>
          <w:rFonts w:ascii="Times New Roman" w:hAnsi="Times New Roman"/>
          <w:sz w:val="24"/>
          <w:szCs w:val="24"/>
        </w:rPr>
        <w:t xml:space="preserve"> O contratado regularmente optante pelo Simples Nacional, nos termos da </w:t>
      </w:r>
      <w:r>
        <w:fldChar w:fldCharType="begin"/>
      </w:r>
      <w:r>
        <w:instrText xml:space="preserve"> HYPERLINK "https://www.planalto.gov.br/ccivil_03/leis/lcp/lcp123.htm" \h </w:instrText>
      </w:r>
      <w:r>
        <w:fldChar w:fldCharType="separate"/>
      </w:r>
      <w:r>
        <w:rPr>
          <w:rStyle w:val="17"/>
          <w:rFonts w:ascii="Times New Roman" w:hAnsi="Times New Roman"/>
          <w:sz w:val="24"/>
          <w:szCs w:val="24"/>
        </w:rPr>
        <w:t>Lei Complementar nº 123, de 2006</w:t>
      </w:r>
      <w:r>
        <w:rPr>
          <w:rStyle w:val="17"/>
          <w:rFonts w:ascii="Times New Roman" w:hAnsi="Times New Roman"/>
          <w:sz w:val="24"/>
          <w:szCs w:val="24"/>
        </w:rPr>
        <w:fldChar w:fldCharType="end"/>
      </w:r>
      <w:r>
        <w:rPr>
          <w:rFonts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74A66C">
      <w:pPr>
        <w:pStyle w:val="80"/>
        <w:numPr>
          <w:ilvl w:val="0"/>
          <w:numId w:val="0"/>
        </w:numPr>
        <w:spacing w:before="72" w:beforeLines="30" w:after="72" w:afterLines="30" w:line="240" w:lineRule="auto"/>
        <w:rPr>
          <w:rFonts w:ascii="Times New Roman" w:hAnsi="Times New Roman"/>
          <w:sz w:val="24"/>
          <w:szCs w:val="24"/>
        </w:rPr>
      </w:pPr>
    </w:p>
    <w:p w14:paraId="0F215880">
      <w:pPr>
        <w:pStyle w:val="64"/>
        <w:numPr>
          <w:ilvl w:val="0"/>
          <w:numId w:val="0"/>
        </w:numPr>
        <w:spacing w:before="72" w:beforeLines="30" w:after="72" w:afterLines="30"/>
        <w:rPr>
          <w:rFonts w:ascii="Times New Roman" w:hAnsi="Times New Roman"/>
          <w:sz w:val="24"/>
          <w:szCs w:val="24"/>
        </w:rPr>
      </w:pPr>
      <w:r>
        <w:rPr>
          <w:rFonts w:ascii="Times New Roman" w:hAnsi="Times New Roman"/>
          <w:sz w:val="24"/>
          <w:szCs w:val="24"/>
        </w:rPr>
        <w:t>8. FORMA E CRITÉRIOS DE SELEÇÃO DO FORNECEDOR E FORMA DE FORNECIMENTO</w:t>
      </w:r>
    </w:p>
    <w:p w14:paraId="0D4CE31F">
      <w:pPr>
        <w:pStyle w:val="239"/>
        <w:spacing w:before="72" w:beforeLines="30" w:after="72" w:afterLines="30" w:line="240" w:lineRule="auto"/>
        <w:rPr>
          <w:rFonts w:ascii="Times New Roman" w:hAnsi="Times New Roman" w:cs="Times New Roman"/>
          <w:sz w:val="24"/>
          <w:szCs w:val="24"/>
          <w:highlight w:val="yellow"/>
        </w:rPr>
      </w:pPr>
      <w:r>
        <w:rPr>
          <w:rFonts w:ascii="Times New Roman" w:hAnsi="Times New Roman" w:cs="Times New Roman"/>
          <w:sz w:val="24"/>
          <w:szCs w:val="24"/>
        </w:rPr>
        <w:t>Forma de seleção e critério de julgamento da proposta</w:t>
      </w:r>
    </w:p>
    <w:p w14:paraId="59B1CDB7">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8.1</w:t>
      </w:r>
      <w:r>
        <w:rPr>
          <w:rFonts w:ascii="Times New Roman" w:hAnsi="Times New Roman"/>
          <w:sz w:val="24"/>
          <w:szCs w:val="24"/>
        </w:rPr>
        <w:t>. O fornecedor será selecionado por meio da realização de procedimento de LICITAÇÃO, na modalidade PREGÃO, sob a forma ELETRÔNICA, com adoção do critério de julgamento pelo MENOR PREÇO, através do procedimento auxiliar de SISTEMA DE REGISTRO DE PREÇOS.</w:t>
      </w:r>
    </w:p>
    <w:p w14:paraId="152DBAD4">
      <w:pPr>
        <w:pStyle w:val="239"/>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Forma de fornecimento</w:t>
      </w:r>
    </w:p>
    <w:p w14:paraId="16650639">
      <w:pPr>
        <w:pStyle w:val="80"/>
        <w:numPr>
          <w:ilvl w:val="0"/>
          <w:numId w:val="0"/>
        </w:numPr>
        <w:spacing w:before="72" w:beforeLines="30" w:after="72" w:afterLines="30" w:line="240" w:lineRule="auto"/>
        <w:rPr>
          <w:rFonts w:ascii="Times New Roman" w:hAnsi="Times New Roman"/>
          <w:sz w:val="24"/>
          <w:szCs w:val="24"/>
        </w:rPr>
      </w:pPr>
      <w:r>
        <w:rPr>
          <w:rStyle w:val="73"/>
          <w:rFonts w:ascii="Times New Roman" w:hAnsi="Times New Roman"/>
          <w:b/>
          <w:bCs/>
          <w:sz w:val="24"/>
          <w:szCs w:val="24"/>
          <w:shd w:val="clear" w:color="auto" w:fill="FFFFFF"/>
        </w:rPr>
        <w:t>8.2.</w:t>
      </w:r>
      <w:r>
        <w:rPr>
          <w:rStyle w:val="73"/>
          <w:rFonts w:ascii="Times New Roman" w:hAnsi="Times New Roman"/>
          <w:sz w:val="24"/>
          <w:szCs w:val="24"/>
          <w:shd w:val="clear" w:color="auto" w:fill="FFFFFF"/>
        </w:rPr>
        <w:t xml:space="preserve"> O </w:t>
      </w:r>
      <w:r>
        <w:rPr>
          <w:rStyle w:val="249"/>
          <w:rFonts w:ascii="Times New Roman" w:hAnsi="Times New Roman"/>
          <w:sz w:val="24"/>
          <w:szCs w:val="24"/>
          <w:shd w:val="clear" w:color="auto" w:fill="FFFFFF"/>
        </w:rPr>
        <w:t xml:space="preserve">fornecimento do objeto será </w:t>
      </w:r>
      <w:r>
        <w:rPr>
          <w:rFonts w:ascii="Times New Roman" w:hAnsi="Times New Roman"/>
          <w:sz w:val="24"/>
          <w:szCs w:val="24"/>
        </w:rPr>
        <w:t>parcelado</w:t>
      </w:r>
      <w:r>
        <w:rPr>
          <w:rFonts w:ascii="Times New Roman" w:hAnsi="Times New Roman"/>
          <w:sz w:val="24"/>
          <w:szCs w:val="24"/>
          <w:shd w:val="clear" w:color="auto" w:fill="FFFFFF"/>
        </w:rPr>
        <w:t>.</w:t>
      </w:r>
    </w:p>
    <w:p w14:paraId="3CAC7CD1">
      <w:pPr>
        <w:pStyle w:val="239"/>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Exigências de habilitação</w:t>
      </w:r>
    </w:p>
    <w:p w14:paraId="403D3C09">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w:t>
      </w:r>
      <w:r>
        <w:rPr>
          <w:rFonts w:ascii="Times New Roman" w:hAnsi="Times New Roman"/>
          <w:sz w:val="24"/>
          <w:szCs w:val="24"/>
        </w:rPr>
        <w:t>. Para fins de habilitação, deverá o licitante comprovar os seguintes requisitos:</w:t>
      </w:r>
    </w:p>
    <w:p w14:paraId="08350482">
      <w:pPr>
        <w:pStyle w:val="239"/>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Habilitação jurídica</w:t>
      </w:r>
    </w:p>
    <w:p w14:paraId="74FA9D88">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8.4</w:t>
      </w:r>
      <w:r>
        <w:rPr>
          <w:rFonts w:ascii="Times New Roman" w:hAnsi="Times New Roman"/>
          <w:sz w:val="24"/>
          <w:szCs w:val="24"/>
        </w:rPr>
        <w:t xml:space="preserve">. Empresário individual: inscrição no Registro Público de Empresas Mercantis, a cargo da Junta Comercial da respectiva sede; </w:t>
      </w:r>
    </w:p>
    <w:p w14:paraId="4D7A4DFC">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8.5.</w:t>
      </w:r>
      <w:r>
        <w:rPr>
          <w:rFonts w:ascii="Times New Roman" w:hAnsi="Times New Roman"/>
          <w:sz w:val="24"/>
          <w:szCs w:val="24"/>
        </w:rPr>
        <w:t xml:space="preserve">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Style w:val="17"/>
          <w:rFonts w:ascii="Times New Roman" w:hAnsi="Times New Roman"/>
          <w:sz w:val="24"/>
          <w:szCs w:val="24"/>
        </w:rPr>
        <w:t>https://www.gov.br/empresas-e-negocios/pt-br/empreendedor</w:t>
      </w:r>
      <w:r>
        <w:rPr>
          <w:rStyle w:val="17"/>
          <w:rFonts w:ascii="Times New Roman" w:hAnsi="Times New Roman"/>
          <w:sz w:val="24"/>
          <w:szCs w:val="24"/>
        </w:rPr>
        <w:fldChar w:fldCharType="end"/>
      </w:r>
      <w:r>
        <w:rPr>
          <w:rFonts w:ascii="Times New Roman" w:hAnsi="Times New Roman"/>
          <w:sz w:val="24"/>
          <w:szCs w:val="24"/>
        </w:rPr>
        <w:t xml:space="preserve">; </w:t>
      </w:r>
    </w:p>
    <w:p w14:paraId="680EA5D2">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8.6.</w:t>
      </w:r>
      <w:r>
        <w:rPr>
          <w:rFonts w:ascii="Times New Roman" w:hAnsi="Times New Roman"/>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4FC4B00">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 xml:space="preserve">8.7 </w:t>
      </w:r>
      <w:r>
        <w:rPr>
          <w:rFonts w:ascii="Times New Roman" w:hAnsi="Times New Roman"/>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fldChar w:fldCharType="begin"/>
      </w:r>
      <w:r>
        <w:instrText xml:space="preserve"> HYPERLINK "https://www.gov.br/economia/pt-br/assuntos/drei/legislacao/arquivos/legislacoes-federais/indrei772020.pdf" \h </w:instrText>
      </w:r>
      <w:r>
        <w:fldChar w:fldCharType="separate"/>
      </w:r>
      <w:r>
        <w:rPr>
          <w:rStyle w:val="17"/>
          <w:rFonts w:ascii="Times New Roman" w:hAnsi="Times New Roman"/>
          <w:sz w:val="24"/>
          <w:szCs w:val="24"/>
        </w:rPr>
        <w:t>Normativa DREI/ME n.º 77, de 18 de março de 2020</w:t>
      </w:r>
      <w:r>
        <w:rPr>
          <w:rStyle w:val="17"/>
          <w:rFonts w:ascii="Times New Roman" w:hAnsi="Times New Roman"/>
          <w:sz w:val="24"/>
          <w:szCs w:val="24"/>
        </w:rPr>
        <w:fldChar w:fldCharType="end"/>
      </w:r>
      <w:r>
        <w:rPr>
          <w:rFonts w:ascii="Times New Roman" w:hAnsi="Times New Roman"/>
          <w:sz w:val="24"/>
          <w:szCs w:val="24"/>
        </w:rPr>
        <w:t>.</w:t>
      </w:r>
    </w:p>
    <w:p w14:paraId="2DD5ED15">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8.8.</w:t>
      </w:r>
      <w:r>
        <w:rPr>
          <w:rFonts w:ascii="Times New Roman" w:hAnsi="Times New Roman"/>
          <w:sz w:val="24"/>
          <w:szCs w:val="24"/>
        </w:rPr>
        <w:t xml:space="preserve"> Sociedade simples: inscrição do ato constitutivo no Registro Civil de Pessoas Jurídicas do local de sua sede, acompanhada de documento comprobatório de seus administradores;</w:t>
      </w:r>
    </w:p>
    <w:p w14:paraId="02F50D4F">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8.9</w:t>
      </w:r>
      <w:r>
        <w:rPr>
          <w:rFonts w:ascii="Times New Roman" w:hAnsi="Times New Roman"/>
          <w:sz w:val="24"/>
          <w:szCs w:val="24"/>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6" w:name="_Int_ySfCXwr4"/>
      <w:r>
        <w:rPr>
          <w:rFonts w:ascii="Times New Roman" w:hAnsi="Times New Roman"/>
          <w:sz w:val="24"/>
          <w:szCs w:val="24"/>
        </w:rPr>
        <w:t>Mercantis onde</w:t>
      </w:r>
      <w:bookmarkEnd w:id="6"/>
      <w:r>
        <w:rPr>
          <w:rFonts w:ascii="Times New Roman" w:hAnsi="Times New Roman"/>
          <w:sz w:val="24"/>
          <w:szCs w:val="24"/>
        </w:rPr>
        <w:t xml:space="preserve"> opera, com averbação no Registro onde tem sede a matriz</w:t>
      </w:r>
    </w:p>
    <w:p w14:paraId="0E0C388A">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8.10</w:t>
      </w:r>
      <w:r>
        <w:rPr>
          <w:rFonts w:ascii="Times New Roman" w:hAnsi="Times New Roman"/>
          <w:sz w:val="24"/>
          <w:szCs w:val="24"/>
        </w:rPr>
        <w:t>. Os documentos apresentados deverão estar acompanhados de todas as alterações ou da consolidação respectiva.</w:t>
      </w:r>
    </w:p>
    <w:p w14:paraId="05E1B964">
      <w:pPr>
        <w:pStyle w:val="239"/>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Habilitação fiscal, social e trabalhista</w:t>
      </w:r>
    </w:p>
    <w:p w14:paraId="3F91DEBC">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8.11</w:t>
      </w:r>
      <w:r>
        <w:rPr>
          <w:rFonts w:ascii="Times New Roman" w:hAnsi="Times New Roman"/>
          <w:sz w:val="24"/>
          <w:szCs w:val="24"/>
        </w:rPr>
        <w:t xml:space="preserve"> Prova de inscrição no Cadastro Nacional de Pessoas Jurídicas;</w:t>
      </w:r>
    </w:p>
    <w:p w14:paraId="5A1AAEFB">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8.12.</w:t>
      </w:r>
      <w:r>
        <w:rPr>
          <w:rFonts w:ascii="Times New Roman" w:hAnsi="Times New Roman"/>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CB7C779">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8.13</w:t>
      </w:r>
      <w:r>
        <w:rPr>
          <w:rFonts w:ascii="Times New Roman" w:hAnsi="Times New Roman"/>
          <w:sz w:val="24"/>
          <w:szCs w:val="24"/>
        </w:rPr>
        <w:t>. Prova de regularidade com o Fundo de Garantia do Tempo de Serviço (FGTS);</w:t>
      </w:r>
    </w:p>
    <w:p w14:paraId="416C4333">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8.14.</w:t>
      </w:r>
      <w:r>
        <w:rPr>
          <w:rFonts w:ascii="Times New Roman" w:hAnsi="Times New Roman"/>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5AD7FC">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8.15</w:t>
      </w:r>
      <w:r>
        <w:rPr>
          <w:rFonts w:ascii="Times New Roman" w:hAnsi="Times New Roman"/>
          <w:sz w:val="24"/>
          <w:szCs w:val="24"/>
        </w:rPr>
        <w:t>. Prova de regularidade com a Fazenda Estadual do domicílio ou sede do fornecedor, relativa à atividade em cujo exercício contrata ou concorre;</w:t>
      </w:r>
    </w:p>
    <w:p w14:paraId="451CE44B">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8.16</w:t>
      </w:r>
      <w:r>
        <w:rPr>
          <w:rFonts w:ascii="Times New Roman" w:hAnsi="Times New Roman"/>
          <w:sz w:val="24"/>
          <w:szCs w:val="24"/>
        </w:rPr>
        <w:t>. Caso o fornecedor seja considerado isento dos tributos Estadual relacionados ao objeto contratual, deverá comprovar tal condição mediante a apresentação de declaração da Fazenda respectiva do seu domicílio ou sede, ou outra equivalente, na forma da lei.</w:t>
      </w:r>
    </w:p>
    <w:p w14:paraId="006EF3EE">
      <w:pPr>
        <w:pStyle w:val="80"/>
        <w:numPr>
          <w:ilvl w:val="0"/>
          <w:numId w:val="0"/>
        </w:numPr>
        <w:spacing w:before="72" w:beforeLines="30" w:after="72" w:afterLines="30" w:line="240" w:lineRule="auto"/>
        <w:rPr>
          <w:rFonts w:ascii="Times New Roman" w:hAnsi="Times New Roman"/>
          <w:b/>
          <w:bCs/>
          <w:sz w:val="24"/>
          <w:szCs w:val="24"/>
        </w:rPr>
      </w:pPr>
      <w:r>
        <w:rPr>
          <w:rFonts w:ascii="Times New Roman" w:hAnsi="Times New Roman"/>
          <w:b/>
          <w:bCs/>
          <w:sz w:val="24"/>
          <w:szCs w:val="24"/>
        </w:rPr>
        <w:t>QUALIFICAÇÃO TECNICA:</w:t>
      </w:r>
    </w:p>
    <w:p w14:paraId="3B90AD67">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8.17</w:t>
      </w:r>
      <w:r>
        <w:rPr>
          <w:rFonts w:ascii="Times New Roman" w:hAnsi="Times New Roman"/>
          <w:sz w:val="24"/>
          <w:szCs w:val="24"/>
        </w:rPr>
        <w:t xml:space="preserve">. Comprovação de que possui registro ou inscrição na </w:t>
      </w:r>
      <w:r>
        <w:rPr>
          <w:rFonts w:ascii="Times New Roman" w:hAnsi="Times New Roman"/>
          <w:bCs/>
          <w:sz w:val="24"/>
          <w:szCs w:val="24"/>
        </w:rPr>
        <w:t xml:space="preserve">Agência Nacional de Petróleo, </w:t>
      </w:r>
      <w:r>
        <w:rPr>
          <w:rFonts w:ascii="Times New Roman" w:hAnsi="Times New Roman"/>
          <w:sz w:val="24"/>
          <w:szCs w:val="24"/>
        </w:rPr>
        <w:t>para o exercício de atividades pertinentes ao objeto do Edital</w:t>
      </w:r>
    </w:p>
    <w:p w14:paraId="38592E3F">
      <w:pPr>
        <w:pStyle w:val="49"/>
        <w:spacing w:before="72" w:beforeLines="30" w:after="72" w:afterLines="30"/>
        <w:ind w:left="0"/>
        <w:jc w:val="both"/>
        <w:rPr>
          <w:color w:val="000000" w:themeColor="text1"/>
          <w:szCs w:val="24"/>
          <w14:textFill>
            <w14:solidFill>
              <w14:schemeClr w14:val="tx1"/>
            </w14:solidFill>
          </w14:textFill>
        </w:rPr>
      </w:pPr>
      <w:r>
        <w:rPr>
          <w:b/>
          <w:bCs/>
          <w:color w:val="000000" w:themeColor="text1"/>
          <w:szCs w:val="24"/>
          <w14:textFill>
            <w14:solidFill>
              <w14:schemeClr w14:val="tx1"/>
            </w14:solidFill>
          </w14:textFill>
        </w:rPr>
        <w:t>8.18.</w:t>
      </w:r>
      <w:r>
        <w:rPr>
          <w:color w:val="000000" w:themeColor="text1"/>
          <w:szCs w:val="24"/>
          <w14:textFill>
            <w14:solidFill>
              <w14:schemeClr w14:val="tx1"/>
            </w14:solidFill>
          </w14:textFill>
        </w:rPr>
        <w:t xml:space="preserve"> Laudo de Vistoria do Corpo de Bombeiros aprovando o funcionamento do Estabelecimento.</w:t>
      </w:r>
    </w:p>
    <w:p w14:paraId="5050066B">
      <w:pPr>
        <w:pStyle w:val="49"/>
        <w:spacing w:before="72" w:beforeLines="30" w:after="72" w:afterLines="30"/>
        <w:ind w:left="0"/>
        <w:jc w:val="both"/>
        <w:rPr>
          <w:bCs/>
          <w:color w:val="000000" w:themeColor="text1"/>
          <w:szCs w:val="24"/>
          <w14:textFill>
            <w14:solidFill>
              <w14:schemeClr w14:val="tx1"/>
            </w14:solidFill>
          </w14:textFill>
        </w:rPr>
      </w:pPr>
    </w:p>
    <w:p w14:paraId="2913276A">
      <w:pPr>
        <w:pStyle w:val="64"/>
        <w:numPr>
          <w:ilvl w:val="0"/>
          <w:numId w:val="0"/>
        </w:numPr>
        <w:spacing w:before="72" w:beforeLines="30" w:after="72" w:afterLines="30"/>
        <w:rPr>
          <w:rFonts w:ascii="Times New Roman" w:hAnsi="Times New Roman"/>
          <w:sz w:val="24"/>
          <w:szCs w:val="24"/>
        </w:rPr>
      </w:pPr>
      <w:r>
        <w:rPr>
          <w:rFonts w:ascii="Times New Roman" w:hAnsi="Times New Roman"/>
          <w:sz w:val="24"/>
          <w:szCs w:val="24"/>
        </w:rPr>
        <w:t>9. ESTIMATIVAS DO VALOR DA CONTRATAÇÃO</w:t>
      </w:r>
    </w:p>
    <w:p w14:paraId="5EDBE09A">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9.1</w:t>
      </w:r>
      <w:r>
        <w:rPr>
          <w:rFonts w:ascii="Times New Roman" w:hAnsi="Times New Roman"/>
          <w:sz w:val="24"/>
          <w:szCs w:val="24"/>
        </w:rPr>
        <w:t>. O custo estimado total da contratação é de</w:t>
      </w:r>
      <w:r>
        <w:rPr>
          <w:rFonts w:ascii="Times New Roman" w:hAnsi="Times New Roman"/>
          <w:color w:val="000000"/>
          <w:sz w:val="24"/>
          <w:szCs w:val="24"/>
        </w:rPr>
        <w:t xml:space="preserve"> </w:t>
      </w:r>
      <w:r>
        <w:rPr>
          <w:rFonts w:ascii="Times New Roman" w:hAnsi="Times New Roman"/>
          <w:b/>
          <w:bCs/>
          <w:color w:val="000000"/>
          <w:sz w:val="24"/>
          <w:szCs w:val="24"/>
        </w:rPr>
        <w:t>R$ 1.010.255,00</w:t>
      </w:r>
      <w:r>
        <w:rPr>
          <w:rFonts w:ascii="Times New Roman" w:hAnsi="Times New Roman"/>
          <w:color w:val="000000"/>
          <w:sz w:val="24"/>
          <w:szCs w:val="24"/>
        </w:rPr>
        <w:t xml:space="preserve"> (um milhão, dez mil e duzentos e cinquenta e cinco reais)</w:t>
      </w:r>
      <w:r>
        <w:rPr>
          <w:rFonts w:ascii="Times New Roman" w:hAnsi="Times New Roman"/>
          <w:sz w:val="24"/>
          <w:szCs w:val="24"/>
        </w:rPr>
        <w:t>, conforme custos unitários apostos na tabela do item 1.</w:t>
      </w:r>
      <w:r>
        <w:rPr>
          <w:rFonts w:ascii="Times New Roman" w:hAnsi="Times New Roman"/>
          <w:bCs/>
          <w:sz w:val="24"/>
          <w:szCs w:val="24"/>
        </w:rPr>
        <w:t>1. deste</w:t>
      </w:r>
      <w:r>
        <w:rPr>
          <w:rFonts w:ascii="Times New Roman" w:hAnsi="Times New Roman"/>
          <w:sz w:val="24"/>
          <w:szCs w:val="24"/>
        </w:rPr>
        <w:t xml:space="preserve"> termo.</w:t>
      </w:r>
    </w:p>
    <w:p w14:paraId="34445EA5">
      <w:pPr>
        <w:pStyle w:val="82"/>
        <w:numPr>
          <w:ilvl w:val="0"/>
          <w:numId w:val="0"/>
        </w:numPr>
        <w:shd w:val="clear" w:color="auto" w:fill="FFFFFF" w:themeFill="background1"/>
        <w:spacing w:before="72" w:beforeLines="30" w:after="72" w:afterLines="30" w:line="240" w:lineRule="auto"/>
        <w:rPr>
          <w:rFonts w:ascii="Times New Roman" w:hAnsi="Times New Roman" w:cs="Times New Roman"/>
          <w:b/>
          <w:bCs/>
          <w:sz w:val="24"/>
          <w:szCs w:val="24"/>
        </w:rPr>
      </w:pPr>
    </w:p>
    <w:tbl>
      <w:tblPr>
        <w:tblStyle w:val="12"/>
        <w:tblW w:w="8931" w:type="dxa"/>
        <w:tblInd w:w="0" w:type="dxa"/>
        <w:tblLayout w:type="autofit"/>
        <w:tblCellMar>
          <w:top w:w="0" w:type="dxa"/>
          <w:left w:w="10" w:type="dxa"/>
          <w:bottom w:w="0" w:type="dxa"/>
          <w:right w:w="10" w:type="dxa"/>
        </w:tblCellMar>
      </w:tblPr>
      <w:tblGrid>
        <w:gridCol w:w="9430"/>
      </w:tblGrid>
      <w:tr w14:paraId="09A6B483">
        <w:tblPrEx>
          <w:tblCellMar>
            <w:top w:w="0" w:type="dxa"/>
            <w:left w:w="10" w:type="dxa"/>
            <w:bottom w:w="0" w:type="dxa"/>
            <w:right w:w="10" w:type="dxa"/>
          </w:tblCellMar>
        </w:tblPrEx>
        <w:tc>
          <w:tcPr>
            <w:tcW w:w="8931" w:type="dxa"/>
            <w:tcMar>
              <w:top w:w="0" w:type="dxa"/>
              <w:left w:w="108" w:type="dxa"/>
              <w:bottom w:w="0" w:type="dxa"/>
              <w:right w:w="108" w:type="dxa"/>
            </w:tcMar>
          </w:tcPr>
          <w:p w14:paraId="3DEFAC98">
            <w:pPr>
              <w:tabs>
                <w:tab w:val="left" w:pos="1050"/>
              </w:tabs>
              <w:spacing w:before="72" w:beforeLines="30" w:after="72" w:afterLines="30"/>
              <w:rPr>
                <w:rFonts w:eastAsia="Calibri"/>
                <w:szCs w:val="24"/>
              </w:rPr>
            </w:pPr>
            <w:bookmarkStart w:id="7" w:name="_Hlk190259622"/>
            <w:r>
              <w:rPr>
                <w:rFonts w:eastAsia="Calibri"/>
                <w:szCs w:val="24"/>
              </w:rPr>
              <w:t>Caracol, 06 de fevereiro de 2026.</w:t>
            </w:r>
          </w:p>
          <w:p w14:paraId="2EBD1617">
            <w:pPr>
              <w:tabs>
                <w:tab w:val="left" w:pos="1050"/>
                <w:tab w:val="right" w:pos="9200"/>
              </w:tabs>
              <w:spacing w:before="72" w:beforeLines="30" w:after="72" w:afterLines="30"/>
              <w:rPr>
                <w:rFonts w:eastAsia="Calibri"/>
                <w:b/>
                <w:szCs w:val="24"/>
              </w:rPr>
            </w:pPr>
            <w:r>
              <w:rPr>
                <w:rFonts w:eastAsia="Calibri"/>
                <w:b/>
                <w:szCs w:val="24"/>
              </w:rPr>
              <w:t>Elaborado por:</w:t>
            </w:r>
          </w:p>
          <w:p w14:paraId="27054626">
            <w:pPr>
              <w:tabs>
                <w:tab w:val="left" w:pos="1050"/>
                <w:tab w:val="right" w:pos="9200"/>
              </w:tabs>
              <w:spacing w:before="72" w:beforeLines="30" w:after="72" w:afterLines="30"/>
              <w:rPr>
                <w:rFonts w:eastAsia="Calibri"/>
                <w:szCs w:val="24"/>
              </w:rPr>
            </w:pPr>
          </w:p>
          <w:tbl>
            <w:tblPr>
              <w:tblStyle w:val="12"/>
              <w:tblW w:w="12706" w:type="dxa"/>
              <w:tblInd w:w="0" w:type="dxa"/>
              <w:tblLayout w:type="autofit"/>
              <w:tblCellMar>
                <w:top w:w="0" w:type="dxa"/>
                <w:left w:w="10" w:type="dxa"/>
                <w:bottom w:w="0" w:type="dxa"/>
                <w:right w:w="10" w:type="dxa"/>
              </w:tblCellMar>
            </w:tblPr>
            <w:tblGrid>
              <w:gridCol w:w="8823"/>
              <w:gridCol w:w="3883"/>
            </w:tblGrid>
            <w:tr w14:paraId="6043C931">
              <w:tblPrEx>
                <w:tblCellMar>
                  <w:top w:w="0" w:type="dxa"/>
                  <w:left w:w="10" w:type="dxa"/>
                  <w:bottom w:w="0" w:type="dxa"/>
                  <w:right w:w="10" w:type="dxa"/>
                </w:tblCellMar>
              </w:tblPrEx>
              <w:tc>
                <w:tcPr>
                  <w:tcW w:w="8823" w:type="dxa"/>
                  <w:tcMar>
                    <w:top w:w="0" w:type="dxa"/>
                    <w:left w:w="108" w:type="dxa"/>
                    <w:bottom w:w="0" w:type="dxa"/>
                    <w:right w:w="108" w:type="dxa"/>
                  </w:tcMar>
                </w:tcPr>
                <w:p w14:paraId="45D291BE">
                  <w:pPr>
                    <w:spacing w:before="72" w:beforeLines="30" w:after="72" w:afterLines="30"/>
                    <w:jc w:val="both"/>
                    <w:rPr>
                      <w:b/>
                      <w:bCs/>
                      <w:color w:val="000000"/>
                      <w:szCs w:val="24"/>
                      <w:lang w:eastAsia="pt-BR"/>
                    </w:rPr>
                  </w:pPr>
                  <w:r>
                    <w:rPr>
                      <w:b/>
                      <w:bCs/>
                      <w:color w:val="000000"/>
                      <w:szCs w:val="24"/>
                      <w:lang w:eastAsia="pt-BR"/>
                    </w:rPr>
                    <w:t>Mariane Benites Godoy</w:t>
                  </w:r>
                </w:p>
                <w:p w14:paraId="3A2E0017">
                  <w:pPr>
                    <w:tabs>
                      <w:tab w:val="left" w:pos="176"/>
                    </w:tabs>
                    <w:spacing w:before="72" w:beforeLines="30" w:after="72" w:afterLines="30"/>
                    <w:jc w:val="both"/>
                    <w:rPr>
                      <w:bCs/>
                      <w:color w:val="000000"/>
                      <w:szCs w:val="24"/>
                      <w:lang w:eastAsia="pt-BR"/>
                    </w:rPr>
                  </w:pPr>
                  <w:r>
                    <w:rPr>
                      <w:bCs/>
                      <w:color w:val="000000"/>
                      <w:szCs w:val="24"/>
                      <w:lang w:eastAsia="pt-BR"/>
                    </w:rPr>
                    <w:t>Assessora adjunta da</w:t>
                  </w:r>
                </w:p>
                <w:p w14:paraId="11C63292">
                  <w:pPr>
                    <w:tabs>
                      <w:tab w:val="left" w:pos="176"/>
                    </w:tabs>
                    <w:spacing w:before="72" w:beforeLines="30" w:after="72" w:afterLines="30"/>
                    <w:jc w:val="both"/>
                    <w:rPr>
                      <w:bCs/>
                      <w:color w:val="000000"/>
                      <w:szCs w:val="24"/>
                      <w:lang w:eastAsia="pt-BR"/>
                    </w:rPr>
                  </w:pPr>
                  <w:r>
                    <w:rPr>
                      <w:bCs/>
                      <w:color w:val="000000"/>
                      <w:szCs w:val="24"/>
                      <w:lang w:eastAsia="pt-BR"/>
                    </w:rPr>
                    <w:t>Procuradoria Jurídica</w:t>
                  </w:r>
                </w:p>
                <w:p w14:paraId="3203D387">
                  <w:pPr>
                    <w:tabs>
                      <w:tab w:val="left" w:pos="176"/>
                    </w:tabs>
                    <w:spacing w:before="72" w:beforeLines="30" w:after="72" w:afterLines="30"/>
                    <w:jc w:val="both"/>
                    <w:rPr>
                      <w:bCs/>
                      <w:color w:val="000000"/>
                      <w:szCs w:val="24"/>
                      <w:lang w:eastAsia="pt-BR"/>
                    </w:rPr>
                  </w:pPr>
                  <w:r>
                    <w:rPr>
                      <w:bCs/>
                      <w:color w:val="000000"/>
                      <w:szCs w:val="24"/>
                      <w:lang w:eastAsia="pt-BR"/>
                    </w:rPr>
                    <w:t>Matricula:2523</w:t>
                  </w:r>
                </w:p>
              </w:tc>
              <w:tc>
                <w:tcPr>
                  <w:tcW w:w="3883" w:type="dxa"/>
                  <w:tcMar>
                    <w:top w:w="0" w:type="dxa"/>
                    <w:left w:w="108" w:type="dxa"/>
                    <w:bottom w:w="0" w:type="dxa"/>
                    <w:right w:w="108" w:type="dxa"/>
                  </w:tcMar>
                </w:tcPr>
                <w:p w14:paraId="57D6A34E">
                  <w:pPr>
                    <w:spacing w:before="72" w:beforeLines="30" w:after="72" w:afterLines="30"/>
                    <w:rPr>
                      <w:bCs/>
                      <w:color w:val="000000"/>
                      <w:szCs w:val="24"/>
                      <w:lang w:eastAsia="pt-BR"/>
                    </w:rPr>
                  </w:pPr>
                </w:p>
              </w:tc>
            </w:tr>
          </w:tbl>
          <w:p w14:paraId="238A3F2F">
            <w:pPr>
              <w:spacing w:before="72" w:beforeLines="30" w:after="72" w:afterLines="30"/>
              <w:rPr>
                <w:bCs/>
                <w:color w:val="000000"/>
                <w:szCs w:val="24"/>
                <w:lang w:eastAsia="pt-BR"/>
              </w:rPr>
            </w:pPr>
          </w:p>
        </w:tc>
      </w:tr>
      <w:tr w14:paraId="24C3C134">
        <w:tblPrEx>
          <w:tblCellMar>
            <w:top w:w="0" w:type="dxa"/>
            <w:left w:w="10" w:type="dxa"/>
            <w:bottom w:w="0" w:type="dxa"/>
            <w:right w:w="10" w:type="dxa"/>
          </w:tblCellMar>
        </w:tblPrEx>
        <w:tc>
          <w:tcPr>
            <w:tcW w:w="8931" w:type="dxa"/>
            <w:tcMar>
              <w:top w:w="0" w:type="dxa"/>
              <w:left w:w="108" w:type="dxa"/>
              <w:bottom w:w="0" w:type="dxa"/>
              <w:right w:w="108" w:type="dxa"/>
            </w:tcMar>
          </w:tcPr>
          <w:p w14:paraId="5B67AF2C">
            <w:pPr>
              <w:spacing w:before="72" w:beforeLines="30" w:after="72" w:afterLines="30"/>
              <w:rPr>
                <w:bCs/>
                <w:color w:val="000000"/>
                <w:szCs w:val="24"/>
                <w:lang w:eastAsia="pt-BR"/>
              </w:rPr>
            </w:pPr>
          </w:p>
          <w:p w14:paraId="33B823EB">
            <w:pPr>
              <w:spacing w:before="72" w:beforeLines="30" w:after="72" w:afterLines="30"/>
              <w:rPr>
                <w:b/>
                <w:bCs/>
                <w:color w:val="000000"/>
                <w:szCs w:val="24"/>
                <w:lang w:eastAsia="pt-BR"/>
              </w:rPr>
            </w:pPr>
            <w:r>
              <w:rPr>
                <w:b/>
                <w:bCs/>
                <w:color w:val="000000"/>
                <w:szCs w:val="24"/>
                <w:lang w:eastAsia="pt-BR"/>
              </w:rPr>
              <w:t>Carlos Godoy Junior</w:t>
            </w:r>
          </w:p>
          <w:p w14:paraId="3A46CEA8">
            <w:pPr>
              <w:spacing w:before="72" w:beforeLines="30" w:after="72" w:afterLines="30"/>
              <w:rPr>
                <w:bCs/>
                <w:color w:val="000000"/>
                <w:szCs w:val="24"/>
                <w:lang w:eastAsia="pt-BR"/>
              </w:rPr>
            </w:pPr>
            <w:r>
              <w:rPr>
                <w:bCs/>
                <w:color w:val="000000"/>
                <w:szCs w:val="24"/>
                <w:lang w:eastAsia="pt-BR"/>
              </w:rPr>
              <w:t>Agente Técnico de ADM/Finanças</w:t>
            </w:r>
          </w:p>
          <w:p w14:paraId="4972C62B">
            <w:pPr>
              <w:spacing w:before="72" w:beforeLines="30" w:after="72" w:afterLines="30"/>
              <w:rPr>
                <w:bCs/>
                <w:color w:val="000000"/>
                <w:szCs w:val="24"/>
                <w:lang w:eastAsia="pt-BR"/>
              </w:rPr>
            </w:pPr>
            <w:r>
              <w:rPr>
                <w:bCs/>
                <w:color w:val="000000"/>
                <w:szCs w:val="24"/>
                <w:lang w:eastAsia="pt-BR"/>
              </w:rPr>
              <w:t>Matricula: 177</w:t>
            </w:r>
          </w:p>
          <w:p w14:paraId="53292FDE">
            <w:pPr>
              <w:spacing w:before="72" w:beforeLines="30" w:after="72" w:afterLines="30"/>
              <w:rPr>
                <w:bCs/>
                <w:color w:val="000000"/>
                <w:szCs w:val="24"/>
                <w:lang w:eastAsia="pt-BR"/>
              </w:rPr>
            </w:pPr>
          </w:p>
          <w:p w14:paraId="6E1E4617">
            <w:pPr>
              <w:spacing w:before="72" w:beforeLines="30" w:after="72" w:afterLines="30"/>
              <w:rPr>
                <w:bCs/>
                <w:color w:val="000000"/>
                <w:szCs w:val="24"/>
                <w:lang w:eastAsia="pt-BR"/>
              </w:rPr>
            </w:pPr>
          </w:p>
          <w:p w14:paraId="1A73D685">
            <w:pPr>
              <w:spacing w:before="72" w:beforeLines="30" w:after="72" w:afterLines="30"/>
              <w:rPr>
                <w:b/>
                <w:color w:val="000000"/>
                <w:szCs w:val="24"/>
              </w:rPr>
            </w:pPr>
            <w:bookmarkStart w:id="8" w:name="_Hlk192579119"/>
            <w:r>
              <w:rPr>
                <w:b/>
                <w:color w:val="000000"/>
                <w:szCs w:val="24"/>
              </w:rPr>
              <w:t>Aliny Leite Serena</w:t>
            </w:r>
          </w:p>
          <w:p w14:paraId="68F97106">
            <w:pPr>
              <w:spacing w:before="72" w:beforeLines="30" w:after="72" w:afterLines="30"/>
              <w:rPr>
                <w:color w:val="000000"/>
                <w:szCs w:val="24"/>
              </w:rPr>
            </w:pPr>
            <w:r>
              <w:rPr>
                <w:color w:val="000000"/>
                <w:szCs w:val="24"/>
              </w:rPr>
              <w:t>Agente Administrativo</w:t>
            </w:r>
          </w:p>
          <w:p w14:paraId="4471E2AC">
            <w:pPr>
              <w:spacing w:before="72" w:beforeLines="30" w:after="72" w:afterLines="30"/>
              <w:rPr>
                <w:color w:val="000000"/>
                <w:szCs w:val="24"/>
              </w:rPr>
            </w:pPr>
            <w:r>
              <w:rPr>
                <w:color w:val="000000"/>
                <w:szCs w:val="24"/>
              </w:rPr>
              <w:t>Matricula:3636</w:t>
            </w:r>
          </w:p>
          <w:bookmarkEnd w:id="8"/>
          <w:p w14:paraId="6011C51D">
            <w:pPr>
              <w:spacing w:before="72" w:beforeLines="30" w:after="72" w:afterLines="30"/>
              <w:rPr>
                <w:bCs/>
                <w:color w:val="000000"/>
                <w:szCs w:val="24"/>
                <w:lang w:eastAsia="pt-BR"/>
              </w:rPr>
            </w:pPr>
          </w:p>
        </w:tc>
      </w:tr>
      <w:bookmarkEnd w:id="7"/>
    </w:tbl>
    <w:p w14:paraId="271DF699">
      <w:pPr>
        <w:spacing w:before="72" w:beforeLines="30" w:after="72" w:afterLines="30"/>
        <w:rPr>
          <w:b/>
          <w:szCs w:val="24"/>
        </w:rPr>
      </w:pPr>
      <w:r>
        <w:rPr>
          <w:b/>
          <w:szCs w:val="24"/>
        </w:rPr>
        <w:t>Aprovado por:</w:t>
      </w:r>
    </w:p>
    <w:tbl>
      <w:tblPr>
        <w:tblStyle w:val="38"/>
        <w:tblW w:w="136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356"/>
        <w:gridCol w:w="4322"/>
      </w:tblGrid>
      <w:tr w14:paraId="73917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356" w:type="dxa"/>
          </w:tcPr>
          <w:p w14:paraId="438A0A5F">
            <w:pPr>
              <w:spacing w:before="72" w:beforeLines="30" w:after="72" w:afterLines="30"/>
              <w:rPr>
                <w:b/>
                <w:bCs/>
                <w:color w:val="000000" w:themeColor="text1"/>
                <w:szCs w:val="24"/>
                <w14:textFill>
                  <w14:solidFill>
                    <w14:schemeClr w14:val="tx1"/>
                  </w14:solidFill>
                </w14:textFill>
              </w:rPr>
            </w:pPr>
          </w:p>
          <w:p w14:paraId="21BCC098">
            <w:pPr>
              <w:spacing w:before="72" w:beforeLines="30" w:after="72" w:afterLines="3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Cristina Araújo Pezzini</w:t>
            </w:r>
          </w:p>
          <w:p w14:paraId="56833D83">
            <w:pPr>
              <w:spacing w:before="72" w:beforeLines="30" w:after="72" w:afterLines="30"/>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Secretária Municipal de Saúde</w:t>
            </w:r>
          </w:p>
          <w:p w14:paraId="03DB9BAB">
            <w:pPr>
              <w:spacing w:before="72" w:beforeLines="30" w:after="72" w:afterLines="30"/>
              <w:rPr>
                <w:bCs/>
                <w:color w:val="000000" w:themeColor="text1"/>
                <w:szCs w:val="24"/>
                <w14:textFill>
                  <w14:solidFill>
                    <w14:schemeClr w14:val="tx1"/>
                  </w14:solidFill>
                </w14:textFill>
              </w:rPr>
            </w:pPr>
          </w:p>
        </w:tc>
        <w:tc>
          <w:tcPr>
            <w:tcW w:w="4322" w:type="dxa"/>
          </w:tcPr>
          <w:p w14:paraId="1AEF90C4">
            <w:pPr>
              <w:spacing w:before="72" w:beforeLines="30" w:after="72" w:afterLines="30"/>
              <w:rPr>
                <w:bCs/>
                <w:color w:val="000000" w:themeColor="text1"/>
                <w:szCs w:val="24"/>
                <w14:textFill>
                  <w14:solidFill>
                    <w14:schemeClr w14:val="tx1"/>
                  </w14:solidFill>
                </w14:textFill>
              </w:rPr>
            </w:pPr>
          </w:p>
        </w:tc>
      </w:tr>
    </w:tbl>
    <w:p w14:paraId="2EB6BA07">
      <w:pPr>
        <w:spacing w:before="72" w:beforeLines="30" w:after="72" w:afterLines="3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Honorato Ovelar Solariendres</w:t>
      </w:r>
    </w:p>
    <w:p w14:paraId="44D00ECF">
      <w:pPr>
        <w:spacing w:before="72" w:beforeLines="30" w:after="72" w:afterLines="30"/>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Secretário Municipal de Obras</w:t>
      </w:r>
    </w:p>
    <w:p w14:paraId="47CA5AB6">
      <w:pPr>
        <w:spacing w:before="72" w:beforeLines="30" w:after="72" w:afterLines="30"/>
        <w:rPr>
          <w:bCs/>
          <w:color w:val="000000" w:themeColor="text1"/>
          <w:szCs w:val="24"/>
          <w14:textFill>
            <w14:solidFill>
              <w14:schemeClr w14:val="tx1"/>
            </w14:solidFill>
          </w14:textFill>
        </w:rPr>
      </w:pPr>
    </w:p>
    <w:p w14:paraId="56976B54">
      <w:pPr>
        <w:spacing w:before="72" w:beforeLines="30" w:after="72" w:afterLines="30"/>
        <w:rPr>
          <w:bCs/>
          <w:color w:val="000000" w:themeColor="text1"/>
          <w:szCs w:val="24"/>
          <w14:textFill>
            <w14:solidFill>
              <w14:schemeClr w14:val="tx1"/>
            </w14:solidFill>
          </w14:textFill>
        </w:rPr>
      </w:pPr>
    </w:p>
    <w:p w14:paraId="7CD4E4A0">
      <w:pPr>
        <w:spacing w:before="72" w:beforeLines="30" w:after="72" w:afterLines="3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Carlos Roberto Hespporte</w:t>
      </w:r>
    </w:p>
    <w:p w14:paraId="0E53CEA1">
      <w:pPr>
        <w:spacing w:before="72" w:beforeLines="30" w:after="72" w:afterLines="30"/>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Secretário Municipal de Agricultura</w:t>
      </w:r>
    </w:p>
    <w:p w14:paraId="402ABDBF">
      <w:pPr>
        <w:spacing w:before="72" w:beforeLines="30" w:after="72" w:afterLines="30"/>
        <w:rPr>
          <w:bCs/>
          <w:color w:val="000000" w:themeColor="text1"/>
          <w:szCs w:val="24"/>
          <w14:textFill>
            <w14:solidFill>
              <w14:schemeClr w14:val="tx1"/>
            </w14:solidFill>
          </w14:textFill>
        </w:rPr>
      </w:pPr>
    </w:p>
    <w:p w14:paraId="42BE1843">
      <w:pPr>
        <w:spacing w:before="72" w:beforeLines="30" w:after="72" w:afterLines="30"/>
        <w:rPr>
          <w:bCs/>
          <w:color w:val="000000" w:themeColor="text1"/>
          <w:szCs w:val="24"/>
          <w14:textFill>
            <w14:solidFill>
              <w14:schemeClr w14:val="tx1"/>
            </w14:solidFill>
          </w14:textFill>
        </w:rPr>
      </w:pPr>
    </w:p>
    <w:p w14:paraId="11B58DF2">
      <w:pPr>
        <w:spacing w:before="72" w:beforeLines="30" w:after="72" w:afterLines="3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Ogair Garcia Leite</w:t>
      </w:r>
    </w:p>
    <w:p w14:paraId="7D133AF4">
      <w:pPr>
        <w:spacing w:before="72" w:beforeLines="30" w:after="72" w:afterLines="30"/>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Secretária Municipal – SMDHASTH</w:t>
      </w:r>
    </w:p>
    <w:p w14:paraId="28D25A04">
      <w:pPr>
        <w:spacing w:before="72" w:beforeLines="30" w:after="72" w:afterLines="30"/>
        <w:rPr>
          <w:b/>
          <w:bCs/>
          <w:color w:val="000000" w:themeColor="text1"/>
          <w:szCs w:val="24"/>
          <w14:textFill>
            <w14:solidFill>
              <w14:schemeClr w14:val="tx1"/>
            </w14:solidFill>
          </w14:textFill>
        </w:rPr>
      </w:pPr>
    </w:p>
    <w:p w14:paraId="28D41543">
      <w:pPr>
        <w:spacing w:before="72" w:beforeLines="30" w:after="72" w:afterLines="3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Sueli Haut de Oliveira</w:t>
      </w:r>
    </w:p>
    <w:p w14:paraId="6B40696A">
      <w:pPr>
        <w:spacing w:before="72" w:beforeLines="30" w:after="72" w:afterLines="30"/>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Secretária Municipal de Administração e Finanças</w:t>
      </w:r>
    </w:p>
    <w:p w14:paraId="2119074D">
      <w:pPr>
        <w:spacing w:before="72" w:beforeLines="30" w:after="72" w:afterLines="30"/>
        <w:rPr>
          <w:bCs/>
          <w:color w:val="000000" w:themeColor="text1"/>
          <w:szCs w:val="24"/>
          <w14:textFill>
            <w14:solidFill>
              <w14:schemeClr w14:val="tx1"/>
            </w14:solidFill>
          </w14:textFill>
        </w:rPr>
      </w:pPr>
    </w:p>
    <w:p w14:paraId="5839D389">
      <w:pPr>
        <w:spacing w:before="72" w:beforeLines="30" w:after="72" w:afterLines="30"/>
        <w:rPr>
          <w:bCs/>
          <w:color w:val="000000" w:themeColor="text1"/>
          <w:szCs w:val="24"/>
          <w14:textFill>
            <w14:solidFill>
              <w14:schemeClr w14:val="tx1"/>
            </w14:solidFill>
          </w14:textFill>
        </w:rPr>
      </w:pPr>
    </w:p>
    <w:p w14:paraId="3D75224F">
      <w:pPr>
        <w:spacing w:before="72" w:beforeLines="30" w:after="72" w:afterLines="30"/>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Thaiz Leite de Andrade</w:t>
      </w:r>
    </w:p>
    <w:p w14:paraId="51B20DFC">
      <w:pPr>
        <w:spacing w:before="72" w:beforeLines="30" w:after="72" w:afterLines="30"/>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Secretária Municipal de Educação</w:t>
      </w:r>
    </w:p>
    <w:p w14:paraId="585D5AA1">
      <w:pPr>
        <w:spacing w:before="72" w:beforeLines="30" w:after="72" w:afterLines="30"/>
        <w:jc w:val="center"/>
        <w:rPr>
          <w:b/>
          <w:bCs/>
          <w:i/>
          <w:color w:val="000000"/>
          <w:szCs w:val="24"/>
          <w:u w:val="single"/>
          <w:lang w:eastAsia="pt-BR"/>
        </w:rPr>
      </w:pPr>
      <w:bookmarkStart w:id="9" w:name="_Hlk72228042"/>
      <w:r>
        <w:rPr>
          <w:b/>
          <w:bCs/>
          <w:i/>
          <w:color w:val="000000"/>
          <w:szCs w:val="24"/>
          <w:u w:val="single"/>
          <w:lang w:eastAsia="pt-BR"/>
        </w:rPr>
        <w:t>Apêndice do Anexo I</w:t>
      </w:r>
    </w:p>
    <w:p w14:paraId="69326091">
      <w:pPr>
        <w:spacing w:before="72" w:beforeLines="30" w:after="72" w:afterLines="30"/>
        <w:jc w:val="center"/>
        <w:rPr>
          <w:b/>
          <w:bCs/>
          <w:i/>
          <w:color w:val="000000"/>
          <w:szCs w:val="24"/>
          <w:u w:val="single"/>
          <w:lang w:eastAsia="pt-BR"/>
        </w:rPr>
      </w:pPr>
      <w:r>
        <w:rPr>
          <w:b/>
          <w:bCs/>
          <w:i/>
          <w:color w:val="000000"/>
          <w:szCs w:val="24"/>
          <w:u w:val="single"/>
          <w:lang w:eastAsia="pt-BR"/>
        </w:rPr>
        <w:t>ESTUDO TÉCNICO PRELIMINAR</w:t>
      </w:r>
    </w:p>
    <w:p w14:paraId="4CAF7EC8">
      <w:pPr>
        <w:spacing w:before="72" w:beforeLines="30" w:after="72" w:afterLines="30"/>
        <w:jc w:val="center"/>
        <w:rPr>
          <w:b/>
          <w:bCs/>
          <w:i/>
          <w:color w:val="000000"/>
          <w:szCs w:val="24"/>
          <w:u w:val="single"/>
          <w:lang w:eastAsia="pt-BR"/>
        </w:rPr>
      </w:pPr>
      <w:r>
        <w:rPr>
          <w:b/>
          <w:bCs/>
          <w:i/>
          <w:color w:val="000000"/>
          <w:szCs w:val="24"/>
          <w:u w:val="single"/>
          <w:lang w:eastAsia="pt-BR"/>
        </w:rPr>
        <w:t>e</w:t>
      </w:r>
    </w:p>
    <w:p w14:paraId="039F8BE9">
      <w:pPr>
        <w:spacing w:before="72" w:beforeLines="30" w:after="72" w:afterLines="30"/>
        <w:jc w:val="center"/>
        <w:rPr>
          <w:b/>
          <w:bCs/>
          <w:i/>
          <w:color w:val="000000"/>
          <w:szCs w:val="24"/>
          <w:u w:val="single"/>
          <w:lang w:eastAsia="pt-BR"/>
        </w:rPr>
      </w:pPr>
      <w:r>
        <w:rPr>
          <w:b/>
          <w:bCs/>
          <w:i/>
          <w:color w:val="000000"/>
          <w:szCs w:val="24"/>
          <w:u w:val="single"/>
          <w:lang w:eastAsia="pt-BR"/>
        </w:rPr>
        <w:t>GERENCIAMENTO DE RISCO</w:t>
      </w:r>
    </w:p>
    <w:p w14:paraId="1AC7278A">
      <w:pPr>
        <w:spacing w:before="72" w:beforeLines="30" w:after="72" w:afterLines="30"/>
        <w:jc w:val="both"/>
        <w:rPr>
          <w:b/>
          <w:bCs/>
          <w:color w:val="000000"/>
          <w:szCs w:val="24"/>
          <w:lang w:eastAsia="pt-BR"/>
        </w:rPr>
      </w:pPr>
    </w:p>
    <w:p w14:paraId="65448DF5">
      <w:pPr>
        <w:spacing w:before="72" w:beforeLines="30" w:after="72" w:afterLines="30"/>
        <w:jc w:val="both"/>
        <w:rPr>
          <w:color w:val="000000"/>
          <w:szCs w:val="24"/>
          <w:lang w:eastAsia="pt-BR"/>
        </w:rPr>
      </w:pPr>
      <w:r>
        <w:rPr>
          <w:b/>
          <w:bCs/>
          <w:color w:val="000000"/>
          <w:szCs w:val="24"/>
          <w:lang w:eastAsia="pt-BR"/>
        </w:rPr>
        <w:t>OBJETO</w:t>
      </w:r>
    </w:p>
    <w:p w14:paraId="1206CC05">
      <w:pPr>
        <w:spacing w:before="72" w:beforeLines="30" w:after="72" w:afterLines="30"/>
        <w:jc w:val="both"/>
        <w:rPr>
          <w:color w:val="000000"/>
          <w:szCs w:val="24"/>
          <w:lang w:eastAsia="pt-BR"/>
        </w:rPr>
      </w:pPr>
      <w:r>
        <w:rPr>
          <w:color w:val="000000"/>
          <w:szCs w:val="24"/>
          <w:lang w:eastAsia="pt-BR"/>
        </w:rPr>
        <w:t xml:space="preserve">Análise da viabilidade técnica e econômica para </w:t>
      </w:r>
      <w:r>
        <w:rPr>
          <w:b/>
          <w:szCs w:val="24"/>
        </w:rPr>
        <w:t>AQUISIÇÃO FUTURA DE COMBUSTÍVEIS (TIPO GASOLINA COMUM E ÓLEO DIESEL S10, DIESEL COMUM E ARLA 32), NO MUNICÍPIO DE SIDROLANDIA-MS, PARA ATENDER OS VEÍCULOS DA FROTA OFICIAL DA PREFEITURA MUNICIPAL DE CARACOL MS.</w:t>
      </w:r>
    </w:p>
    <w:p w14:paraId="29CD9164">
      <w:pPr>
        <w:spacing w:before="72" w:beforeLines="30" w:after="72" w:afterLines="30"/>
        <w:jc w:val="both"/>
        <w:rPr>
          <w:color w:val="000000"/>
          <w:szCs w:val="24"/>
          <w:lang w:eastAsia="pt-BR"/>
        </w:rPr>
      </w:pPr>
    </w:p>
    <w:p w14:paraId="4E4F7E4C">
      <w:pPr>
        <w:spacing w:before="72" w:beforeLines="30" w:after="72" w:afterLines="30"/>
        <w:jc w:val="both"/>
        <w:rPr>
          <w:b/>
          <w:bCs/>
          <w:color w:val="000000"/>
          <w:szCs w:val="24"/>
          <w:lang w:eastAsia="pt-BR"/>
        </w:rPr>
      </w:pPr>
      <w:r>
        <w:rPr>
          <w:b/>
          <w:bCs/>
          <w:color w:val="000000"/>
          <w:szCs w:val="24"/>
          <w:lang w:eastAsia="pt-BR"/>
        </w:rPr>
        <w:t xml:space="preserve">LEGISLAÇÃO </w:t>
      </w:r>
    </w:p>
    <w:p w14:paraId="5AAD02B3">
      <w:pPr>
        <w:autoSpaceDE w:val="0"/>
        <w:autoSpaceDN w:val="0"/>
        <w:adjustRightInd w:val="0"/>
        <w:spacing w:before="72" w:beforeLines="30" w:after="72" w:afterLines="30"/>
        <w:jc w:val="both"/>
        <w:rPr>
          <w:b/>
          <w:bCs/>
          <w:szCs w:val="24"/>
        </w:rPr>
      </w:pPr>
      <w:r>
        <w:rPr>
          <w:b/>
          <w:bCs/>
          <w:szCs w:val="24"/>
        </w:rPr>
        <w:t>Lei nº 14.133/2021;</w:t>
      </w:r>
    </w:p>
    <w:p w14:paraId="3A4D65BE">
      <w:pPr>
        <w:autoSpaceDE w:val="0"/>
        <w:autoSpaceDN w:val="0"/>
        <w:adjustRightInd w:val="0"/>
        <w:spacing w:before="72" w:beforeLines="30" w:after="72" w:afterLines="30"/>
        <w:jc w:val="both"/>
        <w:rPr>
          <w:b/>
          <w:bCs/>
          <w:szCs w:val="24"/>
        </w:rPr>
      </w:pPr>
      <w:r>
        <w:rPr>
          <w:b/>
          <w:bCs/>
          <w:szCs w:val="24"/>
        </w:rPr>
        <w:t>Lei Complementar nº 123/2006;</w:t>
      </w:r>
    </w:p>
    <w:p w14:paraId="46450643">
      <w:pPr>
        <w:autoSpaceDE w:val="0"/>
        <w:autoSpaceDN w:val="0"/>
        <w:adjustRightInd w:val="0"/>
        <w:spacing w:before="72" w:beforeLines="30" w:after="72" w:afterLines="30"/>
        <w:jc w:val="both"/>
        <w:rPr>
          <w:szCs w:val="24"/>
        </w:rPr>
      </w:pPr>
      <w:r>
        <w:rPr>
          <w:b/>
          <w:bCs/>
          <w:szCs w:val="24"/>
        </w:rPr>
        <w:t xml:space="preserve">Resolução TCE/MS nº 88/2018 </w:t>
      </w:r>
      <w:r>
        <w:rPr>
          <w:szCs w:val="24"/>
        </w:rPr>
        <w:t>e alterações posteriores.</w:t>
      </w:r>
    </w:p>
    <w:p w14:paraId="610E02D1">
      <w:pPr>
        <w:autoSpaceDE w:val="0"/>
        <w:autoSpaceDN w:val="0"/>
        <w:adjustRightInd w:val="0"/>
        <w:spacing w:before="72" w:beforeLines="30" w:after="72" w:afterLines="30"/>
        <w:jc w:val="both"/>
        <w:rPr>
          <w:szCs w:val="24"/>
        </w:rPr>
      </w:pPr>
      <w:r>
        <w:rPr>
          <w:b/>
          <w:bCs/>
          <w:szCs w:val="24"/>
        </w:rPr>
        <w:t xml:space="preserve">Decreto Municipal nº 161 </w:t>
      </w:r>
      <w:r>
        <w:rPr>
          <w:szCs w:val="24"/>
        </w:rPr>
        <w:t>de 13 de dezembro de 2022; que regulamenta os Estudos Técnicos Preliminares- ETP.</w:t>
      </w:r>
    </w:p>
    <w:p w14:paraId="718EFAE4">
      <w:pPr>
        <w:autoSpaceDE w:val="0"/>
        <w:autoSpaceDN w:val="0"/>
        <w:adjustRightInd w:val="0"/>
        <w:spacing w:before="72" w:beforeLines="30" w:after="72" w:afterLines="30"/>
        <w:jc w:val="both"/>
        <w:rPr>
          <w:szCs w:val="24"/>
        </w:rPr>
      </w:pPr>
      <w:r>
        <w:rPr>
          <w:b/>
          <w:bCs/>
          <w:szCs w:val="24"/>
        </w:rPr>
        <w:t xml:space="preserve">Decreto Municipal nº 039 </w:t>
      </w:r>
      <w:r>
        <w:rPr>
          <w:szCs w:val="24"/>
        </w:rPr>
        <w:t>de 22 de março de 2024; que regulamenta as práticas de gestão de risco e controle preventivo nas contratações de obras, serviços e compras.</w:t>
      </w:r>
    </w:p>
    <w:p w14:paraId="153BFD68">
      <w:pPr>
        <w:autoSpaceDE w:val="0"/>
        <w:autoSpaceDN w:val="0"/>
        <w:adjustRightInd w:val="0"/>
        <w:spacing w:before="72" w:beforeLines="30" w:after="72" w:afterLines="30"/>
        <w:jc w:val="both"/>
        <w:rPr>
          <w:szCs w:val="24"/>
        </w:rPr>
      </w:pPr>
      <w:r>
        <w:rPr>
          <w:b/>
          <w:bCs/>
          <w:szCs w:val="24"/>
        </w:rPr>
        <w:t xml:space="preserve">Decreto Municipal nº 133 </w:t>
      </w:r>
      <w:r>
        <w:rPr>
          <w:szCs w:val="24"/>
        </w:rPr>
        <w:t>de 18 de setembro de 2024; que regulamentou os</w:t>
      </w:r>
    </w:p>
    <w:p w14:paraId="39754CEF">
      <w:pPr>
        <w:autoSpaceDE w:val="0"/>
        <w:autoSpaceDN w:val="0"/>
        <w:adjustRightInd w:val="0"/>
        <w:spacing w:before="72" w:beforeLines="30" w:after="72" w:afterLines="30"/>
        <w:jc w:val="both"/>
        <w:rPr>
          <w:szCs w:val="24"/>
        </w:rPr>
      </w:pPr>
      <w:r>
        <w:rPr>
          <w:szCs w:val="24"/>
        </w:rPr>
        <w:t>procedimentos administrativos para apuração de infrações e para aplicação de sanções administrativas.</w:t>
      </w:r>
    </w:p>
    <w:p w14:paraId="6415319B">
      <w:pPr>
        <w:pStyle w:val="94"/>
        <w:spacing w:before="72" w:beforeLines="30" w:after="72" w:afterLines="30"/>
        <w:jc w:val="both"/>
        <w:rPr>
          <w:rFonts w:ascii="Times New Roman" w:hAnsi="Times New Roman" w:cs="Times New Roman"/>
          <w:sz w:val="24"/>
          <w:szCs w:val="24"/>
        </w:rPr>
      </w:pPr>
      <w:r>
        <w:rPr>
          <w:rFonts w:ascii="Times New Roman" w:hAnsi="Times New Roman" w:cs="Times New Roman"/>
          <w:b/>
          <w:bCs/>
          <w:sz w:val="24"/>
          <w:szCs w:val="24"/>
        </w:rPr>
        <w:t>Decreto Municipal n° 063</w:t>
      </w:r>
      <w:r>
        <w:rPr>
          <w:rFonts w:ascii="Times New Roman" w:hAnsi="Times New Roman" w:cs="Times New Roman"/>
          <w:sz w:val="24"/>
          <w:szCs w:val="24"/>
        </w:rPr>
        <w:t xml:space="preserve"> de 31 de março de 2025; que regulamentou o Sistema de Registro de Preços.</w:t>
      </w:r>
    </w:p>
    <w:p w14:paraId="1C1CFDC6">
      <w:pPr>
        <w:autoSpaceDE w:val="0"/>
        <w:autoSpaceDN w:val="0"/>
        <w:adjustRightInd w:val="0"/>
        <w:spacing w:before="72" w:beforeLines="30" w:after="72" w:afterLines="30"/>
        <w:jc w:val="both"/>
        <w:rPr>
          <w:szCs w:val="24"/>
        </w:rPr>
      </w:pPr>
    </w:p>
    <w:p w14:paraId="1F404F14">
      <w:pPr>
        <w:spacing w:before="72" w:beforeLines="30" w:after="72" w:afterLines="30"/>
        <w:jc w:val="both"/>
        <w:rPr>
          <w:b/>
          <w:bCs/>
          <w:szCs w:val="24"/>
        </w:rPr>
      </w:pPr>
      <w:r>
        <w:rPr>
          <w:b/>
          <w:bCs/>
          <w:color w:val="000000"/>
          <w:szCs w:val="24"/>
          <w:lang w:eastAsia="pt-BR"/>
        </w:rPr>
        <w:t>I – D</w:t>
      </w:r>
      <w:r>
        <w:rPr>
          <w:b/>
          <w:bCs/>
          <w:szCs w:val="24"/>
        </w:rPr>
        <w:t>escrição da necessidade da contratação, considerado o problema a ser resolvido sob a perspectiva do interesse público.</w:t>
      </w:r>
    </w:p>
    <w:p w14:paraId="012663F2">
      <w:pPr>
        <w:pStyle w:val="49"/>
        <w:tabs>
          <w:tab w:val="left" w:pos="1134"/>
        </w:tabs>
        <w:autoSpaceDE w:val="0"/>
        <w:autoSpaceDN w:val="0"/>
        <w:adjustRightInd w:val="0"/>
        <w:spacing w:before="72" w:beforeLines="30" w:after="72" w:afterLines="30"/>
        <w:ind w:left="0" w:firstLine="851"/>
        <w:jc w:val="both"/>
        <w:rPr>
          <w:color w:val="000000"/>
          <w:szCs w:val="24"/>
        </w:rPr>
      </w:pPr>
      <w:r>
        <w:rPr>
          <w:color w:val="000000"/>
          <w:szCs w:val="24"/>
        </w:rPr>
        <w:t>A presente aquisição se faz necessária para atender a demanda das Secretarias Municipais de Caracol, visando o abastecimento de frota oficial em deslocamentos para o Município de Campo Grande/MS para atividades rotineiras e cumprimento de compromissos de interesse público, bem como para capacitação dos servidores municipais.</w:t>
      </w:r>
    </w:p>
    <w:p w14:paraId="38D4FECD">
      <w:pPr>
        <w:pStyle w:val="49"/>
        <w:autoSpaceDE w:val="0"/>
        <w:autoSpaceDN w:val="0"/>
        <w:adjustRightInd w:val="0"/>
        <w:spacing w:before="72" w:beforeLines="30" w:after="72" w:afterLines="30"/>
        <w:ind w:left="0" w:firstLine="851"/>
        <w:jc w:val="both"/>
        <w:rPr>
          <w:szCs w:val="24"/>
        </w:rPr>
      </w:pPr>
      <w:r>
        <w:rPr>
          <w:szCs w:val="24"/>
        </w:rPr>
        <w:t>Cumpre informar, a Prefeitura Municipal de Caracol/MS possui licitação para aquisição de combustíveis na qual se consagrou vencedora uma empresa localizada no Município de Bela Vista, que além de fornecer o combustível para abastecimento em seu estabelecimento, é responsável por ceder em comodato um tanque aéreo para abastecimentos no Município de Caracol.</w:t>
      </w:r>
    </w:p>
    <w:p w14:paraId="5E3FC7AD">
      <w:pPr>
        <w:pStyle w:val="49"/>
        <w:autoSpaceDE w:val="0"/>
        <w:autoSpaceDN w:val="0"/>
        <w:adjustRightInd w:val="0"/>
        <w:spacing w:before="72" w:beforeLines="30" w:after="72" w:afterLines="30"/>
        <w:ind w:left="0" w:firstLine="851"/>
        <w:jc w:val="both"/>
        <w:rPr>
          <w:szCs w:val="24"/>
        </w:rPr>
      </w:pPr>
      <w:r>
        <w:rPr>
          <w:szCs w:val="24"/>
        </w:rPr>
        <w:t>No entanto, em razão da distância entre esses municípios e a Capital do estado (cerca de 300km de Bela Vista/MS), não é possível que os veículos façam o deslocamento de ida a Campo Grande e volta a Caracol apenas com o combustível abastecido na ida, razão pela qual se faz necessária a aquisição de combustíveis também em Sidrolândia que faz parte da rota do município para Campo Grande.</w:t>
      </w:r>
    </w:p>
    <w:p w14:paraId="4FDC2EE8">
      <w:pPr>
        <w:spacing w:before="72" w:beforeLines="30" w:after="72" w:afterLines="30"/>
        <w:ind w:firstLine="851"/>
        <w:jc w:val="both"/>
        <w:rPr>
          <w:szCs w:val="24"/>
        </w:rPr>
      </w:pPr>
      <w:r>
        <w:rPr>
          <w:szCs w:val="24"/>
        </w:rPr>
        <w:t xml:space="preserve">Faz se necessário acrescentar que em outros exercícios nossa licitação e contratação era realizada com empresas do ramo de combustível do município de Campo Grande. Contudo no ano de 2023 realizamos um pregão nestes moldes (PROCESSO ADMINISTRATIVO Nº 098/2023, PREGÃO ELETRONICO Nº 023/2023), sendo que a primeira sessão marcada para o dia 21/07/2023 foi deflagrada deserta e ao ser repetida em 07/08/2023, novamente foi declarada deserta, sendo que nas duas sessões não houve interesse por parte dos fornecedores do município de Campo Grande/MS. </w:t>
      </w:r>
    </w:p>
    <w:p w14:paraId="4D006C2C">
      <w:pPr>
        <w:spacing w:before="72" w:beforeLines="30" w:after="72" w:afterLines="30"/>
        <w:ind w:firstLine="851"/>
        <w:jc w:val="both"/>
        <w:rPr>
          <w:szCs w:val="24"/>
        </w:rPr>
      </w:pPr>
      <w:r>
        <w:rPr>
          <w:szCs w:val="24"/>
        </w:rPr>
        <w:t>Então no ano de 2024 e 2025 o combustível foi fornecido no município de Sidrolândia/MS e como foi realizado de forma eficaz, e para não ocorrer o risco de uma nova licitação deserta e causar prejuízos e transtornos a administração pública, e considerando que Sidrolândia/MS, faz parte da rota para Campo Grande, entendemos que a melhor solução seja licitar em Sidrolândia/MS.</w:t>
      </w:r>
    </w:p>
    <w:p w14:paraId="2442B16C">
      <w:pPr>
        <w:shd w:val="clear" w:color="auto" w:fill="FFFFFF" w:themeFill="background1"/>
        <w:spacing w:before="72" w:beforeLines="30" w:after="72" w:afterLines="30"/>
        <w:ind w:firstLine="851"/>
        <w:jc w:val="both"/>
        <w:rPr>
          <w:szCs w:val="24"/>
        </w:rPr>
      </w:pPr>
      <w:r>
        <w:rPr>
          <w:szCs w:val="24"/>
        </w:rPr>
        <w:t>Ademais, foi constatado que para os motoristas, a realização de abastecimento no município de Sidrolândia é muito mais eficiente e prática, tendo em vista que é rota para se chegar em Campo Grande, sendo que o abastecimento em Campo Grande muitas vezes se torna um transtorno acarretando em atrasos, tendo em vista que dependendo da empresa contratada, os motoristas têm que atravessar a cidade para realizar o abastecimento.</w:t>
      </w:r>
    </w:p>
    <w:p w14:paraId="222C9CF6">
      <w:pPr>
        <w:pStyle w:val="49"/>
        <w:shd w:val="clear" w:color="auto" w:fill="FFFFFF" w:themeFill="background1"/>
        <w:autoSpaceDE w:val="0"/>
        <w:autoSpaceDN w:val="0"/>
        <w:adjustRightInd w:val="0"/>
        <w:spacing w:before="72" w:beforeLines="30" w:after="72" w:afterLines="30"/>
        <w:ind w:left="0" w:firstLine="851"/>
        <w:jc w:val="both"/>
        <w:rPr>
          <w:color w:val="000000"/>
          <w:szCs w:val="24"/>
        </w:rPr>
      </w:pPr>
    </w:p>
    <w:p w14:paraId="2D9D431E">
      <w:pPr>
        <w:pStyle w:val="49"/>
        <w:shd w:val="clear" w:color="auto" w:fill="FFFFFF" w:themeFill="background1"/>
        <w:autoSpaceDE w:val="0"/>
        <w:autoSpaceDN w:val="0"/>
        <w:adjustRightInd w:val="0"/>
        <w:spacing w:before="72" w:beforeLines="30" w:after="72" w:afterLines="30"/>
        <w:ind w:left="0" w:firstLine="851"/>
        <w:jc w:val="both"/>
        <w:rPr>
          <w:color w:val="000000"/>
          <w:szCs w:val="24"/>
        </w:rPr>
      </w:pPr>
      <w:r>
        <w:rPr>
          <w:color w:val="000000"/>
          <w:szCs w:val="24"/>
        </w:rPr>
        <w:t>Diante do exposto, passemos a análise pormenorizada das necessidades por secretaria.</w:t>
      </w:r>
    </w:p>
    <w:p w14:paraId="248E5426">
      <w:pPr>
        <w:pStyle w:val="49"/>
        <w:shd w:val="clear" w:color="auto" w:fill="FFFFFF" w:themeFill="background1"/>
        <w:autoSpaceDE w:val="0"/>
        <w:autoSpaceDN w:val="0"/>
        <w:adjustRightInd w:val="0"/>
        <w:spacing w:before="72" w:beforeLines="30" w:after="72" w:afterLines="30"/>
        <w:ind w:left="0" w:firstLine="851"/>
        <w:jc w:val="both"/>
        <w:rPr>
          <w:b/>
          <w:color w:val="000000"/>
          <w:szCs w:val="24"/>
        </w:rPr>
      </w:pPr>
    </w:p>
    <w:p w14:paraId="0524A94C">
      <w:pPr>
        <w:pStyle w:val="49"/>
        <w:shd w:val="clear" w:color="auto" w:fill="FFFFFF" w:themeFill="background1"/>
        <w:autoSpaceDE w:val="0"/>
        <w:autoSpaceDN w:val="0"/>
        <w:adjustRightInd w:val="0"/>
        <w:spacing w:before="72" w:beforeLines="30" w:after="72" w:afterLines="30"/>
        <w:ind w:left="0" w:firstLine="851"/>
        <w:jc w:val="both"/>
        <w:rPr>
          <w:b/>
          <w:color w:val="000000"/>
          <w:szCs w:val="24"/>
        </w:rPr>
      </w:pPr>
      <w:r>
        <w:rPr>
          <w:b/>
          <w:color w:val="000000"/>
          <w:szCs w:val="24"/>
        </w:rPr>
        <w:t>Secretaria de saúde:</w:t>
      </w:r>
    </w:p>
    <w:p w14:paraId="6A7F8274">
      <w:pPr>
        <w:pStyle w:val="49"/>
        <w:shd w:val="clear" w:color="auto" w:fill="FFFFFF" w:themeFill="background1"/>
        <w:autoSpaceDE w:val="0"/>
        <w:autoSpaceDN w:val="0"/>
        <w:adjustRightInd w:val="0"/>
        <w:spacing w:before="72" w:beforeLines="30" w:after="72" w:afterLines="30"/>
        <w:ind w:left="0" w:firstLine="851"/>
        <w:jc w:val="both"/>
        <w:rPr>
          <w:color w:val="000000"/>
          <w:szCs w:val="24"/>
        </w:rPr>
      </w:pPr>
      <w:r>
        <w:rPr>
          <w:color w:val="000000"/>
          <w:szCs w:val="24"/>
        </w:rPr>
        <w:t>O município de Campo Grande se encontra a uma distância de 400 km do município de Caracol-MS, aonde frequentemente é preciso transportar pacientes que realizam hemodiálise tratamento na área de oncologia e realizar exames que não são disponíveis no município de Caracol-MS (exames de Alta Complexidade Ex: ressonância, tomografia etc).</w:t>
      </w:r>
    </w:p>
    <w:p w14:paraId="38BC7EAC">
      <w:pPr>
        <w:pStyle w:val="49"/>
        <w:autoSpaceDE w:val="0"/>
        <w:autoSpaceDN w:val="0"/>
        <w:adjustRightInd w:val="0"/>
        <w:spacing w:before="72" w:beforeLines="30" w:after="72" w:afterLines="30"/>
        <w:ind w:left="0" w:firstLine="851"/>
        <w:jc w:val="both"/>
        <w:rPr>
          <w:color w:val="000000"/>
          <w:szCs w:val="24"/>
        </w:rPr>
      </w:pPr>
      <w:r>
        <w:rPr>
          <w:color w:val="000000"/>
          <w:szCs w:val="24"/>
        </w:rPr>
        <w:t>Para tanto, levando-se em consideração o uso diuturno e, por vezes, quase que ininterruptos dos veículos disponibilizados a serviço desta Secretaria, os veículos que fazem a rota de Caracol-MS a Campo Grande- MS rodam em média 800 km por dia, corriqueiramente realizando o transporte de pacientes de segunda a sexta-feira para realizar hemodiálise, encaminhamentos, consultas em oncologia entre várias outras especialidades médicas. Tal situação totaliza aproximadamente 16.000 km rodado por mês, isso considerando o deslocamento de um veículo a título de exemplo.</w:t>
      </w:r>
    </w:p>
    <w:p w14:paraId="325460DB">
      <w:pPr>
        <w:pStyle w:val="49"/>
        <w:autoSpaceDE w:val="0"/>
        <w:autoSpaceDN w:val="0"/>
        <w:adjustRightInd w:val="0"/>
        <w:spacing w:before="72" w:beforeLines="30" w:after="72" w:afterLines="30"/>
        <w:ind w:left="0" w:firstLine="851"/>
        <w:jc w:val="both"/>
        <w:rPr>
          <w:color w:val="000000"/>
          <w:szCs w:val="24"/>
        </w:rPr>
      </w:pPr>
    </w:p>
    <w:p w14:paraId="6A147943">
      <w:pPr>
        <w:pStyle w:val="49"/>
        <w:autoSpaceDE w:val="0"/>
        <w:autoSpaceDN w:val="0"/>
        <w:adjustRightInd w:val="0"/>
        <w:spacing w:before="72" w:beforeLines="30" w:after="72" w:afterLines="30"/>
        <w:ind w:left="0" w:firstLine="851"/>
        <w:jc w:val="both"/>
        <w:rPr>
          <w:b/>
          <w:color w:val="000000"/>
          <w:szCs w:val="24"/>
        </w:rPr>
      </w:pPr>
      <w:r>
        <w:rPr>
          <w:b/>
          <w:color w:val="000000"/>
          <w:szCs w:val="24"/>
        </w:rPr>
        <w:t>Secretaria de Assistência social:</w:t>
      </w:r>
    </w:p>
    <w:p w14:paraId="2E7CF906">
      <w:pPr>
        <w:pStyle w:val="49"/>
        <w:autoSpaceDE w:val="0"/>
        <w:autoSpaceDN w:val="0"/>
        <w:adjustRightInd w:val="0"/>
        <w:spacing w:before="72" w:beforeLines="30" w:after="72" w:afterLines="30"/>
        <w:ind w:left="0" w:firstLine="851"/>
        <w:jc w:val="both"/>
        <w:rPr>
          <w:color w:val="000000"/>
          <w:szCs w:val="24"/>
        </w:rPr>
      </w:pPr>
      <w:r>
        <w:rPr>
          <w:color w:val="000000"/>
          <w:szCs w:val="24"/>
        </w:rPr>
        <w:t xml:space="preserve"> A necessidade do objeto justifica-se, tendo em vista que os veículos atendem a Secretaria diariamente realiza viagens de no mínimo 01 (uma) vez por mês para Campo Grande em reunião da Comissão Inter gestores Bipartite - CIB-MS e reunião do Colegiado Estadual de Gestores Municipais de Assistência Social COEGEMAS, capacitações de servidores entre outros, viagens estas que percorrem cerca de 800KM/dia; e quando necessário, aproximadamente duas (02) vezes a cada trimestre realiza o transporte de servidores para a realização de capacitações na cidade de Campo Grande.</w:t>
      </w:r>
    </w:p>
    <w:p w14:paraId="0B6A346C">
      <w:pPr>
        <w:pStyle w:val="49"/>
        <w:autoSpaceDE w:val="0"/>
        <w:autoSpaceDN w:val="0"/>
        <w:adjustRightInd w:val="0"/>
        <w:spacing w:before="72" w:beforeLines="30" w:after="72" w:afterLines="30"/>
        <w:ind w:left="0" w:firstLine="851"/>
        <w:jc w:val="both"/>
        <w:rPr>
          <w:color w:val="000000"/>
          <w:szCs w:val="24"/>
        </w:rPr>
      </w:pPr>
    </w:p>
    <w:p w14:paraId="0469D387">
      <w:pPr>
        <w:pStyle w:val="49"/>
        <w:autoSpaceDE w:val="0"/>
        <w:autoSpaceDN w:val="0"/>
        <w:adjustRightInd w:val="0"/>
        <w:spacing w:before="72" w:beforeLines="30" w:after="72" w:afterLines="30"/>
        <w:ind w:left="0" w:firstLine="851"/>
        <w:jc w:val="both"/>
        <w:rPr>
          <w:b/>
          <w:color w:val="000000"/>
          <w:szCs w:val="24"/>
        </w:rPr>
      </w:pPr>
      <w:r>
        <w:rPr>
          <w:b/>
          <w:color w:val="000000"/>
          <w:szCs w:val="24"/>
        </w:rPr>
        <w:t>Secretaria de Educação:</w:t>
      </w:r>
    </w:p>
    <w:p w14:paraId="6AE48FAC">
      <w:pPr>
        <w:pStyle w:val="49"/>
        <w:autoSpaceDE w:val="0"/>
        <w:autoSpaceDN w:val="0"/>
        <w:adjustRightInd w:val="0"/>
        <w:spacing w:before="72" w:beforeLines="30" w:after="72" w:afterLines="30"/>
        <w:ind w:left="0" w:firstLine="851"/>
        <w:jc w:val="both"/>
        <w:rPr>
          <w:color w:val="000000"/>
          <w:szCs w:val="24"/>
        </w:rPr>
      </w:pPr>
      <w:r>
        <w:rPr>
          <w:color w:val="000000"/>
          <w:szCs w:val="24"/>
        </w:rPr>
        <w:t xml:space="preserve">Justifica-se a necessidade da aquisição de combustíveis para abastecimento dos veículos desta secretaria, estabelecendo condições mínimas de utilização e viabilizando o desempenho de atividades rotineiras como, reuniões, treinamentos de funcionários e cursos de capacitações. </w:t>
      </w:r>
    </w:p>
    <w:p w14:paraId="5D68AB13">
      <w:pPr>
        <w:pStyle w:val="49"/>
        <w:autoSpaceDE w:val="0"/>
        <w:autoSpaceDN w:val="0"/>
        <w:adjustRightInd w:val="0"/>
        <w:spacing w:before="72" w:beforeLines="30" w:after="72" w:afterLines="30"/>
        <w:ind w:left="0" w:firstLine="851"/>
        <w:jc w:val="both"/>
        <w:rPr>
          <w:color w:val="000000"/>
          <w:szCs w:val="24"/>
        </w:rPr>
      </w:pPr>
    </w:p>
    <w:p w14:paraId="1377DFD5">
      <w:pPr>
        <w:pStyle w:val="49"/>
        <w:autoSpaceDE w:val="0"/>
        <w:autoSpaceDN w:val="0"/>
        <w:adjustRightInd w:val="0"/>
        <w:spacing w:before="72" w:beforeLines="30" w:after="72" w:afterLines="30"/>
        <w:ind w:left="0" w:firstLine="851"/>
        <w:jc w:val="both"/>
        <w:rPr>
          <w:color w:val="000000"/>
          <w:szCs w:val="24"/>
        </w:rPr>
      </w:pPr>
      <w:r>
        <w:rPr>
          <w:b/>
          <w:color w:val="000000"/>
          <w:szCs w:val="24"/>
        </w:rPr>
        <w:t>Administração e finanças do município</w:t>
      </w:r>
      <w:r>
        <w:rPr>
          <w:color w:val="000000"/>
          <w:szCs w:val="24"/>
        </w:rPr>
        <w:t xml:space="preserve">; </w:t>
      </w:r>
    </w:p>
    <w:p w14:paraId="78D29F61">
      <w:pPr>
        <w:pStyle w:val="49"/>
        <w:autoSpaceDE w:val="0"/>
        <w:autoSpaceDN w:val="0"/>
        <w:adjustRightInd w:val="0"/>
        <w:spacing w:before="72" w:beforeLines="30" w:after="72" w:afterLines="30"/>
        <w:ind w:left="0" w:firstLine="851"/>
        <w:jc w:val="both"/>
        <w:rPr>
          <w:color w:val="000000"/>
          <w:szCs w:val="24"/>
        </w:rPr>
      </w:pPr>
      <w:r>
        <w:rPr>
          <w:color w:val="000000"/>
          <w:szCs w:val="24"/>
        </w:rPr>
        <w:t xml:space="preserve">Faz se necessária a aquisição de combustível para administração, devido principalmente, a agenda de compromissos do prefeito. Lembrando que o município de Campo Grande, se localiza a uma distância de 400 km de Caracol-MS da capital. </w:t>
      </w:r>
    </w:p>
    <w:p w14:paraId="43394480">
      <w:pPr>
        <w:pStyle w:val="49"/>
        <w:autoSpaceDE w:val="0"/>
        <w:autoSpaceDN w:val="0"/>
        <w:adjustRightInd w:val="0"/>
        <w:spacing w:before="72" w:beforeLines="30" w:after="72" w:afterLines="30"/>
        <w:ind w:left="0" w:firstLine="851"/>
        <w:jc w:val="both"/>
        <w:rPr>
          <w:color w:val="000000"/>
          <w:szCs w:val="24"/>
        </w:rPr>
      </w:pPr>
      <w:r>
        <w:rPr>
          <w:color w:val="000000"/>
          <w:szCs w:val="24"/>
        </w:rPr>
        <w:t xml:space="preserve">Reforçamos que tais agendas do prefeito na capital, são com autoridades, tais como o governador, deputados, secretários de estado e são de suma importância para destinação de verbas e emendas parlamentares para o desenvolvimento do município. </w:t>
      </w:r>
    </w:p>
    <w:p w14:paraId="0705AA83">
      <w:pPr>
        <w:pStyle w:val="49"/>
        <w:autoSpaceDE w:val="0"/>
        <w:autoSpaceDN w:val="0"/>
        <w:adjustRightInd w:val="0"/>
        <w:spacing w:before="72" w:beforeLines="30" w:after="72" w:afterLines="30"/>
        <w:ind w:left="0" w:firstLine="851"/>
        <w:jc w:val="both"/>
        <w:rPr>
          <w:color w:val="000000"/>
          <w:szCs w:val="24"/>
        </w:rPr>
      </w:pPr>
      <w:r>
        <w:rPr>
          <w:color w:val="000000"/>
          <w:szCs w:val="24"/>
        </w:rPr>
        <w:t xml:space="preserve">As agendas normalmente são realizadas na Secretaria de Estado de Educação, Secretaria de Estado de Saúde, Secretaria de Governo, Secretaria de Estado de Assistência Social, SEMAGRO, AGESUL, ASSOMASUL, IMASUL, SANESUL, CAIXA ECONOMICA FEDERAL, ALEMS, DNIT/MS. </w:t>
      </w:r>
    </w:p>
    <w:p w14:paraId="7F6B060E">
      <w:pPr>
        <w:pStyle w:val="49"/>
        <w:autoSpaceDE w:val="0"/>
        <w:autoSpaceDN w:val="0"/>
        <w:adjustRightInd w:val="0"/>
        <w:spacing w:before="72" w:beforeLines="30" w:after="72" w:afterLines="30"/>
        <w:ind w:left="0" w:firstLine="851"/>
        <w:jc w:val="both"/>
        <w:rPr>
          <w:color w:val="000000"/>
          <w:szCs w:val="24"/>
        </w:rPr>
      </w:pPr>
    </w:p>
    <w:p w14:paraId="47D43634">
      <w:pPr>
        <w:pStyle w:val="49"/>
        <w:autoSpaceDE w:val="0"/>
        <w:autoSpaceDN w:val="0"/>
        <w:adjustRightInd w:val="0"/>
        <w:spacing w:before="72" w:beforeLines="30" w:after="72" w:afterLines="30"/>
        <w:ind w:left="0" w:firstLine="851"/>
        <w:jc w:val="both"/>
        <w:rPr>
          <w:color w:val="000000"/>
          <w:szCs w:val="24"/>
        </w:rPr>
      </w:pPr>
      <w:r>
        <w:rPr>
          <w:b/>
          <w:color w:val="000000"/>
          <w:szCs w:val="24"/>
        </w:rPr>
        <w:t>Conselho Tutelar</w:t>
      </w:r>
      <w:r>
        <w:rPr>
          <w:color w:val="000000"/>
          <w:szCs w:val="24"/>
        </w:rPr>
        <w:t xml:space="preserve">: </w:t>
      </w:r>
    </w:p>
    <w:p w14:paraId="3330511E">
      <w:pPr>
        <w:pStyle w:val="49"/>
        <w:autoSpaceDE w:val="0"/>
        <w:autoSpaceDN w:val="0"/>
        <w:adjustRightInd w:val="0"/>
        <w:spacing w:before="72" w:beforeLines="30" w:after="72" w:afterLines="30"/>
        <w:ind w:left="0" w:firstLine="851"/>
        <w:jc w:val="both"/>
        <w:rPr>
          <w:color w:val="000000"/>
          <w:szCs w:val="24"/>
        </w:rPr>
      </w:pPr>
      <w:r>
        <w:rPr>
          <w:color w:val="000000"/>
          <w:szCs w:val="24"/>
        </w:rPr>
        <w:t>Conforme atribuições previstas no artigo 136 do ECA, o conselheiro tutelar atende crianças e adolescentes diante de situações de violação de direitos. Nesses atendimentos por vezes é necessário o acompanhamento e transporte dessas crianças ou adolescente a capital do Estado.</w:t>
      </w:r>
    </w:p>
    <w:p w14:paraId="5FA4B8C6">
      <w:pPr>
        <w:spacing w:before="72" w:beforeLines="30" w:after="72" w:afterLines="30"/>
        <w:jc w:val="both"/>
        <w:rPr>
          <w:b/>
          <w:bCs/>
          <w:color w:val="000000"/>
          <w:szCs w:val="24"/>
          <w:lang w:eastAsia="pt-BR"/>
        </w:rPr>
      </w:pPr>
    </w:p>
    <w:p w14:paraId="4D516BB4">
      <w:pPr>
        <w:spacing w:before="72" w:beforeLines="30" w:after="72" w:afterLines="30"/>
        <w:jc w:val="both"/>
        <w:rPr>
          <w:b/>
          <w:bCs/>
          <w:szCs w:val="24"/>
        </w:rPr>
      </w:pPr>
      <w:r>
        <w:rPr>
          <w:b/>
          <w:bCs/>
          <w:szCs w:val="24"/>
        </w:rPr>
        <w:t xml:space="preserve">II - Demonstração da previsão da contratação </w:t>
      </w:r>
      <w:r>
        <w:rPr>
          <w:b/>
          <w:bCs/>
          <w:color w:val="000000"/>
          <w:szCs w:val="24"/>
        </w:rPr>
        <w:t>no plano de contratações anual, sempre que elaborado, de modo a indicar o seu alinhamento com o planejamento da Administração</w:t>
      </w:r>
    </w:p>
    <w:p w14:paraId="0B158D37">
      <w:pPr>
        <w:spacing w:before="72" w:beforeLines="30" w:after="72" w:afterLines="30"/>
        <w:jc w:val="both"/>
        <w:rPr>
          <w:szCs w:val="24"/>
        </w:rPr>
      </w:pPr>
      <w:r>
        <w:rPr>
          <w:szCs w:val="24"/>
        </w:rPr>
        <w:t>O Plano de Contratações Anual foi publicado no Portal Nacional das Contratações Públicas, conforme dados abaixo:</w:t>
      </w:r>
    </w:p>
    <w:p w14:paraId="54D73E29">
      <w:pPr>
        <w:pStyle w:val="94"/>
        <w:numPr>
          <w:ilvl w:val="0"/>
          <w:numId w:val="7"/>
        </w:numPr>
        <w:spacing w:before="72" w:beforeLines="30" w:after="72" w:afterLines="30"/>
        <w:ind w:left="0" w:firstLine="0"/>
        <w:jc w:val="both"/>
        <w:rPr>
          <w:rFonts w:ascii="Times New Roman" w:hAnsi="Times New Roman" w:cs="Times New Roman"/>
          <w:bCs/>
          <w:iCs/>
          <w:sz w:val="24"/>
          <w:szCs w:val="24"/>
        </w:rPr>
      </w:pPr>
      <w:r>
        <w:rPr>
          <w:rFonts w:ascii="Times New Roman" w:hAnsi="Times New Roman" w:cs="Times New Roman"/>
          <w:bCs/>
          <w:iCs/>
          <w:sz w:val="24"/>
          <w:szCs w:val="24"/>
        </w:rPr>
        <w:t>ID PCA no PNCP: 03217924000132-0-000005/2026 e https://pncp.gov.br/app/pca/03217924000132/2026</w:t>
      </w:r>
    </w:p>
    <w:p w14:paraId="60789A29">
      <w:pPr>
        <w:pStyle w:val="94"/>
        <w:numPr>
          <w:ilvl w:val="0"/>
          <w:numId w:val="7"/>
        </w:numPr>
        <w:spacing w:before="72" w:beforeLines="30" w:after="72" w:afterLines="30"/>
        <w:ind w:left="0" w:firstLine="0"/>
        <w:jc w:val="both"/>
        <w:rPr>
          <w:rFonts w:ascii="Times New Roman" w:hAnsi="Times New Roman" w:cs="Times New Roman"/>
          <w:bCs/>
          <w:iCs/>
          <w:sz w:val="24"/>
          <w:szCs w:val="24"/>
        </w:rPr>
      </w:pPr>
      <w:r>
        <w:rPr>
          <w:rFonts w:ascii="Times New Roman" w:hAnsi="Times New Roman" w:cs="Times New Roman"/>
          <w:bCs/>
          <w:iCs/>
          <w:sz w:val="24"/>
          <w:szCs w:val="24"/>
        </w:rPr>
        <w:t>Data de publicação no PNCP: 18/11/2025</w:t>
      </w:r>
    </w:p>
    <w:p w14:paraId="0DBF0CFC">
      <w:pPr>
        <w:autoSpaceDE w:val="0"/>
        <w:autoSpaceDN w:val="0"/>
        <w:adjustRightInd w:val="0"/>
        <w:spacing w:before="72" w:beforeLines="30" w:after="72" w:afterLines="30"/>
        <w:jc w:val="both"/>
        <w:rPr>
          <w:bCs/>
          <w:color w:val="000000" w:themeColor="text1"/>
          <w:szCs w:val="24"/>
          <w14:textFill>
            <w14:solidFill>
              <w14:schemeClr w14:val="tx1"/>
            </w14:solidFill>
          </w14:textFill>
        </w:rPr>
      </w:pPr>
    </w:p>
    <w:p w14:paraId="7561DD36">
      <w:pPr>
        <w:spacing w:before="72" w:beforeLines="30" w:after="72" w:afterLines="30"/>
        <w:jc w:val="both"/>
        <w:rPr>
          <w:b/>
          <w:bCs/>
          <w:szCs w:val="24"/>
        </w:rPr>
      </w:pPr>
      <w:r>
        <w:rPr>
          <w:b/>
          <w:bCs/>
          <w:szCs w:val="24"/>
        </w:rPr>
        <w:t>III - Requisitos da contratação.</w:t>
      </w:r>
    </w:p>
    <w:p w14:paraId="46704D43">
      <w:pPr>
        <w:widowControl w:val="0"/>
        <w:tabs>
          <w:tab w:val="left" w:pos="0"/>
        </w:tabs>
        <w:autoSpaceDE w:val="0"/>
        <w:autoSpaceDN w:val="0"/>
        <w:spacing w:before="72" w:beforeLines="30" w:after="72" w:afterLines="30"/>
        <w:jc w:val="both"/>
        <w:rPr>
          <w:b/>
          <w:szCs w:val="24"/>
        </w:rPr>
      </w:pPr>
      <w:r>
        <w:rPr>
          <w:b/>
          <w:bCs/>
          <w:color w:val="000000"/>
          <w:szCs w:val="24"/>
          <w:lang w:eastAsia="pt-BR"/>
        </w:rPr>
        <w:t xml:space="preserve">3.1. Especificação (detalhamento) </w:t>
      </w:r>
    </w:p>
    <w:tbl>
      <w:tblPr>
        <w:tblStyle w:val="12"/>
        <w:tblW w:w="7460" w:type="dxa"/>
        <w:tblInd w:w="0" w:type="dxa"/>
        <w:tblLayout w:type="autofit"/>
        <w:tblCellMar>
          <w:top w:w="0" w:type="dxa"/>
          <w:left w:w="70" w:type="dxa"/>
          <w:bottom w:w="0" w:type="dxa"/>
          <w:right w:w="70" w:type="dxa"/>
        </w:tblCellMar>
      </w:tblPr>
      <w:tblGrid>
        <w:gridCol w:w="781"/>
        <w:gridCol w:w="3637"/>
        <w:gridCol w:w="1261"/>
        <w:gridCol w:w="1781"/>
      </w:tblGrid>
      <w:tr w14:paraId="783B4793">
        <w:tblPrEx>
          <w:tblCellMar>
            <w:top w:w="0" w:type="dxa"/>
            <w:left w:w="70" w:type="dxa"/>
            <w:bottom w:w="0" w:type="dxa"/>
            <w:right w:w="70" w:type="dxa"/>
          </w:tblCellMar>
        </w:tblPrEx>
        <w:trPr>
          <w:trHeight w:val="495" w:hRule="atLeast"/>
        </w:trPr>
        <w:tc>
          <w:tcPr>
            <w:tcW w:w="520" w:type="dxa"/>
            <w:tcBorders>
              <w:top w:val="single" w:color="auto" w:sz="4" w:space="0"/>
              <w:left w:val="single" w:color="auto" w:sz="4" w:space="0"/>
              <w:bottom w:val="single" w:color="auto" w:sz="4" w:space="0"/>
              <w:right w:val="single" w:color="auto" w:sz="4" w:space="0"/>
            </w:tcBorders>
            <w:vAlign w:val="center"/>
          </w:tcPr>
          <w:p w14:paraId="5D50EBDD">
            <w:pPr>
              <w:spacing w:before="72" w:beforeLines="30" w:after="72" w:afterLines="30"/>
              <w:jc w:val="both"/>
              <w:rPr>
                <w:b/>
                <w:bCs/>
                <w:szCs w:val="24"/>
                <w:lang w:eastAsia="pt-BR"/>
              </w:rPr>
            </w:pPr>
            <w:r>
              <w:rPr>
                <w:b/>
                <w:bCs/>
                <w:szCs w:val="24"/>
              </w:rPr>
              <w:t xml:space="preserve"> </w:t>
            </w:r>
            <w:r>
              <w:rPr>
                <w:b/>
                <w:bCs/>
                <w:szCs w:val="24"/>
                <w:lang w:eastAsia="pt-BR"/>
              </w:rPr>
              <w:t>ITEM</w:t>
            </w:r>
          </w:p>
        </w:tc>
        <w:tc>
          <w:tcPr>
            <w:tcW w:w="5260" w:type="dxa"/>
            <w:tcBorders>
              <w:top w:val="single" w:color="auto" w:sz="4" w:space="0"/>
              <w:left w:val="nil"/>
              <w:bottom w:val="single" w:color="auto" w:sz="4" w:space="0"/>
              <w:right w:val="single" w:color="auto" w:sz="4" w:space="0"/>
            </w:tcBorders>
            <w:vAlign w:val="center"/>
          </w:tcPr>
          <w:p w14:paraId="0475660A">
            <w:pPr>
              <w:spacing w:before="72" w:beforeLines="30" w:after="72" w:afterLines="30"/>
              <w:jc w:val="both"/>
              <w:rPr>
                <w:b/>
                <w:bCs/>
                <w:szCs w:val="24"/>
                <w:lang w:eastAsia="pt-BR"/>
              </w:rPr>
            </w:pPr>
            <w:r>
              <w:rPr>
                <w:b/>
                <w:bCs/>
                <w:szCs w:val="24"/>
                <w:lang w:eastAsia="pt-BR"/>
              </w:rPr>
              <w:t>PRODUTO / SERVIÇO</w:t>
            </w:r>
          </w:p>
        </w:tc>
        <w:tc>
          <w:tcPr>
            <w:tcW w:w="840" w:type="dxa"/>
            <w:tcBorders>
              <w:top w:val="single" w:color="auto" w:sz="4" w:space="0"/>
              <w:left w:val="nil"/>
              <w:bottom w:val="single" w:color="auto" w:sz="4" w:space="0"/>
              <w:right w:val="single" w:color="auto" w:sz="4" w:space="0"/>
            </w:tcBorders>
            <w:vAlign w:val="center"/>
          </w:tcPr>
          <w:p w14:paraId="26D83E90">
            <w:pPr>
              <w:spacing w:before="72" w:beforeLines="30" w:after="72" w:afterLines="30"/>
              <w:jc w:val="both"/>
              <w:rPr>
                <w:b/>
                <w:bCs/>
                <w:szCs w:val="24"/>
                <w:lang w:eastAsia="pt-BR"/>
              </w:rPr>
            </w:pPr>
            <w:r>
              <w:rPr>
                <w:b/>
                <w:bCs/>
                <w:szCs w:val="24"/>
                <w:lang w:eastAsia="pt-BR"/>
              </w:rPr>
              <w:t>UNIDADE</w:t>
            </w:r>
          </w:p>
        </w:tc>
        <w:tc>
          <w:tcPr>
            <w:tcW w:w="840" w:type="dxa"/>
            <w:tcBorders>
              <w:top w:val="single" w:color="auto" w:sz="4" w:space="0"/>
              <w:left w:val="nil"/>
              <w:bottom w:val="single" w:color="auto" w:sz="4" w:space="0"/>
              <w:right w:val="single" w:color="auto" w:sz="4" w:space="0"/>
            </w:tcBorders>
            <w:vAlign w:val="center"/>
          </w:tcPr>
          <w:p w14:paraId="50E4E53D">
            <w:pPr>
              <w:spacing w:before="72" w:beforeLines="30" w:after="72" w:afterLines="30"/>
              <w:jc w:val="both"/>
              <w:rPr>
                <w:b/>
                <w:bCs/>
                <w:szCs w:val="24"/>
                <w:lang w:eastAsia="pt-BR"/>
              </w:rPr>
            </w:pPr>
            <w:r>
              <w:rPr>
                <w:b/>
                <w:bCs/>
                <w:szCs w:val="24"/>
                <w:lang w:eastAsia="pt-BR"/>
              </w:rPr>
              <w:t>QUANTIDADE</w:t>
            </w:r>
          </w:p>
        </w:tc>
      </w:tr>
      <w:tr w14:paraId="5E48D1B9">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1535BA42">
            <w:pPr>
              <w:spacing w:before="72" w:beforeLines="30" w:after="72" w:afterLines="30"/>
              <w:jc w:val="both"/>
              <w:rPr>
                <w:szCs w:val="24"/>
                <w:lang w:eastAsia="pt-BR"/>
              </w:rPr>
            </w:pPr>
            <w:r>
              <w:rPr>
                <w:szCs w:val="24"/>
                <w:lang w:eastAsia="pt-BR"/>
              </w:rPr>
              <w:t>1</w:t>
            </w:r>
          </w:p>
        </w:tc>
        <w:tc>
          <w:tcPr>
            <w:tcW w:w="5260" w:type="dxa"/>
            <w:tcBorders>
              <w:top w:val="nil"/>
              <w:left w:val="nil"/>
              <w:bottom w:val="single" w:color="auto" w:sz="4" w:space="0"/>
              <w:right w:val="single" w:color="auto" w:sz="4" w:space="0"/>
            </w:tcBorders>
            <w:vAlign w:val="center"/>
          </w:tcPr>
          <w:p w14:paraId="49372029">
            <w:pPr>
              <w:spacing w:before="72" w:beforeLines="30" w:after="72" w:afterLines="30"/>
              <w:jc w:val="both"/>
              <w:rPr>
                <w:szCs w:val="24"/>
                <w:lang w:eastAsia="pt-BR"/>
              </w:rPr>
            </w:pPr>
            <w:r>
              <w:rPr>
                <w:szCs w:val="24"/>
                <w:lang w:eastAsia="pt-BR"/>
              </w:rPr>
              <w:t>DIESEL COMUM</w:t>
            </w:r>
          </w:p>
        </w:tc>
        <w:tc>
          <w:tcPr>
            <w:tcW w:w="840" w:type="dxa"/>
            <w:tcBorders>
              <w:top w:val="nil"/>
              <w:left w:val="nil"/>
              <w:bottom w:val="single" w:color="auto" w:sz="4" w:space="0"/>
              <w:right w:val="single" w:color="auto" w:sz="4" w:space="0"/>
            </w:tcBorders>
            <w:vAlign w:val="center"/>
          </w:tcPr>
          <w:p w14:paraId="62D9A8D9">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532F7282">
            <w:pPr>
              <w:spacing w:before="72" w:beforeLines="30" w:after="72" w:afterLines="30"/>
              <w:jc w:val="both"/>
              <w:rPr>
                <w:szCs w:val="24"/>
                <w:lang w:eastAsia="pt-BR"/>
              </w:rPr>
            </w:pPr>
            <w:r>
              <w:rPr>
                <w:szCs w:val="24"/>
                <w:lang w:eastAsia="pt-BR"/>
              </w:rPr>
              <w:t>8000</w:t>
            </w:r>
          </w:p>
        </w:tc>
      </w:tr>
      <w:tr w14:paraId="2D0A6773">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2AA280A6">
            <w:pPr>
              <w:spacing w:before="72" w:beforeLines="30" w:after="72" w:afterLines="30"/>
              <w:jc w:val="both"/>
              <w:rPr>
                <w:szCs w:val="24"/>
                <w:lang w:eastAsia="pt-BR"/>
              </w:rPr>
            </w:pPr>
            <w:r>
              <w:rPr>
                <w:szCs w:val="24"/>
                <w:lang w:eastAsia="pt-BR"/>
              </w:rPr>
              <w:t>2</w:t>
            </w:r>
          </w:p>
        </w:tc>
        <w:tc>
          <w:tcPr>
            <w:tcW w:w="5260" w:type="dxa"/>
            <w:tcBorders>
              <w:top w:val="nil"/>
              <w:left w:val="nil"/>
              <w:bottom w:val="single" w:color="auto" w:sz="4" w:space="0"/>
              <w:right w:val="single" w:color="auto" w:sz="4" w:space="0"/>
            </w:tcBorders>
            <w:vAlign w:val="center"/>
          </w:tcPr>
          <w:p w14:paraId="372E1CFF">
            <w:pPr>
              <w:spacing w:before="72" w:beforeLines="30" w:after="72" w:afterLines="30"/>
              <w:jc w:val="both"/>
              <w:rPr>
                <w:szCs w:val="24"/>
                <w:lang w:eastAsia="pt-BR"/>
              </w:rPr>
            </w:pPr>
            <w:r>
              <w:rPr>
                <w:szCs w:val="24"/>
                <w:lang w:eastAsia="pt-BR"/>
              </w:rPr>
              <w:t>DIESEL S10</w:t>
            </w:r>
          </w:p>
        </w:tc>
        <w:tc>
          <w:tcPr>
            <w:tcW w:w="840" w:type="dxa"/>
            <w:tcBorders>
              <w:top w:val="nil"/>
              <w:left w:val="nil"/>
              <w:bottom w:val="single" w:color="auto" w:sz="4" w:space="0"/>
              <w:right w:val="single" w:color="auto" w:sz="4" w:space="0"/>
            </w:tcBorders>
            <w:vAlign w:val="center"/>
          </w:tcPr>
          <w:p w14:paraId="7F1B416B">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53A99D75">
            <w:pPr>
              <w:spacing w:before="72" w:beforeLines="30" w:after="72" w:afterLines="30"/>
              <w:jc w:val="both"/>
              <w:rPr>
                <w:szCs w:val="24"/>
                <w:lang w:eastAsia="pt-BR"/>
              </w:rPr>
            </w:pPr>
            <w:r>
              <w:rPr>
                <w:szCs w:val="24"/>
                <w:lang w:eastAsia="pt-BR"/>
              </w:rPr>
              <w:t>97000</w:t>
            </w:r>
          </w:p>
        </w:tc>
      </w:tr>
      <w:tr w14:paraId="5352D6A2">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032F675F">
            <w:pPr>
              <w:spacing w:before="72" w:beforeLines="30" w:after="72" w:afterLines="30"/>
              <w:jc w:val="both"/>
              <w:rPr>
                <w:szCs w:val="24"/>
                <w:lang w:eastAsia="pt-BR"/>
              </w:rPr>
            </w:pPr>
            <w:r>
              <w:rPr>
                <w:szCs w:val="24"/>
                <w:lang w:eastAsia="pt-BR"/>
              </w:rPr>
              <w:t>3</w:t>
            </w:r>
          </w:p>
        </w:tc>
        <w:tc>
          <w:tcPr>
            <w:tcW w:w="5260" w:type="dxa"/>
            <w:tcBorders>
              <w:top w:val="nil"/>
              <w:left w:val="nil"/>
              <w:bottom w:val="single" w:color="auto" w:sz="4" w:space="0"/>
              <w:right w:val="single" w:color="auto" w:sz="4" w:space="0"/>
            </w:tcBorders>
            <w:vAlign w:val="center"/>
          </w:tcPr>
          <w:p w14:paraId="4C9D4AA7">
            <w:pPr>
              <w:spacing w:before="72" w:beforeLines="30" w:after="72" w:afterLines="30"/>
              <w:jc w:val="both"/>
              <w:rPr>
                <w:szCs w:val="24"/>
                <w:lang w:eastAsia="pt-BR"/>
              </w:rPr>
            </w:pPr>
            <w:r>
              <w:rPr>
                <w:szCs w:val="24"/>
                <w:lang w:eastAsia="pt-BR"/>
              </w:rPr>
              <w:t>GASOLINA COMUM</w:t>
            </w:r>
          </w:p>
        </w:tc>
        <w:tc>
          <w:tcPr>
            <w:tcW w:w="840" w:type="dxa"/>
            <w:tcBorders>
              <w:top w:val="nil"/>
              <w:left w:val="nil"/>
              <w:bottom w:val="single" w:color="auto" w:sz="4" w:space="0"/>
              <w:right w:val="single" w:color="auto" w:sz="4" w:space="0"/>
            </w:tcBorders>
            <w:vAlign w:val="center"/>
          </w:tcPr>
          <w:p w14:paraId="4945C9C7">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155AB15C">
            <w:pPr>
              <w:spacing w:before="72" w:beforeLines="30" w:after="72" w:afterLines="30"/>
              <w:jc w:val="both"/>
              <w:rPr>
                <w:szCs w:val="24"/>
                <w:lang w:eastAsia="pt-BR"/>
              </w:rPr>
            </w:pPr>
            <w:r>
              <w:rPr>
                <w:szCs w:val="24"/>
                <w:lang w:eastAsia="pt-BR"/>
              </w:rPr>
              <w:t>41500</w:t>
            </w:r>
          </w:p>
        </w:tc>
      </w:tr>
      <w:tr w14:paraId="01823509">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2C00F83E">
            <w:pPr>
              <w:spacing w:before="72" w:beforeLines="30" w:after="72" w:afterLines="30"/>
              <w:jc w:val="both"/>
              <w:rPr>
                <w:szCs w:val="24"/>
                <w:lang w:eastAsia="pt-BR"/>
              </w:rPr>
            </w:pPr>
            <w:r>
              <w:rPr>
                <w:szCs w:val="24"/>
                <w:lang w:eastAsia="pt-BR"/>
              </w:rPr>
              <w:t>4</w:t>
            </w:r>
          </w:p>
        </w:tc>
        <w:tc>
          <w:tcPr>
            <w:tcW w:w="5260" w:type="dxa"/>
            <w:tcBorders>
              <w:top w:val="nil"/>
              <w:left w:val="nil"/>
              <w:bottom w:val="single" w:color="auto" w:sz="4" w:space="0"/>
              <w:right w:val="single" w:color="auto" w:sz="4" w:space="0"/>
            </w:tcBorders>
            <w:vAlign w:val="center"/>
          </w:tcPr>
          <w:p w14:paraId="3C4031E0">
            <w:pPr>
              <w:spacing w:before="72" w:beforeLines="30" w:after="72" w:afterLines="30"/>
              <w:jc w:val="both"/>
              <w:rPr>
                <w:szCs w:val="24"/>
                <w:lang w:eastAsia="pt-BR"/>
              </w:rPr>
            </w:pPr>
            <w:r>
              <w:rPr>
                <w:szCs w:val="24"/>
                <w:lang w:eastAsia="pt-BR"/>
              </w:rPr>
              <w:t>ARLA 32 (Agemte Redutor Líquido de Emissão Automotivas)</w:t>
            </w:r>
          </w:p>
        </w:tc>
        <w:tc>
          <w:tcPr>
            <w:tcW w:w="840" w:type="dxa"/>
            <w:tcBorders>
              <w:top w:val="nil"/>
              <w:left w:val="nil"/>
              <w:bottom w:val="single" w:color="auto" w:sz="4" w:space="0"/>
              <w:right w:val="single" w:color="auto" w:sz="4" w:space="0"/>
            </w:tcBorders>
            <w:vAlign w:val="center"/>
          </w:tcPr>
          <w:p w14:paraId="05C61F91">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1CB5B234">
            <w:pPr>
              <w:spacing w:before="72" w:beforeLines="30" w:after="72" w:afterLines="30"/>
              <w:jc w:val="both"/>
              <w:rPr>
                <w:szCs w:val="24"/>
                <w:lang w:eastAsia="pt-BR"/>
              </w:rPr>
            </w:pPr>
            <w:r>
              <w:rPr>
                <w:szCs w:val="24"/>
                <w:lang w:eastAsia="pt-BR"/>
              </w:rPr>
              <w:t>6500</w:t>
            </w:r>
          </w:p>
        </w:tc>
      </w:tr>
    </w:tbl>
    <w:p w14:paraId="7B3939F6">
      <w:pPr>
        <w:pStyle w:val="50"/>
        <w:spacing w:before="72" w:beforeLines="30" w:after="72" w:afterLines="30"/>
        <w:jc w:val="both"/>
        <w:rPr>
          <w:b/>
          <w:bCs/>
        </w:rPr>
      </w:pPr>
    </w:p>
    <w:p w14:paraId="681C733E">
      <w:pPr>
        <w:pStyle w:val="50"/>
        <w:spacing w:before="72" w:beforeLines="30" w:after="72" w:afterLines="30"/>
        <w:jc w:val="both"/>
        <w:rPr>
          <w:b/>
          <w:bCs/>
        </w:rPr>
      </w:pPr>
      <w:r>
        <w:rPr>
          <w:b/>
          <w:bCs/>
        </w:rPr>
        <w:t>3.2 Os requisitos da contratação abrangem o seguinte:</w:t>
      </w:r>
    </w:p>
    <w:p w14:paraId="267DEEE3">
      <w:pPr>
        <w:pStyle w:val="50"/>
        <w:numPr>
          <w:ilvl w:val="0"/>
          <w:numId w:val="10"/>
        </w:numPr>
        <w:suppressAutoHyphens w:val="0"/>
        <w:autoSpaceDE w:val="0"/>
        <w:autoSpaceDN w:val="0"/>
        <w:adjustRightInd w:val="0"/>
        <w:spacing w:before="72" w:beforeLines="30" w:after="72" w:afterLines="30"/>
        <w:ind w:left="0" w:firstLine="0"/>
        <w:jc w:val="both"/>
        <w:rPr>
          <w:bCs/>
        </w:rPr>
      </w:pPr>
      <w:r>
        <w:rPr>
          <w:bCs/>
        </w:rPr>
        <w:t>Que o fornecimento de combustível seja realizado no Município de Sidrolândia estado de Mato Grosso do Sul.</w:t>
      </w:r>
    </w:p>
    <w:p w14:paraId="48423A61">
      <w:pPr>
        <w:pStyle w:val="49"/>
        <w:numPr>
          <w:ilvl w:val="0"/>
          <w:numId w:val="10"/>
        </w:numPr>
        <w:suppressAutoHyphens w:val="0"/>
        <w:spacing w:before="72" w:beforeLines="30" w:after="72" w:afterLines="30"/>
        <w:ind w:left="0" w:firstLine="0"/>
        <w:jc w:val="both"/>
        <w:rPr>
          <w:b/>
          <w:bCs/>
          <w:i/>
          <w:iCs/>
          <w:szCs w:val="24"/>
          <w:lang w:eastAsia="pt-BR"/>
        </w:rPr>
      </w:pPr>
      <w:r>
        <w:rPr>
          <w:szCs w:val="24"/>
          <w:lang w:eastAsia="pt-BR"/>
        </w:rPr>
        <w:t>Os abastecimentos de combustíveis/Arla deverão ser disponibilizados 24 horas por dia, incluindo finais de semana e feriados, considerando as necessidades de algumas secretarias, como exemplo ambulâncias da secretaria de saúde.</w:t>
      </w:r>
    </w:p>
    <w:p w14:paraId="2FC672C1">
      <w:pPr>
        <w:pStyle w:val="49"/>
        <w:spacing w:before="72" w:beforeLines="30" w:after="72" w:afterLines="30"/>
        <w:ind w:left="0"/>
        <w:jc w:val="both"/>
        <w:rPr>
          <w:b/>
          <w:bCs/>
          <w:i/>
          <w:iCs/>
          <w:szCs w:val="24"/>
          <w:lang w:eastAsia="pt-BR"/>
        </w:rPr>
      </w:pPr>
    </w:p>
    <w:p w14:paraId="6B2D35F2">
      <w:pPr>
        <w:spacing w:before="72" w:beforeLines="30" w:after="72" w:afterLines="30"/>
        <w:jc w:val="both"/>
        <w:rPr>
          <w:b/>
          <w:bCs/>
          <w:szCs w:val="24"/>
        </w:rPr>
      </w:pPr>
      <w:r>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407B6AF7">
      <w:pPr>
        <w:spacing w:before="72" w:beforeLines="30" w:after="72" w:afterLines="30"/>
        <w:jc w:val="both"/>
        <w:rPr>
          <w:szCs w:val="24"/>
        </w:rPr>
      </w:pPr>
      <w:r>
        <w:rPr>
          <w:szCs w:val="24"/>
        </w:rPr>
        <w:t>O quantitativo foi estimado de acordo com o licitado e executado no ano anterior, conforme relatório no ANEXO I e também em levando em consideração os veículos/máquinas automotores (ANEXO II) e que em virtude de aquisição ou desfazimento de bens, os quantitativos poderão sofrer alterações no decorrer da execução contratual levando em consideração o período de 12 (doze) meses de vigência.</w:t>
      </w:r>
    </w:p>
    <w:p w14:paraId="59C36EDB">
      <w:pPr>
        <w:pStyle w:val="25"/>
        <w:spacing w:before="72" w:beforeLines="30" w:beforeAutospacing="0" w:after="72" w:afterLines="30" w:afterAutospacing="0"/>
        <w:jc w:val="both"/>
      </w:pPr>
      <w:r>
        <w:t xml:space="preserve">                Considerando que, nas licitações anteriores, o objeto contemplava apenas o fornecimento de Diesel S10 e gasolina comum, registra-se que, após a renovação e ampliação da frota municipal, houve a incorporação de veículos que demandam o uso do reagente ARLA 32, bem como a necessidade de utilização de diesel comum por determinados veículos que passaram a realizar deslocamentos frequentes até o município de Campo Grande/MS.</w:t>
      </w:r>
    </w:p>
    <w:p w14:paraId="39809B54">
      <w:pPr>
        <w:pStyle w:val="25"/>
        <w:spacing w:before="72" w:beforeLines="30" w:beforeAutospacing="0" w:after="72" w:afterLines="30" w:afterAutospacing="0"/>
        <w:jc w:val="both"/>
      </w:pPr>
      <w:r>
        <w:t xml:space="preserve">                Em razão dessa alteração no perfil da frota e das rotinas operacionais do Município, verificou-se a necessidade de inclusão dos itens Diesel Comum e ARLA 32 na presente contratação, a fim de atender adequadamente às demandas atuais de abastecimento.</w:t>
      </w:r>
    </w:p>
    <w:p w14:paraId="15D3C234">
      <w:pPr>
        <w:pStyle w:val="25"/>
        <w:spacing w:before="72" w:beforeLines="30" w:beforeAutospacing="0" w:after="72" w:afterLines="30" w:afterAutospacing="0"/>
        <w:jc w:val="both"/>
      </w:pPr>
      <w:r>
        <w:t xml:space="preserve">                Ressalta-se que, em caráter transitório, foi realizada contratação específica e independente para o fornecimento de Diesel Comum e ARLA 32, com o objetivo de assegurar a continuidade dos serviços públicos até a realização de nova licitação contemplando todos os itens de forma unificada.</w:t>
      </w:r>
    </w:p>
    <w:p w14:paraId="77CE12D0">
      <w:pPr>
        <w:pStyle w:val="25"/>
        <w:spacing w:before="72" w:beforeLines="30" w:beforeAutospacing="0" w:after="72" w:afterLines="30" w:afterAutospacing="0"/>
        <w:jc w:val="both"/>
      </w:pPr>
      <w:r>
        <w:t xml:space="preserve">                A consolidação dos itens em um único procedimento licitatório proporciona maior eficiência administrativa, padronização contratual e melhor controle do consumo e da execução contratual, contribuindo para a otimização dos processos de gestão e fiscalização dos abastecimentos da frota municipal. </w:t>
      </w:r>
    </w:p>
    <w:tbl>
      <w:tblPr>
        <w:tblStyle w:val="12"/>
        <w:tblW w:w="7460" w:type="dxa"/>
        <w:tblInd w:w="0" w:type="dxa"/>
        <w:tblLayout w:type="autofit"/>
        <w:tblCellMar>
          <w:top w:w="0" w:type="dxa"/>
          <w:left w:w="70" w:type="dxa"/>
          <w:bottom w:w="0" w:type="dxa"/>
          <w:right w:w="70" w:type="dxa"/>
        </w:tblCellMar>
      </w:tblPr>
      <w:tblGrid>
        <w:gridCol w:w="781"/>
        <w:gridCol w:w="3637"/>
        <w:gridCol w:w="1261"/>
        <w:gridCol w:w="1781"/>
      </w:tblGrid>
      <w:tr w14:paraId="0FA27E35">
        <w:tblPrEx>
          <w:tblCellMar>
            <w:top w:w="0" w:type="dxa"/>
            <w:left w:w="70" w:type="dxa"/>
            <w:bottom w:w="0" w:type="dxa"/>
            <w:right w:w="70" w:type="dxa"/>
          </w:tblCellMar>
        </w:tblPrEx>
        <w:trPr>
          <w:trHeight w:val="495" w:hRule="atLeast"/>
        </w:trPr>
        <w:tc>
          <w:tcPr>
            <w:tcW w:w="520" w:type="dxa"/>
            <w:tcBorders>
              <w:top w:val="single" w:color="auto" w:sz="4" w:space="0"/>
              <w:left w:val="single" w:color="auto" w:sz="4" w:space="0"/>
              <w:bottom w:val="single" w:color="auto" w:sz="4" w:space="0"/>
              <w:right w:val="single" w:color="auto" w:sz="4" w:space="0"/>
            </w:tcBorders>
            <w:vAlign w:val="center"/>
          </w:tcPr>
          <w:p w14:paraId="37B4B22B">
            <w:pPr>
              <w:spacing w:before="72" w:beforeLines="30" w:after="72" w:afterLines="30"/>
              <w:jc w:val="both"/>
              <w:rPr>
                <w:b/>
                <w:bCs/>
                <w:szCs w:val="24"/>
                <w:lang w:eastAsia="pt-BR"/>
              </w:rPr>
            </w:pPr>
            <w:r>
              <w:rPr>
                <w:b/>
                <w:bCs/>
                <w:szCs w:val="24"/>
                <w:lang w:eastAsia="pt-BR"/>
              </w:rPr>
              <w:t>ITEM</w:t>
            </w:r>
          </w:p>
        </w:tc>
        <w:tc>
          <w:tcPr>
            <w:tcW w:w="5260" w:type="dxa"/>
            <w:tcBorders>
              <w:top w:val="single" w:color="auto" w:sz="4" w:space="0"/>
              <w:left w:val="nil"/>
              <w:bottom w:val="single" w:color="auto" w:sz="4" w:space="0"/>
              <w:right w:val="single" w:color="auto" w:sz="4" w:space="0"/>
            </w:tcBorders>
            <w:vAlign w:val="center"/>
          </w:tcPr>
          <w:p w14:paraId="2A23F829">
            <w:pPr>
              <w:spacing w:before="72" w:beforeLines="30" w:after="72" w:afterLines="30"/>
              <w:jc w:val="both"/>
              <w:rPr>
                <w:b/>
                <w:bCs/>
                <w:szCs w:val="24"/>
                <w:lang w:eastAsia="pt-BR"/>
              </w:rPr>
            </w:pPr>
            <w:r>
              <w:rPr>
                <w:b/>
                <w:bCs/>
                <w:szCs w:val="24"/>
                <w:lang w:eastAsia="pt-BR"/>
              </w:rPr>
              <w:t>PRODUTO / SERVIÇO</w:t>
            </w:r>
          </w:p>
        </w:tc>
        <w:tc>
          <w:tcPr>
            <w:tcW w:w="840" w:type="dxa"/>
            <w:tcBorders>
              <w:top w:val="single" w:color="auto" w:sz="4" w:space="0"/>
              <w:left w:val="nil"/>
              <w:bottom w:val="single" w:color="auto" w:sz="4" w:space="0"/>
              <w:right w:val="single" w:color="auto" w:sz="4" w:space="0"/>
            </w:tcBorders>
            <w:vAlign w:val="center"/>
          </w:tcPr>
          <w:p w14:paraId="40F3FCE2">
            <w:pPr>
              <w:spacing w:before="72" w:beforeLines="30" w:after="72" w:afterLines="30"/>
              <w:jc w:val="both"/>
              <w:rPr>
                <w:b/>
                <w:bCs/>
                <w:szCs w:val="24"/>
                <w:lang w:eastAsia="pt-BR"/>
              </w:rPr>
            </w:pPr>
            <w:r>
              <w:rPr>
                <w:b/>
                <w:bCs/>
                <w:szCs w:val="24"/>
                <w:lang w:eastAsia="pt-BR"/>
              </w:rPr>
              <w:t>UNIDADE</w:t>
            </w:r>
          </w:p>
        </w:tc>
        <w:tc>
          <w:tcPr>
            <w:tcW w:w="840" w:type="dxa"/>
            <w:tcBorders>
              <w:top w:val="single" w:color="auto" w:sz="4" w:space="0"/>
              <w:left w:val="nil"/>
              <w:bottom w:val="single" w:color="auto" w:sz="4" w:space="0"/>
              <w:right w:val="single" w:color="auto" w:sz="4" w:space="0"/>
            </w:tcBorders>
            <w:vAlign w:val="center"/>
          </w:tcPr>
          <w:p w14:paraId="6B394895">
            <w:pPr>
              <w:spacing w:before="72" w:beforeLines="30" w:after="72" w:afterLines="30"/>
              <w:jc w:val="both"/>
              <w:rPr>
                <w:b/>
                <w:bCs/>
                <w:szCs w:val="24"/>
                <w:lang w:eastAsia="pt-BR"/>
              </w:rPr>
            </w:pPr>
            <w:r>
              <w:rPr>
                <w:b/>
                <w:bCs/>
                <w:szCs w:val="24"/>
                <w:lang w:eastAsia="pt-BR"/>
              </w:rPr>
              <w:t>QUANTIDADE</w:t>
            </w:r>
          </w:p>
        </w:tc>
      </w:tr>
      <w:tr w14:paraId="52DA045B">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67D07751">
            <w:pPr>
              <w:spacing w:before="72" w:beforeLines="30" w:after="72" w:afterLines="30"/>
              <w:jc w:val="both"/>
              <w:rPr>
                <w:szCs w:val="24"/>
                <w:lang w:eastAsia="pt-BR"/>
              </w:rPr>
            </w:pPr>
            <w:r>
              <w:rPr>
                <w:szCs w:val="24"/>
                <w:lang w:eastAsia="pt-BR"/>
              </w:rPr>
              <w:t>1</w:t>
            </w:r>
          </w:p>
        </w:tc>
        <w:tc>
          <w:tcPr>
            <w:tcW w:w="5260" w:type="dxa"/>
            <w:tcBorders>
              <w:top w:val="nil"/>
              <w:left w:val="nil"/>
              <w:bottom w:val="single" w:color="auto" w:sz="4" w:space="0"/>
              <w:right w:val="single" w:color="auto" w:sz="4" w:space="0"/>
            </w:tcBorders>
            <w:vAlign w:val="center"/>
          </w:tcPr>
          <w:p w14:paraId="437E43E1">
            <w:pPr>
              <w:spacing w:before="72" w:beforeLines="30" w:after="72" w:afterLines="30"/>
              <w:jc w:val="both"/>
              <w:rPr>
                <w:szCs w:val="24"/>
                <w:lang w:eastAsia="pt-BR"/>
              </w:rPr>
            </w:pPr>
            <w:r>
              <w:rPr>
                <w:szCs w:val="24"/>
                <w:lang w:eastAsia="pt-BR"/>
              </w:rPr>
              <w:t>DIESEL COMUM</w:t>
            </w:r>
          </w:p>
        </w:tc>
        <w:tc>
          <w:tcPr>
            <w:tcW w:w="840" w:type="dxa"/>
            <w:tcBorders>
              <w:top w:val="nil"/>
              <w:left w:val="nil"/>
              <w:bottom w:val="single" w:color="auto" w:sz="4" w:space="0"/>
              <w:right w:val="single" w:color="auto" w:sz="4" w:space="0"/>
            </w:tcBorders>
            <w:vAlign w:val="center"/>
          </w:tcPr>
          <w:p w14:paraId="5DFEE654">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16D70B52">
            <w:pPr>
              <w:spacing w:before="72" w:beforeLines="30" w:after="72" w:afterLines="30"/>
              <w:jc w:val="both"/>
              <w:rPr>
                <w:szCs w:val="24"/>
                <w:lang w:eastAsia="pt-BR"/>
              </w:rPr>
            </w:pPr>
            <w:r>
              <w:rPr>
                <w:szCs w:val="24"/>
                <w:lang w:eastAsia="pt-BR"/>
              </w:rPr>
              <w:t>8000</w:t>
            </w:r>
          </w:p>
        </w:tc>
      </w:tr>
      <w:tr w14:paraId="6BC8A9DA">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10E60069">
            <w:pPr>
              <w:spacing w:before="72" w:beforeLines="30" w:after="72" w:afterLines="30"/>
              <w:jc w:val="both"/>
              <w:rPr>
                <w:szCs w:val="24"/>
                <w:lang w:eastAsia="pt-BR"/>
              </w:rPr>
            </w:pPr>
            <w:r>
              <w:rPr>
                <w:szCs w:val="24"/>
                <w:lang w:eastAsia="pt-BR"/>
              </w:rPr>
              <w:t>2</w:t>
            </w:r>
          </w:p>
        </w:tc>
        <w:tc>
          <w:tcPr>
            <w:tcW w:w="5260" w:type="dxa"/>
            <w:tcBorders>
              <w:top w:val="nil"/>
              <w:left w:val="nil"/>
              <w:bottom w:val="single" w:color="auto" w:sz="4" w:space="0"/>
              <w:right w:val="single" w:color="auto" w:sz="4" w:space="0"/>
            </w:tcBorders>
            <w:vAlign w:val="center"/>
          </w:tcPr>
          <w:p w14:paraId="62AA7E74">
            <w:pPr>
              <w:spacing w:before="72" w:beforeLines="30" w:after="72" w:afterLines="30"/>
              <w:jc w:val="both"/>
              <w:rPr>
                <w:szCs w:val="24"/>
                <w:lang w:eastAsia="pt-BR"/>
              </w:rPr>
            </w:pPr>
            <w:r>
              <w:rPr>
                <w:szCs w:val="24"/>
                <w:lang w:eastAsia="pt-BR"/>
              </w:rPr>
              <w:t>DIESEL S10</w:t>
            </w:r>
          </w:p>
        </w:tc>
        <w:tc>
          <w:tcPr>
            <w:tcW w:w="840" w:type="dxa"/>
            <w:tcBorders>
              <w:top w:val="nil"/>
              <w:left w:val="nil"/>
              <w:bottom w:val="single" w:color="auto" w:sz="4" w:space="0"/>
              <w:right w:val="single" w:color="auto" w:sz="4" w:space="0"/>
            </w:tcBorders>
            <w:vAlign w:val="center"/>
          </w:tcPr>
          <w:p w14:paraId="41C21ED4">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4F257A10">
            <w:pPr>
              <w:spacing w:before="72" w:beforeLines="30" w:after="72" w:afterLines="30"/>
              <w:jc w:val="both"/>
              <w:rPr>
                <w:szCs w:val="24"/>
                <w:lang w:eastAsia="pt-BR"/>
              </w:rPr>
            </w:pPr>
            <w:r>
              <w:rPr>
                <w:szCs w:val="24"/>
                <w:lang w:eastAsia="pt-BR"/>
              </w:rPr>
              <w:t>97000</w:t>
            </w:r>
          </w:p>
        </w:tc>
      </w:tr>
      <w:tr w14:paraId="33D62B98">
        <w:tblPrEx>
          <w:tblCellMar>
            <w:top w:w="0" w:type="dxa"/>
            <w:left w:w="70" w:type="dxa"/>
            <w:bottom w:w="0" w:type="dxa"/>
            <w:right w:w="70" w:type="dxa"/>
          </w:tblCellMar>
        </w:tblPrEx>
        <w:trPr>
          <w:trHeight w:val="284" w:hRule="atLeast"/>
        </w:trPr>
        <w:tc>
          <w:tcPr>
            <w:tcW w:w="520" w:type="dxa"/>
            <w:tcBorders>
              <w:top w:val="nil"/>
              <w:left w:val="single" w:color="auto" w:sz="4" w:space="0"/>
              <w:bottom w:val="single" w:color="auto" w:sz="4" w:space="0"/>
              <w:right w:val="single" w:color="auto" w:sz="4" w:space="0"/>
            </w:tcBorders>
            <w:vAlign w:val="center"/>
          </w:tcPr>
          <w:p w14:paraId="0C28FB92">
            <w:pPr>
              <w:spacing w:before="72" w:beforeLines="30" w:after="72" w:afterLines="30"/>
              <w:jc w:val="both"/>
              <w:rPr>
                <w:szCs w:val="24"/>
                <w:lang w:eastAsia="pt-BR"/>
              </w:rPr>
            </w:pPr>
            <w:r>
              <w:rPr>
                <w:szCs w:val="24"/>
                <w:lang w:eastAsia="pt-BR"/>
              </w:rPr>
              <w:t>3</w:t>
            </w:r>
          </w:p>
        </w:tc>
        <w:tc>
          <w:tcPr>
            <w:tcW w:w="5260" w:type="dxa"/>
            <w:tcBorders>
              <w:top w:val="nil"/>
              <w:left w:val="nil"/>
              <w:bottom w:val="single" w:color="auto" w:sz="4" w:space="0"/>
              <w:right w:val="single" w:color="auto" w:sz="4" w:space="0"/>
            </w:tcBorders>
            <w:vAlign w:val="center"/>
          </w:tcPr>
          <w:p w14:paraId="1B47CEC2">
            <w:pPr>
              <w:spacing w:before="72" w:beforeLines="30" w:after="72" w:afterLines="30"/>
              <w:jc w:val="both"/>
              <w:rPr>
                <w:szCs w:val="24"/>
                <w:lang w:eastAsia="pt-BR"/>
              </w:rPr>
            </w:pPr>
            <w:r>
              <w:rPr>
                <w:szCs w:val="24"/>
                <w:lang w:eastAsia="pt-BR"/>
              </w:rPr>
              <w:t>GASOLINA COMUM</w:t>
            </w:r>
          </w:p>
        </w:tc>
        <w:tc>
          <w:tcPr>
            <w:tcW w:w="840" w:type="dxa"/>
            <w:tcBorders>
              <w:top w:val="nil"/>
              <w:left w:val="nil"/>
              <w:bottom w:val="single" w:color="auto" w:sz="4" w:space="0"/>
              <w:right w:val="single" w:color="auto" w:sz="4" w:space="0"/>
            </w:tcBorders>
            <w:vAlign w:val="center"/>
          </w:tcPr>
          <w:p w14:paraId="2CD39D3A">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4D438F1D">
            <w:pPr>
              <w:spacing w:before="72" w:beforeLines="30" w:after="72" w:afterLines="30"/>
              <w:jc w:val="both"/>
              <w:rPr>
                <w:szCs w:val="24"/>
                <w:lang w:eastAsia="pt-BR"/>
              </w:rPr>
            </w:pPr>
            <w:r>
              <w:rPr>
                <w:szCs w:val="24"/>
                <w:lang w:eastAsia="pt-BR"/>
              </w:rPr>
              <w:t>41500</w:t>
            </w:r>
          </w:p>
        </w:tc>
      </w:tr>
      <w:tr w14:paraId="5E76C01D">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3A533AD0">
            <w:pPr>
              <w:spacing w:before="72" w:beforeLines="30" w:after="72" w:afterLines="30"/>
              <w:jc w:val="both"/>
              <w:rPr>
                <w:szCs w:val="24"/>
                <w:lang w:eastAsia="pt-BR"/>
              </w:rPr>
            </w:pPr>
            <w:r>
              <w:rPr>
                <w:szCs w:val="24"/>
                <w:lang w:eastAsia="pt-BR"/>
              </w:rPr>
              <w:t>4</w:t>
            </w:r>
          </w:p>
        </w:tc>
        <w:tc>
          <w:tcPr>
            <w:tcW w:w="5260" w:type="dxa"/>
            <w:tcBorders>
              <w:top w:val="nil"/>
              <w:left w:val="nil"/>
              <w:bottom w:val="single" w:color="auto" w:sz="4" w:space="0"/>
              <w:right w:val="single" w:color="auto" w:sz="4" w:space="0"/>
            </w:tcBorders>
            <w:vAlign w:val="center"/>
          </w:tcPr>
          <w:p w14:paraId="26041A2D">
            <w:pPr>
              <w:spacing w:before="72" w:beforeLines="30" w:after="72" w:afterLines="30"/>
              <w:jc w:val="both"/>
              <w:rPr>
                <w:szCs w:val="24"/>
                <w:lang w:eastAsia="pt-BR"/>
              </w:rPr>
            </w:pPr>
            <w:r>
              <w:rPr>
                <w:szCs w:val="24"/>
                <w:lang w:eastAsia="pt-BR"/>
              </w:rPr>
              <w:t>ARLA 32 (Agemte Redutor Líquido de Emissão Automotivas)</w:t>
            </w:r>
          </w:p>
        </w:tc>
        <w:tc>
          <w:tcPr>
            <w:tcW w:w="840" w:type="dxa"/>
            <w:tcBorders>
              <w:top w:val="nil"/>
              <w:left w:val="nil"/>
              <w:bottom w:val="single" w:color="auto" w:sz="4" w:space="0"/>
              <w:right w:val="single" w:color="auto" w:sz="4" w:space="0"/>
            </w:tcBorders>
            <w:vAlign w:val="center"/>
          </w:tcPr>
          <w:p w14:paraId="066CF74F">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1D5845B4">
            <w:pPr>
              <w:spacing w:before="72" w:beforeLines="30" w:after="72" w:afterLines="30"/>
              <w:jc w:val="both"/>
              <w:rPr>
                <w:szCs w:val="24"/>
                <w:lang w:eastAsia="pt-BR"/>
              </w:rPr>
            </w:pPr>
            <w:r>
              <w:rPr>
                <w:szCs w:val="24"/>
                <w:lang w:eastAsia="pt-BR"/>
              </w:rPr>
              <w:t>6500</w:t>
            </w:r>
          </w:p>
        </w:tc>
      </w:tr>
    </w:tbl>
    <w:p w14:paraId="0CB4FB72">
      <w:pPr>
        <w:pStyle w:val="98"/>
        <w:spacing w:before="72" w:beforeLines="30" w:beforeAutospacing="0" w:after="72" w:afterLines="30" w:afterAutospacing="0"/>
        <w:jc w:val="both"/>
        <w:rPr>
          <w:b/>
          <w:bCs/>
        </w:rPr>
      </w:pPr>
    </w:p>
    <w:p w14:paraId="161EEEE7">
      <w:pPr>
        <w:pStyle w:val="98"/>
        <w:spacing w:before="72" w:beforeLines="30" w:beforeAutospacing="0" w:after="72" w:afterLines="30" w:afterAutospacing="0"/>
        <w:jc w:val="both"/>
        <w:rPr>
          <w:b/>
          <w:bCs/>
        </w:rPr>
      </w:pPr>
      <w:r>
        <w:rPr>
          <w:b/>
          <w:bCs/>
        </w:rPr>
        <w:t>V - Levantamento de mercado, que consiste na análise das alternativas possíveis, e justificativa técnica e econômica da escolha do tipo de solução a contratar.</w:t>
      </w:r>
    </w:p>
    <w:p w14:paraId="3BBFC705">
      <w:pPr>
        <w:pStyle w:val="25"/>
        <w:spacing w:before="72" w:beforeLines="30" w:beforeAutospacing="0" w:after="72" w:afterLines="30" w:afterAutospacing="0"/>
        <w:jc w:val="both"/>
      </w:pPr>
      <w:r>
        <w:t xml:space="preserve">                 Para a presente contratação, procedeu-se ao levantamento de mercado com o objetivo de identificar as alternativas disponíveis e aferir a viabilidade técnica e econômica da contratação destinada ao fornecimento de combustíveis para atendimento das demandas da frota oficial do Município de Caracol/MS.</w:t>
      </w:r>
    </w:p>
    <w:p w14:paraId="4742E002">
      <w:pPr>
        <w:pStyle w:val="25"/>
        <w:spacing w:before="72" w:beforeLines="30" w:beforeAutospacing="0" w:after="72" w:afterLines="30" w:afterAutospacing="0"/>
        <w:jc w:val="both"/>
      </w:pPr>
      <w:r>
        <w:t xml:space="preserve">                 Conforme previamente exposto, considerando a distância entre o Município de Caracol e a cidade de Campo Grande/MS — destino frequente para cumprimento de agendas administrativas, capacitações técnicas e deslocamentos de pacientes para atendimentos especializados — verifica-se a impossibilidade operacional de realização do percurso integral apenas com o abastecimento efetuado no ponto de origem, tornando necessária a contratação de fornecimento intermediário ao longo da rota.</w:t>
      </w:r>
    </w:p>
    <w:p w14:paraId="6B989AB8">
      <w:pPr>
        <w:pStyle w:val="25"/>
        <w:spacing w:before="72" w:beforeLines="30" w:beforeAutospacing="0" w:after="72" w:afterLines="30" w:afterAutospacing="0"/>
        <w:jc w:val="both"/>
      </w:pPr>
      <w:r>
        <w:t xml:space="preserve">                Os combustíveis objeto da contratação constituem produtos de livre comercialização no mercado nacional e serão fornecidos diretamente nas bombas de abastecimento do estabelecimento contratado, não demandando adaptações técnicas ou operacionais específicas nos veículos da frota municipal. Dessa forma, a contratação não impõe restrições técnicas à participação de empresas do ramo, assegurando ampla competitividade no certame.</w:t>
      </w:r>
    </w:p>
    <w:p w14:paraId="5874778F">
      <w:pPr>
        <w:pStyle w:val="25"/>
        <w:spacing w:before="72" w:beforeLines="30" w:beforeAutospacing="0" w:after="72" w:afterLines="30" w:afterAutospacing="0"/>
        <w:jc w:val="both"/>
      </w:pPr>
      <w:r>
        <w:t xml:space="preserve">                O levantamento de mercado foi realizado por meio de consultas a fornecedores locais e regionais, análise de preços registrados em contratações públicas semelhantes e consultas a sistemas oficiais de compras públicas, a exemplo do Painel de Preços do Governo Federal, permitindo aferir os valores médios praticados e as condições usuais de fornecimento no mercado.</w:t>
      </w:r>
    </w:p>
    <w:p w14:paraId="071B8663">
      <w:pPr>
        <w:pStyle w:val="25"/>
        <w:spacing w:before="72" w:beforeLines="30" w:beforeAutospacing="0" w:after="72" w:afterLines="30" w:afterAutospacing="0"/>
        <w:jc w:val="both"/>
      </w:pPr>
      <w:r>
        <w:t xml:space="preserve">                Diante do fluxo recorrente de deslocamentos oficiais pela rodovia que interliga Caracol a Campo Grande, estabelece-se como requisito operacional que as empresas participantes disponham de estabelecimento comercial localizado no município de Sidrolândia/MS, ponto estratégico de abastecimento na rota utilizada pela frota municipal, bem como ofereçam atendimento ininterrupto, em regime de 24 (vinte e quatro) horas, garantindo a continuidade dos serviços públicos, especialmente nas situações de urgência relacionadas ao transporte de pacientes e demais demandas institucionais.</w:t>
      </w:r>
    </w:p>
    <w:p w14:paraId="60742AF1">
      <w:pPr>
        <w:pStyle w:val="25"/>
        <w:spacing w:before="72" w:beforeLines="30" w:beforeAutospacing="0" w:after="72" w:afterLines="30" w:afterAutospacing="0"/>
        <w:jc w:val="both"/>
      </w:pPr>
    </w:p>
    <w:p w14:paraId="45FF4AD9">
      <w:pPr>
        <w:spacing w:before="72" w:beforeLines="30" w:after="72" w:afterLines="30"/>
        <w:jc w:val="both"/>
        <w:rPr>
          <w:b/>
          <w:bCs/>
          <w:szCs w:val="24"/>
        </w:rPr>
      </w:pPr>
      <w:bookmarkStart w:id="10" w:name="_Hlk72227488"/>
      <w:r>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10"/>
    <w:p w14:paraId="6DE73A3A">
      <w:pPr>
        <w:spacing w:before="72" w:beforeLines="30" w:after="72" w:afterLines="30"/>
        <w:jc w:val="both"/>
        <w:rPr>
          <w:color w:val="000000"/>
          <w:szCs w:val="24"/>
        </w:rPr>
      </w:pPr>
      <w:r>
        <w:rPr>
          <w:color w:val="000000"/>
          <w:szCs w:val="24"/>
        </w:rPr>
        <w:t xml:space="preserve">                O Valor estipulado para esta contratação é de R$ 1.010.255,00(um milhão e 10 mil e duzentos e cinquenta e cinco reais) conforme planilha abaixo:</w:t>
      </w:r>
    </w:p>
    <w:tbl>
      <w:tblPr>
        <w:tblStyle w:val="12"/>
        <w:tblW w:w="8520" w:type="dxa"/>
        <w:tblInd w:w="0" w:type="dxa"/>
        <w:tblLayout w:type="autofit"/>
        <w:tblCellMar>
          <w:top w:w="0" w:type="dxa"/>
          <w:left w:w="70" w:type="dxa"/>
          <w:bottom w:w="0" w:type="dxa"/>
          <w:right w:w="70" w:type="dxa"/>
        </w:tblCellMar>
      </w:tblPr>
      <w:tblGrid>
        <w:gridCol w:w="781"/>
        <w:gridCol w:w="2110"/>
        <w:gridCol w:w="1261"/>
        <w:gridCol w:w="1781"/>
        <w:gridCol w:w="1367"/>
        <w:gridCol w:w="1220"/>
      </w:tblGrid>
      <w:tr w14:paraId="6C321888">
        <w:tblPrEx>
          <w:tblCellMar>
            <w:top w:w="0" w:type="dxa"/>
            <w:left w:w="70" w:type="dxa"/>
            <w:bottom w:w="0" w:type="dxa"/>
            <w:right w:w="70" w:type="dxa"/>
          </w:tblCellMar>
        </w:tblPrEx>
        <w:trPr>
          <w:trHeight w:val="495" w:hRule="atLeast"/>
        </w:trPr>
        <w:tc>
          <w:tcPr>
            <w:tcW w:w="520" w:type="dxa"/>
            <w:tcBorders>
              <w:top w:val="single" w:color="auto" w:sz="4" w:space="0"/>
              <w:left w:val="single" w:color="auto" w:sz="4" w:space="0"/>
              <w:bottom w:val="single" w:color="auto" w:sz="4" w:space="0"/>
              <w:right w:val="single" w:color="auto" w:sz="4" w:space="0"/>
            </w:tcBorders>
            <w:vAlign w:val="center"/>
          </w:tcPr>
          <w:p w14:paraId="5AB1A347">
            <w:pPr>
              <w:spacing w:before="72" w:beforeLines="30" w:after="72" w:afterLines="30"/>
              <w:jc w:val="both"/>
              <w:rPr>
                <w:b/>
                <w:bCs/>
                <w:szCs w:val="24"/>
                <w:lang w:eastAsia="pt-BR"/>
              </w:rPr>
            </w:pPr>
            <w:r>
              <w:rPr>
                <w:b/>
                <w:bCs/>
                <w:szCs w:val="24"/>
                <w:lang w:eastAsia="pt-BR"/>
              </w:rPr>
              <w:t>ITEM</w:t>
            </w:r>
          </w:p>
        </w:tc>
        <w:tc>
          <w:tcPr>
            <w:tcW w:w="4420" w:type="dxa"/>
            <w:tcBorders>
              <w:top w:val="single" w:color="auto" w:sz="4" w:space="0"/>
              <w:left w:val="nil"/>
              <w:bottom w:val="single" w:color="auto" w:sz="4" w:space="0"/>
              <w:right w:val="single" w:color="auto" w:sz="4" w:space="0"/>
            </w:tcBorders>
            <w:vAlign w:val="center"/>
          </w:tcPr>
          <w:p w14:paraId="6BD1BD52">
            <w:pPr>
              <w:spacing w:before="72" w:beforeLines="30" w:after="72" w:afterLines="30"/>
              <w:jc w:val="both"/>
              <w:rPr>
                <w:b/>
                <w:bCs/>
                <w:szCs w:val="24"/>
                <w:lang w:eastAsia="pt-BR"/>
              </w:rPr>
            </w:pPr>
            <w:r>
              <w:rPr>
                <w:b/>
                <w:bCs/>
                <w:szCs w:val="24"/>
                <w:lang w:eastAsia="pt-BR"/>
              </w:rPr>
              <w:t>PRODUTO / SERVIÇO</w:t>
            </w:r>
          </w:p>
        </w:tc>
        <w:tc>
          <w:tcPr>
            <w:tcW w:w="840" w:type="dxa"/>
            <w:tcBorders>
              <w:top w:val="single" w:color="auto" w:sz="4" w:space="0"/>
              <w:left w:val="nil"/>
              <w:bottom w:val="single" w:color="auto" w:sz="4" w:space="0"/>
              <w:right w:val="single" w:color="auto" w:sz="4" w:space="0"/>
            </w:tcBorders>
            <w:vAlign w:val="center"/>
          </w:tcPr>
          <w:p w14:paraId="6858ED85">
            <w:pPr>
              <w:spacing w:before="72" w:beforeLines="30" w:after="72" w:afterLines="30"/>
              <w:jc w:val="both"/>
              <w:rPr>
                <w:b/>
                <w:bCs/>
                <w:szCs w:val="24"/>
                <w:lang w:eastAsia="pt-BR"/>
              </w:rPr>
            </w:pPr>
            <w:r>
              <w:rPr>
                <w:b/>
                <w:bCs/>
                <w:szCs w:val="24"/>
                <w:lang w:eastAsia="pt-BR"/>
              </w:rPr>
              <w:t>UNIDADE</w:t>
            </w:r>
          </w:p>
        </w:tc>
        <w:tc>
          <w:tcPr>
            <w:tcW w:w="840" w:type="dxa"/>
            <w:tcBorders>
              <w:top w:val="single" w:color="auto" w:sz="4" w:space="0"/>
              <w:left w:val="nil"/>
              <w:bottom w:val="single" w:color="auto" w:sz="4" w:space="0"/>
              <w:right w:val="single" w:color="auto" w:sz="4" w:space="0"/>
            </w:tcBorders>
            <w:vAlign w:val="center"/>
          </w:tcPr>
          <w:p w14:paraId="369CF589">
            <w:pPr>
              <w:spacing w:before="72" w:beforeLines="30" w:after="72" w:afterLines="30"/>
              <w:jc w:val="both"/>
              <w:rPr>
                <w:b/>
                <w:bCs/>
                <w:szCs w:val="24"/>
                <w:lang w:eastAsia="pt-BR"/>
              </w:rPr>
            </w:pPr>
            <w:r>
              <w:rPr>
                <w:b/>
                <w:bCs/>
                <w:szCs w:val="24"/>
                <w:lang w:eastAsia="pt-BR"/>
              </w:rPr>
              <w:t>QUANTIDADE</w:t>
            </w:r>
          </w:p>
        </w:tc>
        <w:tc>
          <w:tcPr>
            <w:tcW w:w="840" w:type="dxa"/>
            <w:tcBorders>
              <w:top w:val="single" w:color="auto" w:sz="4" w:space="0"/>
              <w:left w:val="nil"/>
              <w:bottom w:val="single" w:color="auto" w:sz="4" w:space="0"/>
              <w:right w:val="single" w:color="auto" w:sz="4" w:space="0"/>
            </w:tcBorders>
            <w:vAlign w:val="center"/>
          </w:tcPr>
          <w:p w14:paraId="3E846A07">
            <w:pPr>
              <w:spacing w:before="72" w:beforeLines="30" w:after="72" w:afterLines="30"/>
              <w:jc w:val="both"/>
              <w:rPr>
                <w:b/>
                <w:bCs/>
                <w:szCs w:val="24"/>
                <w:lang w:eastAsia="pt-BR"/>
              </w:rPr>
            </w:pPr>
            <w:r>
              <w:rPr>
                <w:b/>
                <w:bCs/>
                <w:szCs w:val="24"/>
                <w:lang w:eastAsia="pt-BR"/>
              </w:rPr>
              <w:t>VALOR UNITÁRIO MÁXIMO</w:t>
            </w:r>
          </w:p>
        </w:tc>
        <w:tc>
          <w:tcPr>
            <w:tcW w:w="1060" w:type="dxa"/>
            <w:tcBorders>
              <w:top w:val="single" w:color="auto" w:sz="4" w:space="0"/>
              <w:left w:val="nil"/>
              <w:bottom w:val="single" w:color="auto" w:sz="4" w:space="0"/>
              <w:right w:val="single" w:color="auto" w:sz="4" w:space="0"/>
            </w:tcBorders>
            <w:vAlign w:val="center"/>
          </w:tcPr>
          <w:p w14:paraId="78E45F8A">
            <w:pPr>
              <w:spacing w:before="72" w:beforeLines="30" w:after="72" w:afterLines="30"/>
              <w:jc w:val="both"/>
              <w:rPr>
                <w:b/>
                <w:bCs/>
                <w:szCs w:val="24"/>
                <w:lang w:eastAsia="pt-BR"/>
              </w:rPr>
            </w:pPr>
            <w:r>
              <w:rPr>
                <w:b/>
                <w:bCs/>
                <w:szCs w:val="24"/>
                <w:lang w:eastAsia="pt-BR"/>
              </w:rPr>
              <w:t>VALOR TOTAL MÁXIMO</w:t>
            </w:r>
          </w:p>
        </w:tc>
      </w:tr>
      <w:tr w14:paraId="636970D1">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58E40CB8">
            <w:pPr>
              <w:spacing w:before="72" w:beforeLines="30" w:after="72" w:afterLines="30"/>
              <w:jc w:val="both"/>
              <w:rPr>
                <w:szCs w:val="24"/>
                <w:lang w:eastAsia="pt-BR"/>
              </w:rPr>
            </w:pPr>
            <w:r>
              <w:rPr>
                <w:szCs w:val="24"/>
                <w:lang w:eastAsia="pt-BR"/>
              </w:rPr>
              <w:t>1</w:t>
            </w:r>
          </w:p>
        </w:tc>
        <w:tc>
          <w:tcPr>
            <w:tcW w:w="4420" w:type="dxa"/>
            <w:tcBorders>
              <w:top w:val="nil"/>
              <w:left w:val="nil"/>
              <w:bottom w:val="single" w:color="auto" w:sz="4" w:space="0"/>
              <w:right w:val="single" w:color="auto" w:sz="4" w:space="0"/>
            </w:tcBorders>
            <w:vAlign w:val="center"/>
          </w:tcPr>
          <w:p w14:paraId="3FC8DDAA">
            <w:pPr>
              <w:spacing w:before="72" w:beforeLines="30" w:after="72" w:afterLines="30"/>
              <w:jc w:val="both"/>
              <w:rPr>
                <w:szCs w:val="24"/>
                <w:lang w:eastAsia="pt-BR"/>
              </w:rPr>
            </w:pPr>
            <w:r>
              <w:rPr>
                <w:szCs w:val="24"/>
                <w:lang w:eastAsia="pt-BR"/>
              </w:rPr>
              <w:t>DIESEL COMUM</w:t>
            </w:r>
          </w:p>
        </w:tc>
        <w:tc>
          <w:tcPr>
            <w:tcW w:w="840" w:type="dxa"/>
            <w:tcBorders>
              <w:top w:val="nil"/>
              <w:left w:val="nil"/>
              <w:bottom w:val="single" w:color="auto" w:sz="4" w:space="0"/>
              <w:right w:val="single" w:color="auto" w:sz="4" w:space="0"/>
            </w:tcBorders>
            <w:vAlign w:val="center"/>
          </w:tcPr>
          <w:p w14:paraId="17EC8F0A">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693822A9">
            <w:pPr>
              <w:spacing w:before="72" w:beforeLines="30" w:after="72" w:afterLines="30"/>
              <w:jc w:val="both"/>
              <w:rPr>
                <w:szCs w:val="24"/>
                <w:lang w:eastAsia="pt-BR"/>
              </w:rPr>
            </w:pPr>
            <w:r>
              <w:rPr>
                <w:szCs w:val="24"/>
                <w:lang w:eastAsia="pt-BR"/>
              </w:rPr>
              <w:t>8000</w:t>
            </w:r>
          </w:p>
        </w:tc>
        <w:tc>
          <w:tcPr>
            <w:tcW w:w="840" w:type="dxa"/>
            <w:tcBorders>
              <w:top w:val="nil"/>
              <w:left w:val="nil"/>
              <w:bottom w:val="single" w:color="auto" w:sz="4" w:space="0"/>
              <w:right w:val="single" w:color="auto" w:sz="4" w:space="0"/>
            </w:tcBorders>
            <w:vAlign w:val="center"/>
          </w:tcPr>
          <w:p w14:paraId="299697CB">
            <w:pPr>
              <w:spacing w:before="72" w:beforeLines="30" w:after="72" w:afterLines="30"/>
              <w:jc w:val="both"/>
              <w:rPr>
                <w:szCs w:val="24"/>
                <w:lang w:eastAsia="pt-BR"/>
              </w:rPr>
            </w:pPr>
            <w:r>
              <w:rPr>
                <w:szCs w:val="24"/>
                <w:lang w:eastAsia="pt-BR"/>
              </w:rPr>
              <w:t>6,42</w:t>
            </w:r>
          </w:p>
        </w:tc>
        <w:tc>
          <w:tcPr>
            <w:tcW w:w="1060" w:type="dxa"/>
            <w:tcBorders>
              <w:top w:val="nil"/>
              <w:left w:val="nil"/>
              <w:bottom w:val="single" w:color="auto" w:sz="4" w:space="0"/>
              <w:right w:val="single" w:color="auto" w:sz="4" w:space="0"/>
            </w:tcBorders>
            <w:vAlign w:val="center"/>
          </w:tcPr>
          <w:p w14:paraId="114A1DE4">
            <w:pPr>
              <w:spacing w:before="72" w:beforeLines="30" w:after="72" w:afterLines="30"/>
              <w:jc w:val="both"/>
              <w:rPr>
                <w:szCs w:val="24"/>
                <w:lang w:eastAsia="pt-BR"/>
              </w:rPr>
            </w:pPr>
            <w:r>
              <w:rPr>
                <w:szCs w:val="24"/>
                <w:lang w:eastAsia="pt-BR"/>
              </w:rPr>
              <w:t>51.360,00</w:t>
            </w:r>
          </w:p>
        </w:tc>
      </w:tr>
      <w:tr w14:paraId="28AE7E79">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5F19FC95">
            <w:pPr>
              <w:spacing w:before="72" w:beforeLines="30" w:after="72" w:afterLines="30"/>
              <w:jc w:val="both"/>
              <w:rPr>
                <w:szCs w:val="24"/>
                <w:lang w:eastAsia="pt-BR"/>
              </w:rPr>
            </w:pPr>
            <w:r>
              <w:rPr>
                <w:szCs w:val="24"/>
                <w:lang w:eastAsia="pt-BR"/>
              </w:rPr>
              <w:t>2</w:t>
            </w:r>
          </w:p>
        </w:tc>
        <w:tc>
          <w:tcPr>
            <w:tcW w:w="4420" w:type="dxa"/>
            <w:tcBorders>
              <w:top w:val="nil"/>
              <w:left w:val="nil"/>
              <w:bottom w:val="single" w:color="auto" w:sz="4" w:space="0"/>
              <w:right w:val="single" w:color="auto" w:sz="4" w:space="0"/>
            </w:tcBorders>
            <w:vAlign w:val="center"/>
          </w:tcPr>
          <w:p w14:paraId="02FBC73C">
            <w:pPr>
              <w:spacing w:before="72" w:beforeLines="30" w:after="72" w:afterLines="30"/>
              <w:jc w:val="both"/>
              <w:rPr>
                <w:szCs w:val="24"/>
                <w:lang w:eastAsia="pt-BR"/>
              </w:rPr>
            </w:pPr>
            <w:r>
              <w:rPr>
                <w:szCs w:val="24"/>
                <w:lang w:eastAsia="pt-BR"/>
              </w:rPr>
              <w:t>DIESEL S10</w:t>
            </w:r>
          </w:p>
        </w:tc>
        <w:tc>
          <w:tcPr>
            <w:tcW w:w="840" w:type="dxa"/>
            <w:tcBorders>
              <w:top w:val="nil"/>
              <w:left w:val="nil"/>
              <w:bottom w:val="single" w:color="auto" w:sz="4" w:space="0"/>
              <w:right w:val="single" w:color="auto" w:sz="4" w:space="0"/>
            </w:tcBorders>
            <w:vAlign w:val="center"/>
          </w:tcPr>
          <w:p w14:paraId="1016F9E1">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5C7CDF3E">
            <w:pPr>
              <w:spacing w:before="72" w:beforeLines="30" w:after="72" w:afterLines="30"/>
              <w:jc w:val="both"/>
              <w:rPr>
                <w:szCs w:val="24"/>
                <w:lang w:eastAsia="pt-BR"/>
              </w:rPr>
            </w:pPr>
            <w:r>
              <w:rPr>
                <w:szCs w:val="24"/>
                <w:lang w:eastAsia="pt-BR"/>
              </w:rPr>
              <w:t>97000</w:t>
            </w:r>
          </w:p>
        </w:tc>
        <w:tc>
          <w:tcPr>
            <w:tcW w:w="840" w:type="dxa"/>
            <w:tcBorders>
              <w:top w:val="nil"/>
              <w:left w:val="nil"/>
              <w:bottom w:val="single" w:color="auto" w:sz="4" w:space="0"/>
              <w:right w:val="single" w:color="auto" w:sz="4" w:space="0"/>
            </w:tcBorders>
            <w:vAlign w:val="center"/>
          </w:tcPr>
          <w:p w14:paraId="3D8D2856">
            <w:pPr>
              <w:spacing w:before="72" w:beforeLines="30" w:after="72" w:afterLines="30"/>
              <w:jc w:val="both"/>
              <w:rPr>
                <w:szCs w:val="24"/>
                <w:lang w:eastAsia="pt-BR"/>
              </w:rPr>
            </w:pPr>
            <w:r>
              <w:rPr>
                <w:szCs w:val="24"/>
                <w:lang w:eastAsia="pt-BR"/>
              </w:rPr>
              <w:t>6,73</w:t>
            </w:r>
          </w:p>
        </w:tc>
        <w:tc>
          <w:tcPr>
            <w:tcW w:w="1060" w:type="dxa"/>
            <w:tcBorders>
              <w:top w:val="nil"/>
              <w:left w:val="nil"/>
              <w:bottom w:val="single" w:color="auto" w:sz="4" w:space="0"/>
              <w:right w:val="single" w:color="auto" w:sz="4" w:space="0"/>
            </w:tcBorders>
            <w:vAlign w:val="center"/>
          </w:tcPr>
          <w:p w14:paraId="6B514AC6">
            <w:pPr>
              <w:spacing w:before="72" w:beforeLines="30" w:after="72" w:afterLines="30"/>
              <w:jc w:val="both"/>
              <w:rPr>
                <w:szCs w:val="24"/>
                <w:lang w:eastAsia="pt-BR"/>
              </w:rPr>
            </w:pPr>
            <w:r>
              <w:rPr>
                <w:szCs w:val="24"/>
                <w:lang w:eastAsia="pt-BR"/>
              </w:rPr>
              <w:t>652.810,00</w:t>
            </w:r>
          </w:p>
        </w:tc>
      </w:tr>
      <w:tr w14:paraId="3F7BA793">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4936BB34">
            <w:pPr>
              <w:spacing w:before="72" w:beforeLines="30" w:after="72" w:afterLines="30"/>
              <w:jc w:val="both"/>
              <w:rPr>
                <w:szCs w:val="24"/>
                <w:lang w:eastAsia="pt-BR"/>
              </w:rPr>
            </w:pPr>
            <w:r>
              <w:rPr>
                <w:szCs w:val="24"/>
                <w:lang w:eastAsia="pt-BR"/>
              </w:rPr>
              <w:t>3</w:t>
            </w:r>
          </w:p>
        </w:tc>
        <w:tc>
          <w:tcPr>
            <w:tcW w:w="4420" w:type="dxa"/>
            <w:tcBorders>
              <w:top w:val="nil"/>
              <w:left w:val="nil"/>
              <w:bottom w:val="single" w:color="auto" w:sz="4" w:space="0"/>
              <w:right w:val="single" w:color="auto" w:sz="4" w:space="0"/>
            </w:tcBorders>
            <w:vAlign w:val="center"/>
          </w:tcPr>
          <w:p w14:paraId="53B88C29">
            <w:pPr>
              <w:spacing w:before="72" w:beforeLines="30" w:after="72" w:afterLines="30"/>
              <w:jc w:val="both"/>
              <w:rPr>
                <w:szCs w:val="24"/>
                <w:lang w:eastAsia="pt-BR"/>
              </w:rPr>
            </w:pPr>
            <w:r>
              <w:rPr>
                <w:szCs w:val="24"/>
                <w:lang w:eastAsia="pt-BR"/>
              </w:rPr>
              <w:t>GASOLINA COMUM</w:t>
            </w:r>
          </w:p>
        </w:tc>
        <w:tc>
          <w:tcPr>
            <w:tcW w:w="840" w:type="dxa"/>
            <w:tcBorders>
              <w:top w:val="nil"/>
              <w:left w:val="nil"/>
              <w:bottom w:val="single" w:color="auto" w:sz="4" w:space="0"/>
              <w:right w:val="single" w:color="auto" w:sz="4" w:space="0"/>
            </w:tcBorders>
            <w:vAlign w:val="center"/>
          </w:tcPr>
          <w:p w14:paraId="69E5EBAA">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348ED2BE">
            <w:pPr>
              <w:spacing w:before="72" w:beforeLines="30" w:after="72" w:afterLines="30"/>
              <w:jc w:val="both"/>
              <w:rPr>
                <w:szCs w:val="24"/>
                <w:lang w:eastAsia="pt-BR"/>
              </w:rPr>
            </w:pPr>
            <w:r>
              <w:rPr>
                <w:szCs w:val="24"/>
                <w:lang w:eastAsia="pt-BR"/>
              </w:rPr>
              <w:t>41500</w:t>
            </w:r>
          </w:p>
        </w:tc>
        <w:tc>
          <w:tcPr>
            <w:tcW w:w="840" w:type="dxa"/>
            <w:tcBorders>
              <w:top w:val="nil"/>
              <w:left w:val="nil"/>
              <w:bottom w:val="single" w:color="auto" w:sz="4" w:space="0"/>
              <w:right w:val="single" w:color="auto" w:sz="4" w:space="0"/>
            </w:tcBorders>
            <w:vAlign w:val="center"/>
          </w:tcPr>
          <w:p w14:paraId="663791C5">
            <w:pPr>
              <w:spacing w:before="72" w:beforeLines="30" w:after="72" w:afterLines="30"/>
              <w:jc w:val="both"/>
              <w:rPr>
                <w:szCs w:val="24"/>
                <w:lang w:eastAsia="pt-BR"/>
              </w:rPr>
            </w:pPr>
            <w:r>
              <w:rPr>
                <w:szCs w:val="24"/>
                <w:lang w:eastAsia="pt-BR"/>
              </w:rPr>
              <w:t>6,63</w:t>
            </w:r>
          </w:p>
        </w:tc>
        <w:tc>
          <w:tcPr>
            <w:tcW w:w="1060" w:type="dxa"/>
            <w:tcBorders>
              <w:top w:val="nil"/>
              <w:left w:val="nil"/>
              <w:bottom w:val="single" w:color="auto" w:sz="4" w:space="0"/>
              <w:right w:val="single" w:color="auto" w:sz="4" w:space="0"/>
            </w:tcBorders>
            <w:vAlign w:val="center"/>
          </w:tcPr>
          <w:p w14:paraId="7CE02F18">
            <w:pPr>
              <w:spacing w:before="72" w:beforeLines="30" w:after="72" w:afterLines="30"/>
              <w:jc w:val="both"/>
              <w:rPr>
                <w:szCs w:val="24"/>
                <w:lang w:eastAsia="pt-BR"/>
              </w:rPr>
            </w:pPr>
            <w:r>
              <w:rPr>
                <w:szCs w:val="24"/>
                <w:lang w:eastAsia="pt-BR"/>
              </w:rPr>
              <w:t>275.145,00</w:t>
            </w:r>
          </w:p>
        </w:tc>
      </w:tr>
      <w:tr w14:paraId="74AAAE60">
        <w:tblPrEx>
          <w:tblCellMar>
            <w:top w:w="0" w:type="dxa"/>
            <w:left w:w="70" w:type="dxa"/>
            <w:bottom w:w="0" w:type="dxa"/>
            <w:right w:w="70" w:type="dxa"/>
          </w:tblCellMar>
        </w:tblPrEx>
        <w:trPr>
          <w:trHeight w:val="300" w:hRule="atLeast"/>
        </w:trPr>
        <w:tc>
          <w:tcPr>
            <w:tcW w:w="520" w:type="dxa"/>
            <w:tcBorders>
              <w:top w:val="nil"/>
              <w:left w:val="single" w:color="auto" w:sz="4" w:space="0"/>
              <w:bottom w:val="single" w:color="auto" w:sz="4" w:space="0"/>
              <w:right w:val="single" w:color="auto" w:sz="4" w:space="0"/>
            </w:tcBorders>
            <w:vAlign w:val="center"/>
          </w:tcPr>
          <w:p w14:paraId="05D895FC">
            <w:pPr>
              <w:spacing w:before="72" w:beforeLines="30" w:after="72" w:afterLines="30"/>
              <w:jc w:val="both"/>
              <w:rPr>
                <w:szCs w:val="24"/>
                <w:lang w:eastAsia="pt-BR"/>
              </w:rPr>
            </w:pPr>
            <w:r>
              <w:rPr>
                <w:szCs w:val="24"/>
                <w:lang w:eastAsia="pt-BR"/>
              </w:rPr>
              <w:t>4</w:t>
            </w:r>
          </w:p>
        </w:tc>
        <w:tc>
          <w:tcPr>
            <w:tcW w:w="4420" w:type="dxa"/>
            <w:tcBorders>
              <w:top w:val="nil"/>
              <w:left w:val="nil"/>
              <w:bottom w:val="single" w:color="auto" w:sz="4" w:space="0"/>
              <w:right w:val="single" w:color="auto" w:sz="4" w:space="0"/>
            </w:tcBorders>
            <w:vAlign w:val="center"/>
          </w:tcPr>
          <w:p w14:paraId="60FEA762">
            <w:pPr>
              <w:spacing w:before="72" w:beforeLines="30" w:after="72" w:afterLines="30"/>
              <w:jc w:val="both"/>
              <w:rPr>
                <w:szCs w:val="24"/>
                <w:lang w:eastAsia="pt-BR"/>
              </w:rPr>
            </w:pPr>
            <w:r>
              <w:rPr>
                <w:szCs w:val="24"/>
                <w:lang w:eastAsia="pt-BR"/>
              </w:rPr>
              <w:t>ARLA 32 (Agemte Redutor Líquido de Emissão Automotivas)</w:t>
            </w:r>
          </w:p>
        </w:tc>
        <w:tc>
          <w:tcPr>
            <w:tcW w:w="840" w:type="dxa"/>
            <w:tcBorders>
              <w:top w:val="nil"/>
              <w:left w:val="nil"/>
              <w:bottom w:val="single" w:color="auto" w:sz="4" w:space="0"/>
              <w:right w:val="single" w:color="auto" w:sz="4" w:space="0"/>
            </w:tcBorders>
            <w:vAlign w:val="center"/>
          </w:tcPr>
          <w:p w14:paraId="24683557">
            <w:pPr>
              <w:spacing w:before="72" w:beforeLines="30" w:after="72" w:afterLines="30"/>
              <w:jc w:val="both"/>
              <w:rPr>
                <w:szCs w:val="24"/>
                <w:lang w:eastAsia="pt-BR"/>
              </w:rPr>
            </w:pPr>
            <w:r>
              <w:rPr>
                <w:szCs w:val="24"/>
                <w:lang w:eastAsia="pt-BR"/>
              </w:rPr>
              <w:t>LT</w:t>
            </w:r>
          </w:p>
        </w:tc>
        <w:tc>
          <w:tcPr>
            <w:tcW w:w="840" w:type="dxa"/>
            <w:tcBorders>
              <w:top w:val="nil"/>
              <w:left w:val="nil"/>
              <w:bottom w:val="single" w:color="auto" w:sz="4" w:space="0"/>
              <w:right w:val="single" w:color="auto" w:sz="4" w:space="0"/>
            </w:tcBorders>
            <w:vAlign w:val="center"/>
          </w:tcPr>
          <w:p w14:paraId="4CD3232C">
            <w:pPr>
              <w:spacing w:before="72" w:beforeLines="30" w:after="72" w:afterLines="30"/>
              <w:jc w:val="both"/>
              <w:rPr>
                <w:szCs w:val="24"/>
                <w:lang w:eastAsia="pt-BR"/>
              </w:rPr>
            </w:pPr>
            <w:r>
              <w:rPr>
                <w:szCs w:val="24"/>
                <w:lang w:eastAsia="pt-BR"/>
              </w:rPr>
              <w:t>6500</w:t>
            </w:r>
          </w:p>
        </w:tc>
        <w:tc>
          <w:tcPr>
            <w:tcW w:w="840" w:type="dxa"/>
            <w:tcBorders>
              <w:top w:val="nil"/>
              <w:left w:val="nil"/>
              <w:bottom w:val="single" w:color="auto" w:sz="4" w:space="0"/>
              <w:right w:val="single" w:color="auto" w:sz="4" w:space="0"/>
            </w:tcBorders>
            <w:vAlign w:val="center"/>
          </w:tcPr>
          <w:p w14:paraId="5AF91D48">
            <w:pPr>
              <w:spacing w:before="72" w:beforeLines="30" w:after="72" w:afterLines="30"/>
              <w:jc w:val="both"/>
              <w:rPr>
                <w:szCs w:val="24"/>
                <w:lang w:eastAsia="pt-BR"/>
              </w:rPr>
            </w:pPr>
            <w:r>
              <w:rPr>
                <w:szCs w:val="24"/>
                <w:lang w:eastAsia="pt-BR"/>
              </w:rPr>
              <w:t>4,76</w:t>
            </w:r>
          </w:p>
        </w:tc>
        <w:tc>
          <w:tcPr>
            <w:tcW w:w="1060" w:type="dxa"/>
            <w:tcBorders>
              <w:top w:val="nil"/>
              <w:left w:val="nil"/>
              <w:bottom w:val="single" w:color="auto" w:sz="4" w:space="0"/>
              <w:right w:val="single" w:color="auto" w:sz="4" w:space="0"/>
            </w:tcBorders>
            <w:vAlign w:val="center"/>
          </w:tcPr>
          <w:p w14:paraId="21E54C3E">
            <w:pPr>
              <w:spacing w:before="72" w:beforeLines="30" w:after="72" w:afterLines="30"/>
              <w:jc w:val="both"/>
              <w:rPr>
                <w:szCs w:val="24"/>
                <w:lang w:eastAsia="pt-BR"/>
              </w:rPr>
            </w:pPr>
            <w:r>
              <w:rPr>
                <w:szCs w:val="24"/>
                <w:lang w:eastAsia="pt-BR"/>
              </w:rPr>
              <w:t>30.940,00</w:t>
            </w:r>
          </w:p>
        </w:tc>
      </w:tr>
    </w:tbl>
    <w:p w14:paraId="52F0A07F">
      <w:pPr>
        <w:spacing w:before="72" w:beforeLines="30" w:after="72" w:afterLines="30"/>
        <w:jc w:val="both"/>
        <w:rPr>
          <w:color w:val="000000"/>
          <w:szCs w:val="24"/>
        </w:rPr>
      </w:pPr>
    </w:p>
    <w:p w14:paraId="7449F948">
      <w:pPr>
        <w:autoSpaceDE w:val="0"/>
        <w:autoSpaceDN w:val="0"/>
        <w:adjustRightInd w:val="0"/>
        <w:spacing w:before="72" w:beforeLines="30" w:after="72" w:afterLines="30"/>
        <w:jc w:val="both"/>
        <w:rPr>
          <w:color w:val="000000"/>
          <w:szCs w:val="24"/>
        </w:rPr>
      </w:pPr>
      <w:r>
        <w:rPr>
          <w:color w:val="000000"/>
          <w:szCs w:val="24"/>
        </w:rPr>
        <w:t xml:space="preserve">                A metodologia utilizada para chegar aos valores referenciais acima foram: contratações similares, (outros órgãos), licitanet, portal de compras públicas, bll, portal nacional de contratações públicas, portal da transparência CGU, bolsa nacional de compras e compras BR.</w:t>
      </w:r>
    </w:p>
    <w:p w14:paraId="54ED347E">
      <w:pPr>
        <w:autoSpaceDE w:val="0"/>
        <w:autoSpaceDN w:val="0"/>
        <w:adjustRightInd w:val="0"/>
        <w:spacing w:before="72" w:beforeLines="30" w:after="72" w:afterLines="30"/>
        <w:jc w:val="both"/>
        <w:rPr>
          <w:color w:val="000000"/>
          <w:szCs w:val="24"/>
        </w:rPr>
      </w:pPr>
    </w:p>
    <w:p w14:paraId="2B03B0FF">
      <w:pPr>
        <w:autoSpaceDE w:val="0"/>
        <w:autoSpaceDN w:val="0"/>
        <w:adjustRightInd w:val="0"/>
        <w:spacing w:before="72" w:beforeLines="30" w:after="72" w:afterLines="30"/>
        <w:jc w:val="both"/>
        <w:rPr>
          <w:rFonts w:eastAsia="Calibri"/>
          <w:b/>
          <w:bCs/>
          <w:color w:val="000000"/>
          <w:szCs w:val="24"/>
        </w:rPr>
      </w:pPr>
      <w:r>
        <w:rPr>
          <w:rFonts w:eastAsia="Calibri"/>
          <w:b/>
          <w:bCs/>
          <w:color w:val="000000"/>
          <w:szCs w:val="24"/>
        </w:rPr>
        <w:t>Justificativa da Não Exclusividade para ME/EPP</w:t>
      </w:r>
    </w:p>
    <w:p w14:paraId="47A9FDB4">
      <w:pPr>
        <w:pStyle w:val="50"/>
        <w:spacing w:before="72" w:beforeLines="30" w:after="72" w:afterLines="30"/>
        <w:jc w:val="both"/>
      </w:pPr>
      <w:r>
        <w:t xml:space="preserve">               Cabe ainda justificar sobre a destinação de ITENS EXCLUSIVOS de COTAS de até 25% (vinte e cinco por cento) às micro e pequenas empresas é a regra nos casos de licitações de bens de natureza divisível, conforme determina os incisos I e III do art. 48, da Lei Complementar 123/2006. Contudo, existem exceções que podem ser avocadas pela Administração, desde que apresente as devidas justificativas, pois o tratamento diferenciado resulta de expressa disposição constitucional (CF/88, art. 170, IX), sendo seu dever esclarecer os motivos pelos quais decidiu que determinada licitação não será exclusiva. Nesse sentido, o art. 49 da Lei Complementar nº 123/06 proíbe a aplicação do disposto nos seus artigos 47 e 48, o tratamento diferenciado e simplificado para as microempresas e empresas de pequeno porte não for vantajoso para a administração pública ou representar prejuízo ao conjunto ou complexo do objeto a ser contratado, inciso III do art. 49, da Lei Complementar 123/2006.</w:t>
      </w:r>
    </w:p>
    <w:p w14:paraId="6981B0B5">
      <w:pPr>
        <w:pStyle w:val="50"/>
        <w:spacing w:before="72" w:beforeLines="30" w:after="72" w:afterLines="30"/>
        <w:jc w:val="both"/>
      </w:pPr>
      <w:r>
        <w:t xml:space="preserve">                Como se trata de um município pequeno, com quadro reduzido de servidores, uma licitação de item a item que abrangesse as cotas reservadas, de 4 itens(quatro) passaria para 8(oito) possíveis ganhadores o que causaria um transtorno para o controle desta contratação. </w:t>
      </w:r>
    </w:p>
    <w:p w14:paraId="2F64F67B">
      <w:pPr>
        <w:autoSpaceDE w:val="0"/>
        <w:autoSpaceDN w:val="0"/>
        <w:adjustRightInd w:val="0"/>
        <w:spacing w:before="72" w:beforeLines="30" w:after="72" w:afterLines="30"/>
        <w:jc w:val="both"/>
        <w:rPr>
          <w:color w:val="000000"/>
          <w:szCs w:val="24"/>
        </w:rPr>
      </w:pPr>
    </w:p>
    <w:p w14:paraId="4F50A7A5">
      <w:pPr>
        <w:spacing w:before="72" w:beforeLines="30" w:after="72" w:afterLines="30"/>
        <w:jc w:val="both"/>
        <w:rPr>
          <w:b/>
          <w:bCs/>
          <w:szCs w:val="24"/>
        </w:rPr>
      </w:pPr>
      <w:r>
        <w:rPr>
          <w:b/>
          <w:bCs/>
          <w:szCs w:val="24"/>
        </w:rPr>
        <w:t>VII - Descrição da solução como um todo, inclusive das exigências relacionadas à manutenção e à assistência técnica, quando for o caso</w:t>
      </w:r>
    </w:p>
    <w:p w14:paraId="643C5269">
      <w:pPr>
        <w:pStyle w:val="25"/>
        <w:spacing w:before="72" w:beforeLines="30" w:beforeAutospacing="0" w:after="72" w:afterLines="30" w:afterAutospacing="0"/>
        <w:jc w:val="both"/>
      </w:pPr>
      <w:r>
        <w:t xml:space="preserve">                 A solução proposta consiste na </w:t>
      </w:r>
      <w:r>
        <w:rPr>
          <w:rStyle w:val="13"/>
        </w:rPr>
        <w:t>aquisição de combustíveis automotivos</w:t>
      </w:r>
      <w:r>
        <w:t>,</w:t>
      </w:r>
      <w:r>
        <w:rPr>
          <w:b/>
          <w:bCs/>
        </w:rPr>
        <w:t xml:space="preserve"> </w:t>
      </w:r>
      <w:r>
        <w:t xml:space="preserve">a serem fornecidos no </w:t>
      </w:r>
      <w:r>
        <w:rPr>
          <w:rStyle w:val="13"/>
        </w:rPr>
        <w:t>Município de Sidrolândia/MS</w:t>
      </w:r>
      <w:r>
        <w:t xml:space="preserve">, com vistas ao </w:t>
      </w:r>
      <w:r>
        <w:rPr>
          <w:rStyle w:val="13"/>
        </w:rPr>
        <w:t>abastecimento dos veículos e maquinários pertencentes à frota oficial da Prefeitura Municipal de Caracol/MS</w:t>
      </w:r>
      <w:r>
        <w:t>.</w:t>
      </w:r>
    </w:p>
    <w:p w14:paraId="79326E71">
      <w:pPr>
        <w:pStyle w:val="25"/>
        <w:spacing w:before="72" w:beforeLines="30" w:beforeAutospacing="0" w:after="72" w:afterLines="30" w:afterAutospacing="0"/>
        <w:jc w:val="both"/>
      </w:pPr>
      <w:r>
        <w:t xml:space="preserve">                 A contratação tem por objetivo </w:t>
      </w:r>
      <w:r>
        <w:rPr>
          <w:rStyle w:val="13"/>
        </w:rPr>
        <w:t>assegurar o pleno funcionamento dos serviços públicos essenciais</w:t>
      </w:r>
      <w:r>
        <w:t>, garantindo o abastecimento contínuo e adequado dos veículos das Secretarias Municipais, cujas atividades demandam deslocamentos constantes dentro e fora do território municipal.</w:t>
      </w:r>
    </w:p>
    <w:p w14:paraId="1EC3DF43">
      <w:pPr>
        <w:pStyle w:val="25"/>
        <w:spacing w:before="72" w:beforeLines="30" w:beforeAutospacing="0" w:after="72" w:afterLines="30" w:afterAutospacing="0"/>
        <w:jc w:val="both"/>
        <w:rPr>
          <w:b/>
          <w:bCs/>
        </w:rPr>
      </w:pPr>
      <w:r>
        <w:t xml:space="preserve">                O fornecimento dos produtos deverá ocorrer </w:t>
      </w:r>
      <w:r>
        <w:rPr>
          <w:rStyle w:val="13"/>
        </w:rPr>
        <w:t>diretamente no posto de abastecimento da empresa contratada</w:t>
      </w:r>
      <w:r>
        <w:t xml:space="preserve">, mediante </w:t>
      </w:r>
      <w:r>
        <w:rPr>
          <w:rStyle w:val="13"/>
        </w:rPr>
        <w:t>cartão magnético, controle informatizado ou sistema similar</w:t>
      </w:r>
      <w:r>
        <w:rPr>
          <w:b/>
          <w:bCs/>
        </w:rPr>
        <w:t>,</w:t>
      </w:r>
      <w:r>
        <w:t xml:space="preserve"> de modo a permitir o registro detalhado das transações, assegurando </w:t>
      </w:r>
      <w:r>
        <w:rPr>
          <w:rStyle w:val="13"/>
        </w:rPr>
        <w:t>transparência, rastreabilidade e controle de consumo</w:t>
      </w:r>
      <w:r>
        <w:rPr>
          <w:b/>
          <w:bCs/>
        </w:rPr>
        <w:t>.</w:t>
      </w:r>
    </w:p>
    <w:p w14:paraId="5B58CAB4">
      <w:pPr>
        <w:pStyle w:val="25"/>
        <w:spacing w:before="72" w:beforeLines="30" w:beforeAutospacing="0" w:after="72" w:afterLines="30" w:afterAutospacing="0"/>
        <w:jc w:val="both"/>
      </w:pPr>
      <w:r>
        <w:t xml:space="preserve">                A solução contempla o </w:t>
      </w:r>
      <w:r>
        <w:rPr>
          <w:rStyle w:val="13"/>
        </w:rPr>
        <w:t>fornecimento contínuo durante a vigência contratual</w:t>
      </w:r>
      <w:r>
        <w:t>, conforme as necessidades das secretarias demandantes, respeitando as condições e especificações técnicas previstas no termo de referência.</w:t>
      </w:r>
    </w:p>
    <w:p w14:paraId="78655286">
      <w:pPr>
        <w:pStyle w:val="25"/>
        <w:spacing w:before="72" w:beforeLines="30" w:beforeAutospacing="0" w:after="72" w:afterLines="30" w:afterAutospacing="0"/>
        <w:jc w:val="both"/>
      </w:pPr>
      <w:r>
        <w:t xml:space="preserve">Em relação às </w:t>
      </w:r>
      <w:r>
        <w:rPr>
          <w:rStyle w:val="13"/>
        </w:rPr>
        <w:t>exigências de manutenção e assistência técnica</w:t>
      </w:r>
      <w:r>
        <w:t>, considerando tratar-se de produtos de consumo, não há necessidade de manutenção específica. Contudo, a contratada deverá:</w:t>
      </w:r>
    </w:p>
    <w:p w14:paraId="621BD78A">
      <w:pPr>
        <w:pStyle w:val="25"/>
        <w:numPr>
          <w:ilvl w:val="0"/>
          <w:numId w:val="11"/>
        </w:numPr>
        <w:spacing w:before="72" w:beforeLines="30" w:beforeAutospacing="0" w:after="72" w:afterLines="30" w:afterAutospacing="0"/>
        <w:ind w:left="0" w:firstLine="0"/>
        <w:jc w:val="both"/>
        <w:rPr>
          <w:b/>
          <w:bCs/>
        </w:rPr>
      </w:pPr>
      <w:r>
        <w:rPr>
          <w:rStyle w:val="13"/>
        </w:rPr>
        <w:t>Garantir a qualidade dos produtos fornecidos</w:t>
      </w:r>
      <w:r>
        <w:t xml:space="preserve">, atendendo integralmente às normas da </w:t>
      </w:r>
      <w:r>
        <w:rPr>
          <w:rStyle w:val="13"/>
        </w:rPr>
        <w:t>Agência Nacional do Petróleo, Gás Natural e Biocombustíveis – ANP</w:t>
      </w:r>
      <w:r>
        <w:rPr>
          <w:b/>
          <w:bCs/>
        </w:rPr>
        <w:t>;</w:t>
      </w:r>
    </w:p>
    <w:p w14:paraId="6128A285">
      <w:pPr>
        <w:pStyle w:val="25"/>
        <w:numPr>
          <w:ilvl w:val="0"/>
          <w:numId w:val="11"/>
        </w:numPr>
        <w:spacing w:before="72" w:beforeLines="30" w:beforeAutospacing="0" w:after="72" w:afterLines="30" w:afterAutospacing="0"/>
        <w:ind w:left="0" w:firstLine="0"/>
        <w:jc w:val="both"/>
      </w:pPr>
      <w:r>
        <w:rPr>
          <w:rStyle w:val="13"/>
        </w:rPr>
        <w:t>Manter condições adequadas de armazenamento e manuseio</w:t>
      </w:r>
      <w:r>
        <w:t>, especialmente no caso do ARLA 32, que requer cuidados específicos para preservação de sua pureza e eficiência;</w:t>
      </w:r>
    </w:p>
    <w:p w14:paraId="6EEFBCE7">
      <w:pPr>
        <w:pStyle w:val="25"/>
        <w:numPr>
          <w:ilvl w:val="0"/>
          <w:numId w:val="11"/>
        </w:numPr>
        <w:spacing w:before="72" w:beforeLines="30" w:beforeAutospacing="0" w:after="72" w:afterLines="30" w:afterAutospacing="0"/>
        <w:ind w:left="0" w:firstLine="0"/>
        <w:jc w:val="both"/>
      </w:pPr>
      <w:r>
        <w:rPr>
          <w:rStyle w:val="13"/>
        </w:rPr>
        <w:t>Assegurar assistência imediata</w:t>
      </w:r>
      <w:r>
        <w:t xml:space="preserve"> em caso de divergência de qualidade, contaminação ou irregularidade constatada nos produtos, adotando as medidas corretivas necessárias e substituindo, quando aplicável, os produtos em desacordo com as especificações.</w:t>
      </w:r>
    </w:p>
    <w:p w14:paraId="7E2EDC08">
      <w:pPr>
        <w:pStyle w:val="25"/>
        <w:spacing w:before="72" w:beforeLines="30" w:beforeAutospacing="0" w:after="72" w:afterLines="30" w:afterAutospacing="0"/>
        <w:jc w:val="both"/>
      </w:pPr>
      <w:r>
        <w:t xml:space="preserve">                A presente solução foi estruturada de forma a </w:t>
      </w:r>
      <w:r>
        <w:rPr>
          <w:rStyle w:val="13"/>
        </w:rPr>
        <w:t>garantir eficiência operacional, economicidade e continuidade dos serviços públicos</w:t>
      </w:r>
      <w:r>
        <w:t>, proporcionando melhor logística de abastecimento e redução de custos com deslocamentos, em conformidade com o interesse público e os princípios que regem a administração pública</w:t>
      </w:r>
    </w:p>
    <w:p w14:paraId="66BC1152">
      <w:pPr>
        <w:spacing w:before="72" w:beforeLines="30" w:after="72" w:afterLines="30"/>
        <w:jc w:val="both"/>
        <w:rPr>
          <w:b/>
          <w:bCs/>
          <w:szCs w:val="24"/>
        </w:rPr>
      </w:pPr>
      <w:r>
        <w:rPr>
          <w:b/>
          <w:bCs/>
          <w:szCs w:val="24"/>
        </w:rPr>
        <w:t>Habilitação (técnica)</w:t>
      </w:r>
    </w:p>
    <w:p w14:paraId="248F56CC">
      <w:pPr>
        <w:spacing w:before="72" w:beforeLines="30" w:after="72" w:afterLines="30"/>
        <w:jc w:val="both"/>
        <w:rPr>
          <w:b/>
          <w:bCs/>
          <w:szCs w:val="24"/>
        </w:rPr>
      </w:pPr>
    </w:p>
    <w:p w14:paraId="57F15EB7">
      <w:pPr>
        <w:pStyle w:val="3"/>
        <w:shd w:val="clear" w:color="auto" w:fill="FFFFFF"/>
        <w:spacing w:before="72" w:beforeLines="30" w:after="72" w:afterLines="30"/>
        <w:ind w:right="0"/>
        <w:jc w:val="both"/>
        <w:rPr>
          <w:rFonts w:eastAsia="Times New Roman"/>
          <w:b w:val="0"/>
          <w:bCs/>
          <w:color w:val="000000" w:themeColor="text1"/>
          <w:szCs w:val="24"/>
          <w14:textFill>
            <w14:solidFill>
              <w14:schemeClr w14:val="tx1"/>
            </w14:solidFill>
          </w14:textFill>
        </w:rPr>
      </w:pPr>
      <w:r>
        <w:rPr>
          <w:szCs w:val="24"/>
        </w:rPr>
        <w:t xml:space="preserve">1- Comprovação de que possui registro ou inscrição na </w:t>
      </w:r>
      <w:r>
        <w:rPr>
          <w:bCs/>
          <w:szCs w:val="24"/>
        </w:rPr>
        <w:t xml:space="preserve">Agência Nacional de Petróleo, </w:t>
      </w:r>
      <w:r>
        <w:rPr>
          <w:szCs w:val="24"/>
        </w:rPr>
        <w:t xml:space="preserve">para o exercício de atividades pertinentes ao objeto do Edital; conforme </w:t>
      </w:r>
      <w:r>
        <w:rPr>
          <w:rFonts w:eastAsia="Times New Roman"/>
          <w:bCs/>
          <w:color w:val="000000" w:themeColor="text1"/>
          <w:szCs w:val="24"/>
          <w14:textFill>
            <w14:solidFill>
              <w14:schemeClr w14:val="tx1"/>
            </w14:solidFill>
          </w14:textFill>
        </w:rPr>
        <w:t>RESOLUÇÃO ANP Nº 12, DE 21.3.2007, DOU 22 DE MARÇO DE 2007.</w:t>
      </w:r>
    </w:p>
    <w:p w14:paraId="61CB69D8">
      <w:pPr>
        <w:autoSpaceDE w:val="0"/>
        <w:autoSpaceDN w:val="0"/>
        <w:adjustRightInd w:val="0"/>
        <w:spacing w:before="72" w:beforeLines="30" w:after="72" w:afterLines="30"/>
        <w:jc w:val="both"/>
        <w:rPr>
          <w:color w:val="000000"/>
          <w:szCs w:val="24"/>
        </w:rPr>
      </w:pPr>
      <w:r>
        <w:rPr>
          <w:color w:val="000000"/>
          <w:szCs w:val="24"/>
        </w:rPr>
        <w:t>Justifica-se esta solicitação porque o posto de combustível é regido por regulamentação especifica, pela periculosidade por ser produto químico inflamável.</w:t>
      </w:r>
    </w:p>
    <w:p w14:paraId="53A87BBA">
      <w:pPr>
        <w:pStyle w:val="4"/>
        <w:shd w:val="clear" w:color="auto" w:fill="FFFFFF"/>
        <w:spacing w:before="72" w:beforeLines="30" w:after="72" w:afterLines="30"/>
        <w:ind w:left="0" w:firstLine="0"/>
        <w:jc w:val="both"/>
        <w:rPr>
          <w:rFonts w:ascii="Times New Roman" w:hAnsi="Times New Roman"/>
          <w:b w:val="0"/>
          <w:bCs/>
          <w:color w:val="113A66"/>
          <w:szCs w:val="24"/>
          <w:lang w:eastAsia="pt-BR"/>
        </w:rPr>
      </w:pPr>
      <w:r>
        <w:rPr>
          <w:rFonts w:ascii="Times New Roman" w:hAnsi="Times New Roman"/>
          <w:color w:val="000000"/>
          <w:szCs w:val="24"/>
        </w:rPr>
        <w:t>2</w:t>
      </w:r>
      <w:r>
        <w:rPr>
          <w:rFonts w:ascii="Times New Roman" w:hAnsi="Times New Roman"/>
          <w:i w:val="0"/>
          <w:iCs/>
          <w:color w:val="000000"/>
          <w:szCs w:val="24"/>
        </w:rPr>
        <w:t>- Laudo de Vistoria do Corpo de Bombeiros aprovando o funcionamento do Estabelecimento.</w:t>
      </w:r>
      <w:r>
        <w:rPr>
          <w:rFonts w:ascii="Times New Roman" w:hAnsi="Times New Roman"/>
          <w:bCs/>
          <w:i w:val="0"/>
          <w:iCs/>
          <w:color w:val="113A66"/>
          <w:szCs w:val="24"/>
          <w:lang w:eastAsia="pt-BR"/>
        </w:rPr>
        <w:t xml:space="preserve"> </w:t>
      </w:r>
      <w:r>
        <w:rPr>
          <w:rFonts w:ascii="Times New Roman" w:hAnsi="Times New Roman"/>
          <w:bCs/>
          <w:i w:val="0"/>
          <w:iCs/>
          <w:color w:val="000000" w:themeColor="text1"/>
          <w:szCs w:val="24"/>
          <w:lang w:eastAsia="pt-BR"/>
          <w14:textFill>
            <w14:solidFill>
              <w14:schemeClr w14:val="tx1"/>
            </w14:solidFill>
          </w14:textFill>
        </w:rPr>
        <w:t>Lei Nº 4335 DE 10/04/2013</w:t>
      </w:r>
    </w:p>
    <w:p w14:paraId="019F7CDE">
      <w:pPr>
        <w:autoSpaceDE w:val="0"/>
        <w:autoSpaceDN w:val="0"/>
        <w:adjustRightInd w:val="0"/>
        <w:spacing w:before="72" w:beforeLines="30" w:after="72" w:afterLines="30"/>
        <w:ind w:firstLine="851"/>
        <w:jc w:val="both"/>
        <w:rPr>
          <w:color w:val="000000"/>
          <w:szCs w:val="24"/>
        </w:rPr>
      </w:pPr>
      <w:r>
        <w:rPr>
          <w:color w:val="000000"/>
          <w:szCs w:val="24"/>
        </w:rPr>
        <w:t>Justifica-se esta solicitação porque o posto de combustível tem que seguir normas de estrutura e segurança de órgão competente devido a nocividade a saúde daquelas que manuseiam o produto. Pode causar riscos de acidente devido a não observância dos procedimentos obrigatórios.</w:t>
      </w:r>
    </w:p>
    <w:p w14:paraId="5E861282">
      <w:pPr>
        <w:pStyle w:val="80"/>
        <w:numPr>
          <w:ilvl w:val="0"/>
          <w:numId w:val="0"/>
        </w:numPr>
        <w:spacing w:before="72" w:beforeLines="30" w:after="72" w:afterLines="30" w:line="240" w:lineRule="auto"/>
        <w:rPr>
          <w:rFonts w:ascii="Times New Roman" w:hAnsi="Times New Roman"/>
          <w:bCs/>
          <w:color w:val="000000" w:themeColor="text1"/>
          <w:sz w:val="24"/>
          <w:szCs w:val="24"/>
          <w14:textFill>
            <w14:solidFill>
              <w14:schemeClr w14:val="tx1"/>
            </w14:solidFill>
          </w14:textFill>
        </w:rPr>
      </w:pPr>
    </w:p>
    <w:p w14:paraId="5880F877">
      <w:pPr>
        <w:spacing w:before="72" w:beforeLines="30" w:after="72" w:afterLines="30"/>
        <w:jc w:val="both"/>
        <w:rPr>
          <w:b/>
          <w:bCs/>
          <w:szCs w:val="24"/>
        </w:rPr>
      </w:pPr>
      <w:bookmarkStart w:id="11" w:name="_Hlk72227615"/>
      <w:r>
        <w:rPr>
          <w:b/>
          <w:bCs/>
          <w:szCs w:val="24"/>
        </w:rPr>
        <w:t>VIII - justificativas para o parcelamento ou não da contratação.</w:t>
      </w:r>
    </w:p>
    <w:p w14:paraId="66C8E078">
      <w:pPr>
        <w:spacing w:before="72" w:beforeLines="30" w:after="72" w:afterLines="30"/>
        <w:jc w:val="both"/>
        <w:rPr>
          <w:b/>
          <w:bCs/>
          <w:szCs w:val="24"/>
        </w:rPr>
      </w:pPr>
      <w:r>
        <w:rPr>
          <w:szCs w:val="24"/>
        </w:rPr>
        <w:t xml:space="preserve">A futura licitação será realizada por item, pois é mais viável economicamente, porque aumenta a concorrência. </w:t>
      </w:r>
    </w:p>
    <w:p w14:paraId="4358435F">
      <w:pPr>
        <w:spacing w:before="72" w:beforeLines="30" w:after="72" w:afterLines="30"/>
        <w:jc w:val="both"/>
        <w:rPr>
          <w:b/>
          <w:bCs/>
          <w:szCs w:val="24"/>
        </w:rPr>
      </w:pPr>
    </w:p>
    <w:bookmarkEnd w:id="11"/>
    <w:p w14:paraId="2C1D5CF1">
      <w:pPr>
        <w:spacing w:before="72" w:beforeLines="30" w:after="72" w:afterLines="30"/>
        <w:jc w:val="both"/>
        <w:rPr>
          <w:b/>
          <w:bCs/>
          <w:szCs w:val="24"/>
        </w:rPr>
      </w:pPr>
      <w:r>
        <w:rPr>
          <w:b/>
          <w:bCs/>
          <w:szCs w:val="24"/>
        </w:rPr>
        <w:t xml:space="preserve">IX - Demonstrativo dos resultados pretendidos em termos de economicidade e de melhor aproveitamento dos recursos humanos, materiais e financeiros disponíveis </w:t>
      </w:r>
    </w:p>
    <w:p w14:paraId="7D8363B0">
      <w:pPr>
        <w:pStyle w:val="25"/>
        <w:spacing w:before="72" w:beforeLines="30" w:beforeAutospacing="0" w:after="72" w:afterLines="30" w:afterAutospacing="0"/>
        <w:jc w:val="both"/>
      </w:pPr>
      <w:r>
        <w:t xml:space="preserve">                 Com a presente contratação, pretende-se alcançar </w:t>
      </w:r>
      <w:r>
        <w:rPr>
          <w:rStyle w:val="13"/>
        </w:rPr>
        <w:t>maior eficiência e economicidade</w:t>
      </w:r>
      <w:r>
        <w:t xml:space="preserve"> na execução das atividades que dependem do deslocamento da frota oficial do Município de Caracol/MS, especialmente no atendimento das demandas das secretárias municipais. </w:t>
      </w:r>
    </w:p>
    <w:p w14:paraId="3494447C">
      <w:pPr>
        <w:pStyle w:val="25"/>
        <w:spacing w:before="72" w:beforeLines="30" w:beforeAutospacing="0" w:after="72" w:afterLines="30" w:afterAutospacing="0"/>
        <w:jc w:val="both"/>
        <w:rPr>
          <w:b/>
          <w:bCs/>
        </w:rPr>
      </w:pPr>
      <w:r>
        <w:t xml:space="preserve">                A aquisição de </w:t>
      </w:r>
      <w:r>
        <w:rPr>
          <w:rStyle w:val="13"/>
        </w:rPr>
        <w:t>combustível na localidade de Sidrolândia/MS</w:t>
      </w:r>
      <w:r>
        <w:t xml:space="preserve"> visa </w:t>
      </w:r>
      <w:r>
        <w:rPr>
          <w:rStyle w:val="13"/>
        </w:rPr>
        <w:t>otimizar a logística de abastecimento</w:t>
      </w:r>
      <w:r>
        <w:t xml:space="preserve"> dos veículos que realizam trajetos frequentes até Campo Grande e outras regiões, </w:t>
      </w:r>
      <w:r>
        <w:rPr>
          <w:rStyle w:val="13"/>
        </w:rPr>
        <w:t>reduzindo o tempo de deslocamento, o consumo excessivo de combustível e os custos operacionais</w:t>
      </w:r>
      <w:r>
        <w:rPr>
          <w:b/>
          <w:bCs/>
        </w:rPr>
        <w:t>.</w:t>
      </w:r>
    </w:p>
    <w:p w14:paraId="3714121A">
      <w:pPr>
        <w:pStyle w:val="25"/>
        <w:spacing w:before="72" w:beforeLines="30" w:beforeAutospacing="0" w:after="72" w:afterLines="30" w:afterAutospacing="0"/>
        <w:jc w:val="both"/>
      </w:pPr>
      <w:r>
        <w:t xml:space="preserve">Entre os principais </w:t>
      </w:r>
      <w:r>
        <w:rPr>
          <w:rStyle w:val="13"/>
        </w:rPr>
        <w:t>resultados esperados</w:t>
      </w:r>
      <w:r>
        <w:t>, destacam-se:</w:t>
      </w:r>
    </w:p>
    <w:p w14:paraId="18074D1C">
      <w:pPr>
        <w:pStyle w:val="25"/>
        <w:numPr>
          <w:ilvl w:val="0"/>
          <w:numId w:val="12"/>
        </w:numPr>
        <w:spacing w:before="72" w:beforeLines="30" w:beforeAutospacing="0" w:after="72" w:afterLines="30" w:afterAutospacing="0"/>
        <w:ind w:left="0" w:firstLine="0"/>
        <w:jc w:val="both"/>
      </w:pPr>
      <w:r>
        <w:rPr>
          <w:rStyle w:val="13"/>
        </w:rPr>
        <w:t>Redução de despesas com combustíveis</w:t>
      </w:r>
      <w:r>
        <w:t>, pela escolha de um ponto de abastecimento estratégico e economicamente vantajoso, evitando percursos desnecessários dentro de grandes centros urbanos, como Campo Grande;</w:t>
      </w:r>
    </w:p>
    <w:p w14:paraId="6B25E098">
      <w:pPr>
        <w:pStyle w:val="25"/>
        <w:numPr>
          <w:ilvl w:val="0"/>
          <w:numId w:val="12"/>
        </w:numPr>
        <w:spacing w:before="72" w:beforeLines="30" w:beforeAutospacing="0" w:after="72" w:afterLines="30" w:afterAutospacing="0"/>
        <w:ind w:left="0" w:firstLine="0"/>
        <w:jc w:val="both"/>
      </w:pPr>
      <w:r>
        <w:rPr>
          <w:rStyle w:val="13"/>
        </w:rPr>
        <w:t>Melhor aproveitamento dos recursos humanos</w:t>
      </w:r>
      <w:r>
        <w:t>, uma vez que a otimização da rota e o abastecimento em local de fácil acesso reduzem o tempo de viagem e aumentam a produtividade das equipes;</w:t>
      </w:r>
    </w:p>
    <w:p w14:paraId="2726149E">
      <w:pPr>
        <w:pStyle w:val="25"/>
        <w:numPr>
          <w:ilvl w:val="0"/>
          <w:numId w:val="12"/>
        </w:numPr>
        <w:spacing w:before="72" w:beforeLines="30" w:beforeAutospacing="0" w:after="72" w:afterLines="30" w:afterAutospacing="0"/>
        <w:ind w:left="0" w:firstLine="0"/>
        <w:jc w:val="both"/>
      </w:pPr>
      <w:r>
        <w:rPr>
          <w:rStyle w:val="13"/>
        </w:rPr>
        <w:t>Eficiência na gestão dos recursos públicos</w:t>
      </w:r>
      <w:r>
        <w:t>, mediante controle informatizado de abastecimentos e acompanhamento detalhado do consumo por veículo ou secretaria;</w:t>
      </w:r>
    </w:p>
    <w:p w14:paraId="7AF1AC5D">
      <w:pPr>
        <w:pStyle w:val="25"/>
        <w:numPr>
          <w:ilvl w:val="0"/>
          <w:numId w:val="12"/>
        </w:numPr>
        <w:spacing w:before="72" w:beforeLines="30" w:beforeAutospacing="0" w:after="72" w:afterLines="30" w:afterAutospacing="0"/>
        <w:ind w:left="0" w:firstLine="0"/>
        <w:jc w:val="both"/>
      </w:pPr>
      <w:r>
        <w:rPr>
          <w:rStyle w:val="13"/>
        </w:rPr>
        <w:t>Aprimoramento da transparência e da rastreabilidade</w:t>
      </w:r>
      <w:r>
        <w:t>, garantindo que cada abastecimento seja devidamente registrado e vinculado ao veículo correspondente;</w:t>
      </w:r>
    </w:p>
    <w:p w14:paraId="246E6A1E">
      <w:pPr>
        <w:pStyle w:val="25"/>
        <w:numPr>
          <w:ilvl w:val="0"/>
          <w:numId w:val="12"/>
        </w:numPr>
        <w:spacing w:before="72" w:beforeLines="30" w:beforeAutospacing="0" w:after="72" w:afterLines="30" w:afterAutospacing="0"/>
        <w:ind w:left="0" w:firstLine="0"/>
        <w:jc w:val="both"/>
      </w:pPr>
      <w:r>
        <w:rPr>
          <w:rStyle w:val="13"/>
        </w:rPr>
        <w:t>Melhor planejamento e continuidade dos serviços essenciais</w:t>
      </w:r>
      <w:r>
        <w:t>, especialmente no transporte de pacientes e na execução de obras públicas, evitando interrupções por falta de combustível ou deslocamentos excessivos.</w:t>
      </w:r>
    </w:p>
    <w:p w14:paraId="3AE9BDF7">
      <w:pPr>
        <w:pStyle w:val="25"/>
        <w:spacing w:before="72" w:beforeLines="30" w:beforeAutospacing="0" w:after="72" w:afterLines="30" w:afterAutospacing="0"/>
        <w:jc w:val="both"/>
      </w:pPr>
      <w:r>
        <w:t xml:space="preserve">                Em termos de economicidade, a contratação em Sidrolândia/MS representa uma </w:t>
      </w:r>
      <w:r>
        <w:rPr>
          <w:rStyle w:val="13"/>
        </w:rPr>
        <w:t>solução racional e financeiramente vantajosa</w:t>
      </w:r>
      <w:r>
        <w:t>, por diminuir o custo total das viagens e o desgaste da frota, além de reduzir despesas indiretas relacionadas a tempo ocioso e manutenção preventiva.</w:t>
      </w:r>
    </w:p>
    <w:p w14:paraId="342987FF">
      <w:pPr>
        <w:pStyle w:val="25"/>
        <w:spacing w:before="72" w:beforeLines="30" w:beforeAutospacing="0" w:after="72" w:afterLines="30" w:afterAutospacing="0"/>
        <w:jc w:val="both"/>
      </w:pPr>
      <w:r>
        <w:t xml:space="preserve">                 Dessa forma, a medida contribui diretamente para o </w:t>
      </w:r>
      <w:r>
        <w:rPr>
          <w:rStyle w:val="13"/>
        </w:rPr>
        <w:t>melhor aproveitamento dos recursos humanos, materiais e financeiros disponíveis</w:t>
      </w:r>
      <w:r>
        <w:t xml:space="preserve">, fortalecendo a eficiência administrativa e a boa gestão dos recursos públicos, em consonância com os princípios da </w:t>
      </w:r>
      <w:r>
        <w:rPr>
          <w:rStyle w:val="13"/>
        </w:rPr>
        <w:t>economicidade, eficiência e interesse público</w:t>
      </w:r>
      <w:r>
        <w:t xml:space="preserve"> previstos na Lei nº 14.133/2021.</w:t>
      </w:r>
    </w:p>
    <w:p w14:paraId="4EBC468D">
      <w:pPr>
        <w:pStyle w:val="25"/>
        <w:spacing w:before="72" w:beforeLines="30" w:beforeAutospacing="0" w:after="72" w:afterLines="30" w:afterAutospacing="0"/>
        <w:jc w:val="both"/>
      </w:pPr>
    </w:p>
    <w:p w14:paraId="3852FE41">
      <w:pPr>
        <w:spacing w:before="72" w:beforeLines="30" w:after="72" w:afterLines="30"/>
        <w:jc w:val="both"/>
        <w:rPr>
          <w:b/>
          <w:bCs/>
          <w:szCs w:val="24"/>
        </w:rPr>
      </w:pPr>
      <w:r>
        <w:rPr>
          <w:b/>
          <w:bCs/>
          <w:szCs w:val="24"/>
        </w:rPr>
        <w:t>X - Providências a serem adotadas pela administração previamente à celebração do contrato, inclusive quanto à capacitação de servidores para fiscalização e gestão contratual.</w:t>
      </w:r>
    </w:p>
    <w:p w14:paraId="62F0DB6D">
      <w:pPr>
        <w:spacing w:before="72" w:beforeLines="30" w:after="72" w:afterLines="30"/>
        <w:jc w:val="both"/>
        <w:rPr>
          <w:b/>
          <w:bCs/>
          <w:szCs w:val="24"/>
        </w:rPr>
      </w:pPr>
      <w:r>
        <w:rPr>
          <w:b/>
          <w:bCs/>
          <w:szCs w:val="24"/>
        </w:rPr>
        <w:t xml:space="preserve"> </w:t>
      </w:r>
      <w:r>
        <w:rPr>
          <w:szCs w:val="24"/>
        </w:rPr>
        <w:t xml:space="preserve">               Não se vislumbra necessidades de tomada de providências de adequações para a solução ser contratada.</w:t>
      </w:r>
    </w:p>
    <w:p w14:paraId="4D1EE04E">
      <w:pPr>
        <w:spacing w:before="72" w:beforeLines="30" w:after="72" w:afterLines="30"/>
        <w:jc w:val="both"/>
        <w:rPr>
          <w:b/>
          <w:bCs/>
          <w:szCs w:val="24"/>
        </w:rPr>
      </w:pPr>
    </w:p>
    <w:p w14:paraId="348FE5E8">
      <w:pPr>
        <w:spacing w:before="72" w:beforeLines="30" w:after="72" w:afterLines="30"/>
        <w:jc w:val="both"/>
        <w:rPr>
          <w:b/>
          <w:bCs/>
          <w:szCs w:val="24"/>
        </w:rPr>
      </w:pPr>
      <w:r>
        <w:rPr>
          <w:b/>
          <w:bCs/>
          <w:szCs w:val="24"/>
        </w:rPr>
        <w:t>XI - contratações correlatas e/ou interdependentes</w:t>
      </w:r>
    </w:p>
    <w:p w14:paraId="0F73B965">
      <w:pPr>
        <w:spacing w:before="72" w:beforeLines="30" w:after="72" w:afterLines="30"/>
        <w:jc w:val="both"/>
        <w:rPr>
          <w:szCs w:val="24"/>
        </w:rPr>
      </w:pPr>
      <w:r>
        <w:rPr>
          <w:szCs w:val="24"/>
        </w:rPr>
        <w:t>Não existem contratações correlatas e/ou interdependentes.</w:t>
      </w:r>
    </w:p>
    <w:p w14:paraId="659C0F70">
      <w:pPr>
        <w:spacing w:before="72" w:beforeLines="30" w:after="72" w:afterLines="30"/>
        <w:jc w:val="both"/>
        <w:rPr>
          <w:szCs w:val="24"/>
        </w:rPr>
      </w:pPr>
    </w:p>
    <w:p w14:paraId="2F091AEC">
      <w:pPr>
        <w:spacing w:before="72" w:beforeLines="30" w:after="72" w:afterLines="30"/>
        <w:jc w:val="both"/>
        <w:rPr>
          <w:b/>
          <w:bCs/>
          <w:szCs w:val="24"/>
        </w:rPr>
      </w:pPr>
      <w:bookmarkStart w:id="12" w:name="_Hlk72227860"/>
      <w:r>
        <w:rPr>
          <w:b/>
          <w:bCs/>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p w14:paraId="0B5AA468">
      <w:pPr>
        <w:pStyle w:val="25"/>
        <w:spacing w:before="72" w:beforeLines="30" w:beforeAutospacing="0" w:after="72" w:afterLines="30" w:afterAutospacing="0"/>
        <w:jc w:val="both"/>
      </w:pPr>
      <w:r>
        <w:t xml:space="preserve">                A presente contratação, que tem por objeto a aquisição combustível para abastecimento da frota oficial da Prefeitura Municipal de Caracol/MS, pode gerar </w:t>
      </w:r>
      <w:r>
        <w:rPr>
          <w:rStyle w:val="13"/>
        </w:rPr>
        <w:t>impactos ambientais indiretos</w:t>
      </w:r>
      <w:r>
        <w:t xml:space="preserve">, especialmente relacionados ao </w:t>
      </w:r>
      <w:r>
        <w:rPr>
          <w:rStyle w:val="13"/>
        </w:rPr>
        <w:t>armazenamento, manuseio e consumo de combustíveis</w:t>
      </w:r>
      <w:r>
        <w:rPr>
          <w:b/>
          <w:bCs/>
        </w:rPr>
        <w:t>,</w:t>
      </w:r>
      <w:r>
        <w:t xml:space="preserve"> bem como à </w:t>
      </w:r>
      <w:r>
        <w:rPr>
          <w:rStyle w:val="13"/>
        </w:rPr>
        <w:t>emissão de gases poluentes</w:t>
      </w:r>
      <w:r>
        <w:t xml:space="preserve"> provenientes da queima de óleo diesel nos veículos automotores.</w:t>
      </w:r>
    </w:p>
    <w:p w14:paraId="2F61E700">
      <w:pPr>
        <w:pStyle w:val="25"/>
        <w:spacing w:before="72" w:beforeLines="30" w:beforeAutospacing="0" w:after="72" w:afterLines="30" w:afterAutospacing="0"/>
        <w:jc w:val="both"/>
      </w:pPr>
      <w:r>
        <w:t xml:space="preserve">                Com vistas à </w:t>
      </w:r>
      <w:r>
        <w:rPr>
          <w:rStyle w:val="13"/>
        </w:rPr>
        <w:t>mitigação desses impactos</w:t>
      </w:r>
      <w:r>
        <w:t xml:space="preserve">, a Administração Municipal e a empresa contratada deverão observar as seguintes </w:t>
      </w:r>
      <w:r>
        <w:rPr>
          <w:rStyle w:val="13"/>
        </w:rPr>
        <w:t>medidas preventivas e corretivas</w:t>
      </w:r>
      <w:r>
        <w:t>:</w:t>
      </w:r>
    </w:p>
    <w:p w14:paraId="59E7ADD6">
      <w:pPr>
        <w:pStyle w:val="25"/>
        <w:numPr>
          <w:ilvl w:val="0"/>
          <w:numId w:val="13"/>
        </w:numPr>
        <w:spacing w:before="72" w:beforeLines="30" w:beforeAutospacing="0" w:after="72" w:afterLines="30" w:afterAutospacing="0"/>
        <w:ind w:left="0" w:firstLine="0"/>
        <w:jc w:val="both"/>
      </w:pPr>
      <w:r>
        <w:rPr>
          <w:rStyle w:val="13"/>
        </w:rPr>
        <w:t>Aquisição de combustíveis de procedência regular</w:t>
      </w:r>
      <w:r>
        <w:t xml:space="preserve">, fornecidos por empresas devidamente autorizadas pela </w:t>
      </w:r>
      <w:r>
        <w:rPr>
          <w:rStyle w:val="13"/>
        </w:rPr>
        <w:t>Agência Nacional do Petróleo, Gás Natural e Biocombustíveis – ANP</w:t>
      </w:r>
      <w:r>
        <w:t>, assegurando o cumprimento das normas de qualidade e segurança ambiental;</w:t>
      </w:r>
    </w:p>
    <w:p w14:paraId="2804C57B">
      <w:pPr>
        <w:pStyle w:val="25"/>
        <w:numPr>
          <w:ilvl w:val="0"/>
          <w:numId w:val="13"/>
        </w:numPr>
        <w:spacing w:before="72" w:beforeLines="30" w:beforeAutospacing="0" w:after="72" w:afterLines="30" w:afterAutospacing="0"/>
        <w:ind w:left="0" w:firstLine="0"/>
        <w:jc w:val="both"/>
      </w:pPr>
      <w:r>
        <w:rPr>
          <w:rStyle w:val="13"/>
        </w:rPr>
        <w:t>Uso obrigatório do ARLA 32</w:t>
      </w:r>
      <w:r>
        <w:t xml:space="preserve"> nos veículos equipados com tecnologia SCR (Redução Catalítica Seletiva), o que contribui para a </w:t>
      </w:r>
      <w:r>
        <w:rPr>
          <w:rStyle w:val="13"/>
        </w:rPr>
        <w:t>redução da emissão de óxidos de nitrogênio (NOx)</w:t>
      </w:r>
      <w:r>
        <w:t xml:space="preserve"> e, consequentemente, para a melhoria da qualidade do ar;</w:t>
      </w:r>
    </w:p>
    <w:p w14:paraId="5A18D83F">
      <w:pPr>
        <w:pStyle w:val="25"/>
        <w:numPr>
          <w:ilvl w:val="0"/>
          <w:numId w:val="13"/>
        </w:numPr>
        <w:spacing w:before="72" w:beforeLines="30" w:beforeAutospacing="0" w:after="72" w:afterLines="30" w:afterAutospacing="0"/>
        <w:ind w:left="0" w:firstLine="0"/>
        <w:jc w:val="both"/>
      </w:pPr>
      <w:r>
        <w:rPr>
          <w:rStyle w:val="13"/>
        </w:rPr>
        <w:t>Armazenamento e manuseio adequados</w:t>
      </w:r>
      <w:r>
        <w:t xml:space="preserve"> dos produtos, de modo a evitar vazamentos, contaminação do solo e da água, bem como riscos à saúde dos operadores;</w:t>
      </w:r>
    </w:p>
    <w:p w14:paraId="062CDD8E">
      <w:pPr>
        <w:pStyle w:val="25"/>
        <w:numPr>
          <w:ilvl w:val="0"/>
          <w:numId w:val="13"/>
        </w:numPr>
        <w:spacing w:before="72" w:beforeLines="30" w:beforeAutospacing="0" w:after="72" w:afterLines="30" w:afterAutospacing="0"/>
        <w:ind w:left="0" w:firstLine="0"/>
        <w:jc w:val="both"/>
      </w:pPr>
      <w:r>
        <w:rPr>
          <w:rStyle w:val="13"/>
        </w:rPr>
        <w:t>Adoção de práticas de manutenção preventiva da frota</w:t>
      </w:r>
      <w:r>
        <w:t>, garantindo a eficiência energética dos veículos e o menor consumo de combustível possível;</w:t>
      </w:r>
    </w:p>
    <w:p w14:paraId="023C3CF3">
      <w:pPr>
        <w:pStyle w:val="25"/>
        <w:spacing w:before="72" w:beforeLines="30" w:beforeAutospacing="0" w:after="72" w:afterLines="30" w:afterAutospacing="0"/>
        <w:jc w:val="both"/>
      </w:pPr>
      <w:r>
        <w:t xml:space="preserve">                 Por se tratar de produto de consumo e não de bem durável, </w:t>
      </w:r>
      <w:r>
        <w:rPr>
          <w:rStyle w:val="13"/>
        </w:rPr>
        <w:t>não há geração de refugos ou bens passíveis de reciclagem direta</w:t>
      </w:r>
      <w:r>
        <w:rPr>
          <w:b/>
          <w:bCs/>
        </w:rPr>
        <w:t xml:space="preserve"> </w:t>
      </w:r>
      <w:r>
        <w:t xml:space="preserve">no âmbito desta contratação. Ainda assim, a Administração compromete-se a </w:t>
      </w:r>
      <w:r>
        <w:rPr>
          <w:rStyle w:val="13"/>
        </w:rPr>
        <w:t>promover o uso racional dos recursos</w:t>
      </w:r>
      <w:r>
        <w:t xml:space="preserve"> e a priorizar, sempre que possível, </w:t>
      </w:r>
      <w:r>
        <w:rPr>
          <w:rStyle w:val="13"/>
        </w:rPr>
        <w:t>boas práticas de sustentabilidade</w:t>
      </w:r>
      <w:r>
        <w:t>, alinhadas às diretrizes de eficiência e responsabilidade ambiental.</w:t>
      </w:r>
    </w:p>
    <w:p w14:paraId="5BFAD7C5">
      <w:pPr>
        <w:pStyle w:val="25"/>
        <w:spacing w:before="72" w:beforeLines="30" w:beforeAutospacing="0" w:after="72" w:afterLines="30" w:afterAutospacing="0"/>
        <w:jc w:val="both"/>
      </w:pPr>
      <w:r>
        <w:t xml:space="preserve">                Dessa forma, a contratação observa os princípios da </w:t>
      </w:r>
      <w:r>
        <w:rPr>
          <w:rStyle w:val="13"/>
        </w:rPr>
        <w:t>sustentabilidade, eficiência energética e responsabilidade socioambiental</w:t>
      </w:r>
      <w:r>
        <w:t>, contribuindo para a redução dos impactos ambientais e o uso consciente dos recursos públicos</w:t>
      </w:r>
    </w:p>
    <w:p w14:paraId="413481D3">
      <w:pPr>
        <w:spacing w:before="72" w:beforeLines="30" w:after="72" w:afterLines="30"/>
        <w:jc w:val="both"/>
        <w:rPr>
          <w:b/>
          <w:bCs/>
          <w:szCs w:val="24"/>
        </w:rPr>
      </w:pPr>
      <w:r>
        <w:rPr>
          <w:szCs w:val="24"/>
        </w:rPr>
        <w:t xml:space="preserve">  </w:t>
      </w:r>
      <w:r>
        <w:rPr>
          <w:b/>
          <w:bCs/>
          <w:szCs w:val="24"/>
        </w:rPr>
        <w:t>XIII – Gerenciamento de risco.</w:t>
      </w:r>
    </w:p>
    <w:tbl>
      <w:tblPr>
        <w:tblStyle w:val="12"/>
        <w:tblW w:w="8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
        <w:gridCol w:w="1608"/>
        <w:gridCol w:w="178"/>
        <w:gridCol w:w="1269"/>
        <w:gridCol w:w="1253"/>
        <w:gridCol w:w="1281"/>
        <w:gridCol w:w="1198"/>
        <w:gridCol w:w="1270"/>
        <w:gridCol w:w="198"/>
        <w:gridCol w:w="8"/>
      </w:tblGrid>
      <w:tr w14:paraId="6480E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045" w:type="dxa"/>
            <w:gridSpan w:val="2"/>
            <w:tcBorders>
              <w:top w:val="single" w:color="auto" w:sz="4" w:space="0"/>
              <w:left w:val="single" w:color="auto" w:sz="4" w:space="0"/>
              <w:bottom w:val="single" w:color="auto" w:sz="4" w:space="0"/>
              <w:right w:val="single" w:color="auto" w:sz="4" w:space="0"/>
            </w:tcBorders>
            <w:shd w:val="clear" w:color="auto" w:fill="E7E6E6"/>
          </w:tcPr>
          <w:p w14:paraId="166563A8">
            <w:pPr>
              <w:spacing w:before="72" w:beforeLines="30" w:after="72" w:afterLines="30"/>
              <w:jc w:val="both"/>
              <w:rPr>
                <w:b/>
                <w:bCs/>
                <w:iCs/>
                <w:szCs w:val="24"/>
                <w:u w:val="single"/>
              </w:rPr>
            </w:pPr>
            <w:r>
              <w:rPr>
                <w:b/>
                <w:bCs/>
                <w:iCs/>
                <w:szCs w:val="24"/>
                <w:u w:val="single"/>
              </w:rPr>
              <w:t>RISCO 1</w:t>
            </w:r>
          </w:p>
        </w:tc>
        <w:tc>
          <w:tcPr>
            <w:tcW w:w="6647" w:type="dxa"/>
            <w:gridSpan w:val="7"/>
            <w:tcBorders>
              <w:top w:val="single" w:color="auto" w:sz="4" w:space="0"/>
              <w:left w:val="single" w:color="auto" w:sz="4" w:space="0"/>
              <w:bottom w:val="single" w:color="auto" w:sz="4" w:space="0"/>
              <w:right w:val="single" w:color="auto" w:sz="4" w:space="0"/>
            </w:tcBorders>
            <w:shd w:val="clear" w:color="auto" w:fill="FFFFFF"/>
          </w:tcPr>
          <w:p w14:paraId="4AACDC01">
            <w:pPr>
              <w:spacing w:before="72" w:beforeLines="30" w:after="72" w:afterLines="30"/>
              <w:jc w:val="both"/>
              <w:rPr>
                <w:b/>
                <w:bCs/>
                <w:iCs/>
                <w:szCs w:val="24"/>
                <w:u w:val="single"/>
              </w:rPr>
            </w:pPr>
            <w:r>
              <w:rPr>
                <w:b/>
                <w:bCs/>
                <w:iCs/>
                <w:szCs w:val="24"/>
                <w:u w:val="single"/>
              </w:rPr>
              <w:t>Falta de conhecimento dos agentes públicos responsáveis pela contratação sobre o Plano Anual de Contratação</w:t>
            </w:r>
          </w:p>
        </w:tc>
      </w:tr>
      <w:tr w14:paraId="61F69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3F238D62">
            <w:pPr>
              <w:spacing w:before="72" w:beforeLines="30" w:after="72" w:afterLines="30"/>
              <w:jc w:val="both"/>
              <w:rPr>
                <w:b/>
                <w:bCs/>
                <w:szCs w:val="24"/>
              </w:rPr>
            </w:pPr>
            <w:r>
              <w:rPr>
                <w:b/>
                <w:bCs/>
                <w:szCs w:val="24"/>
              </w:rPr>
              <w:t>ETAPA</w:t>
            </w:r>
          </w:p>
        </w:tc>
        <w:tc>
          <w:tcPr>
            <w:tcW w:w="6655" w:type="dxa"/>
            <w:gridSpan w:val="8"/>
            <w:tcBorders>
              <w:top w:val="single" w:color="auto" w:sz="4" w:space="0"/>
              <w:left w:val="single" w:color="auto" w:sz="4" w:space="0"/>
              <w:bottom w:val="single" w:color="auto" w:sz="4" w:space="0"/>
              <w:right w:val="single" w:color="auto" w:sz="4" w:space="0"/>
            </w:tcBorders>
          </w:tcPr>
          <w:p w14:paraId="51F3CD4E">
            <w:pPr>
              <w:spacing w:before="72" w:beforeLines="30" w:after="72" w:afterLines="30"/>
              <w:jc w:val="both"/>
              <w:rPr>
                <w:szCs w:val="24"/>
              </w:rPr>
            </w:pPr>
            <w:r>
              <w:rPr>
                <w:szCs w:val="24"/>
              </w:rPr>
              <w:t xml:space="preserve">( x )Planejamento             (   ) Seleção do fornecedor </w:t>
            </w:r>
          </w:p>
          <w:p w14:paraId="111807F9">
            <w:pPr>
              <w:spacing w:before="72" w:beforeLines="30" w:after="72" w:afterLines="30"/>
              <w:jc w:val="both"/>
              <w:rPr>
                <w:szCs w:val="24"/>
              </w:rPr>
            </w:pPr>
            <w:r>
              <w:rPr>
                <w:szCs w:val="24"/>
              </w:rPr>
              <w:t>(   ) Execução do Contrato</w:t>
            </w:r>
          </w:p>
        </w:tc>
      </w:tr>
      <w:tr w14:paraId="0212A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4D34BD35">
            <w:pPr>
              <w:spacing w:before="72" w:beforeLines="30" w:after="72" w:afterLines="30"/>
              <w:jc w:val="both"/>
              <w:rPr>
                <w:b/>
                <w:bCs/>
                <w:szCs w:val="24"/>
              </w:rPr>
            </w:pPr>
            <w:r>
              <w:rPr>
                <w:b/>
                <w:bCs/>
                <w:szCs w:val="24"/>
              </w:rPr>
              <w:t>Probabilidade</w:t>
            </w:r>
          </w:p>
        </w:tc>
        <w:tc>
          <w:tcPr>
            <w:tcW w:w="6655" w:type="dxa"/>
            <w:gridSpan w:val="8"/>
            <w:tcBorders>
              <w:top w:val="single" w:color="auto" w:sz="4" w:space="0"/>
              <w:left w:val="single" w:color="auto" w:sz="4" w:space="0"/>
              <w:bottom w:val="single" w:color="auto" w:sz="4" w:space="0"/>
              <w:right w:val="single" w:color="auto" w:sz="4" w:space="0"/>
            </w:tcBorders>
          </w:tcPr>
          <w:p w14:paraId="7B4B8074">
            <w:pPr>
              <w:spacing w:before="72" w:beforeLines="30" w:after="72" w:afterLines="30"/>
              <w:jc w:val="both"/>
              <w:rPr>
                <w:szCs w:val="24"/>
              </w:rPr>
            </w:pPr>
            <w:r>
              <w:rPr>
                <w:szCs w:val="24"/>
              </w:rPr>
              <w:t xml:space="preserve">( x ) Muito baixo (   ) baixo (   ) médio </w:t>
            </w:r>
          </w:p>
          <w:p w14:paraId="1A8BD90E">
            <w:pPr>
              <w:spacing w:before="72" w:beforeLines="30" w:after="72" w:afterLines="30"/>
              <w:jc w:val="both"/>
              <w:rPr>
                <w:szCs w:val="24"/>
              </w:rPr>
            </w:pPr>
            <w:r>
              <w:rPr>
                <w:szCs w:val="24"/>
              </w:rPr>
              <w:t>(   ) alto (   ) muito alto</w:t>
            </w:r>
          </w:p>
        </w:tc>
      </w:tr>
      <w:tr w14:paraId="53700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2153D166">
            <w:pPr>
              <w:spacing w:before="72" w:beforeLines="30" w:after="72" w:afterLines="30"/>
              <w:jc w:val="both"/>
              <w:rPr>
                <w:b/>
                <w:bCs/>
                <w:szCs w:val="24"/>
              </w:rPr>
            </w:pPr>
            <w:r>
              <w:rPr>
                <w:b/>
                <w:bCs/>
                <w:szCs w:val="24"/>
              </w:rPr>
              <w:t>Impacto</w:t>
            </w:r>
          </w:p>
        </w:tc>
        <w:tc>
          <w:tcPr>
            <w:tcW w:w="6655" w:type="dxa"/>
            <w:gridSpan w:val="8"/>
            <w:tcBorders>
              <w:top w:val="single" w:color="auto" w:sz="4" w:space="0"/>
              <w:left w:val="single" w:color="auto" w:sz="4" w:space="0"/>
              <w:bottom w:val="single" w:color="auto" w:sz="4" w:space="0"/>
              <w:right w:val="single" w:color="auto" w:sz="4" w:space="0"/>
            </w:tcBorders>
          </w:tcPr>
          <w:p w14:paraId="2794F812">
            <w:pPr>
              <w:spacing w:before="72" w:beforeLines="30" w:after="72" w:afterLines="30"/>
              <w:jc w:val="both"/>
              <w:rPr>
                <w:szCs w:val="24"/>
              </w:rPr>
            </w:pPr>
            <w:r>
              <w:rPr>
                <w:szCs w:val="24"/>
              </w:rPr>
              <w:t xml:space="preserve">(   ) Muito baixo (   ) baixo (   ) médio </w:t>
            </w:r>
          </w:p>
          <w:p w14:paraId="18FD95FF">
            <w:pPr>
              <w:spacing w:before="72" w:beforeLines="30" w:after="72" w:afterLines="30"/>
              <w:jc w:val="both"/>
              <w:rPr>
                <w:szCs w:val="24"/>
              </w:rPr>
            </w:pPr>
            <w:r>
              <w:rPr>
                <w:szCs w:val="24"/>
              </w:rPr>
              <w:t>(x) alto (   ) muito alto</w:t>
            </w:r>
          </w:p>
        </w:tc>
      </w:tr>
      <w:tr w14:paraId="7089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0BE5CF08">
            <w:pPr>
              <w:spacing w:before="72" w:beforeLines="30" w:after="72" w:afterLines="30"/>
              <w:jc w:val="both"/>
              <w:rPr>
                <w:b/>
                <w:bCs/>
                <w:szCs w:val="24"/>
              </w:rPr>
            </w:pPr>
            <w:r>
              <w:rPr>
                <w:b/>
                <w:bCs/>
                <w:szCs w:val="24"/>
              </w:rPr>
              <w:t>Medida (s)</w:t>
            </w:r>
          </w:p>
        </w:tc>
        <w:tc>
          <w:tcPr>
            <w:tcW w:w="6655" w:type="dxa"/>
            <w:gridSpan w:val="8"/>
            <w:tcBorders>
              <w:top w:val="single" w:color="auto" w:sz="4" w:space="0"/>
              <w:left w:val="single" w:color="auto" w:sz="4" w:space="0"/>
              <w:bottom w:val="single" w:color="auto" w:sz="4" w:space="0"/>
              <w:right w:val="single" w:color="auto" w:sz="4" w:space="0"/>
            </w:tcBorders>
          </w:tcPr>
          <w:p w14:paraId="0A441291">
            <w:pPr>
              <w:spacing w:before="72" w:beforeLines="30" w:after="72" w:afterLines="30"/>
              <w:jc w:val="both"/>
              <w:rPr>
                <w:szCs w:val="24"/>
              </w:rPr>
            </w:pPr>
            <w:r>
              <w:rPr>
                <w:szCs w:val="24"/>
              </w:rPr>
              <w:t>Contratação emergencial para atendimento da necessidade pública, com eventual apuração de responsabilidade em razão da descontinuidade do serviço.</w:t>
            </w:r>
          </w:p>
        </w:tc>
      </w:tr>
      <w:tr w14:paraId="1A3CA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532030C5">
            <w:pPr>
              <w:spacing w:before="72" w:beforeLines="30" w:after="72" w:afterLines="30"/>
              <w:jc w:val="both"/>
              <w:rPr>
                <w:b/>
                <w:bCs/>
                <w:szCs w:val="24"/>
              </w:rPr>
            </w:pPr>
            <w:r>
              <w:rPr>
                <w:b/>
                <w:bCs/>
                <w:szCs w:val="24"/>
              </w:rPr>
              <w:t>Responsável</w:t>
            </w:r>
          </w:p>
        </w:tc>
        <w:tc>
          <w:tcPr>
            <w:tcW w:w="6655" w:type="dxa"/>
            <w:gridSpan w:val="8"/>
            <w:tcBorders>
              <w:top w:val="single" w:color="auto" w:sz="4" w:space="0"/>
              <w:left w:val="single" w:color="auto" w:sz="4" w:space="0"/>
              <w:bottom w:val="single" w:color="auto" w:sz="4" w:space="0"/>
              <w:right w:val="single" w:color="auto" w:sz="4" w:space="0"/>
            </w:tcBorders>
          </w:tcPr>
          <w:p w14:paraId="14FBC837">
            <w:pPr>
              <w:spacing w:before="72" w:beforeLines="30" w:after="72" w:afterLines="30"/>
              <w:jc w:val="both"/>
              <w:rPr>
                <w:szCs w:val="24"/>
              </w:rPr>
            </w:pPr>
            <w:r>
              <w:rPr>
                <w:szCs w:val="24"/>
              </w:rPr>
              <w:t xml:space="preserve">Equipe de planejamento </w:t>
            </w:r>
          </w:p>
        </w:tc>
      </w:tr>
      <w:tr w14:paraId="770AB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045" w:type="dxa"/>
            <w:gridSpan w:val="2"/>
            <w:tcBorders>
              <w:top w:val="single" w:color="auto" w:sz="4" w:space="0"/>
              <w:left w:val="single" w:color="auto" w:sz="4" w:space="0"/>
              <w:bottom w:val="single" w:color="auto" w:sz="4" w:space="0"/>
              <w:right w:val="single" w:color="auto" w:sz="4" w:space="0"/>
            </w:tcBorders>
            <w:shd w:val="clear" w:color="auto" w:fill="E7E6E6"/>
          </w:tcPr>
          <w:p w14:paraId="23DA7807">
            <w:pPr>
              <w:spacing w:before="72" w:beforeLines="30" w:after="72" w:afterLines="30"/>
              <w:jc w:val="both"/>
              <w:rPr>
                <w:b/>
                <w:bCs/>
                <w:iCs/>
                <w:szCs w:val="24"/>
                <w:u w:val="single"/>
              </w:rPr>
            </w:pPr>
            <w:r>
              <w:rPr>
                <w:b/>
                <w:bCs/>
                <w:iCs/>
                <w:szCs w:val="24"/>
                <w:u w:val="single"/>
              </w:rPr>
              <w:t>RISCO 2</w:t>
            </w:r>
          </w:p>
        </w:tc>
        <w:tc>
          <w:tcPr>
            <w:tcW w:w="6647" w:type="dxa"/>
            <w:gridSpan w:val="7"/>
            <w:tcBorders>
              <w:top w:val="single" w:color="auto" w:sz="4" w:space="0"/>
              <w:left w:val="single" w:color="auto" w:sz="4" w:space="0"/>
              <w:bottom w:val="single" w:color="auto" w:sz="4" w:space="0"/>
              <w:right w:val="single" w:color="auto" w:sz="4" w:space="0"/>
            </w:tcBorders>
          </w:tcPr>
          <w:p w14:paraId="0F3B752B">
            <w:pPr>
              <w:spacing w:before="72" w:beforeLines="30" w:after="72" w:afterLines="30"/>
              <w:jc w:val="both"/>
              <w:rPr>
                <w:b/>
                <w:bCs/>
                <w:iCs/>
                <w:szCs w:val="24"/>
                <w:u w:val="single"/>
              </w:rPr>
            </w:pPr>
            <w:r>
              <w:rPr>
                <w:b/>
                <w:bCs/>
                <w:iCs/>
                <w:szCs w:val="24"/>
                <w:u w:val="single"/>
              </w:rPr>
              <w:t xml:space="preserve">Fornecedor não atender aos requisitos de documentação pré-estabelecidos </w:t>
            </w:r>
          </w:p>
        </w:tc>
      </w:tr>
      <w:tr w14:paraId="04497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71224144">
            <w:pPr>
              <w:spacing w:before="72" w:beforeLines="30" w:after="72" w:afterLines="30"/>
              <w:jc w:val="both"/>
              <w:rPr>
                <w:b/>
                <w:bCs/>
                <w:szCs w:val="24"/>
              </w:rPr>
            </w:pPr>
            <w:r>
              <w:rPr>
                <w:b/>
                <w:bCs/>
                <w:szCs w:val="24"/>
              </w:rPr>
              <w:t>ETAPA</w:t>
            </w:r>
          </w:p>
        </w:tc>
        <w:tc>
          <w:tcPr>
            <w:tcW w:w="6655" w:type="dxa"/>
            <w:gridSpan w:val="8"/>
            <w:tcBorders>
              <w:top w:val="single" w:color="auto" w:sz="4" w:space="0"/>
              <w:left w:val="single" w:color="auto" w:sz="4" w:space="0"/>
              <w:bottom w:val="single" w:color="auto" w:sz="4" w:space="0"/>
              <w:right w:val="single" w:color="auto" w:sz="4" w:space="0"/>
            </w:tcBorders>
          </w:tcPr>
          <w:p w14:paraId="4A2EBAB9">
            <w:pPr>
              <w:spacing w:before="72" w:beforeLines="30" w:after="72" w:afterLines="30"/>
              <w:jc w:val="both"/>
              <w:rPr>
                <w:szCs w:val="24"/>
              </w:rPr>
            </w:pPr>
            <w:r>
              <w:rPr>
                <w:szCs w:val="24"/>
              </w:rPr>
              <w:t xml:space="preserve">(   )Planejamento             (x ) Seleção do fornecedor </w:t>
            </w:r>
          </w:p>
          <w:p w14:paraId="7DBE3022">
            <w:pPr>
              <w:spacing w:before="72" w:beforeLines="30" w:after="72" w:afterLines="30"/>
              <w:jc w:val="both"/>
              <w:rPr>
                <w:szCs w:val="24"/>
              </w:rPr>
            </w:pPr>
            <w:r>
              <w:rPr>
                <w:szCs w:val="24"/>
              </w:rPr>
              <w:t>(   ) Execução do Contrato</w:t>
            </w:r>
          </w:p>
        </w:tc>
      </w:tr>
      <w:tr w14:paraId="05785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1222B744">
            <w:pPr>
              <w:spacing w:before="72" w:beforeLines="30" w:after="72" w:afterLines="30"/>
              <w:jc w:val="both"/>
              <w:rPr>
                <w:b/>
                <w:bCs/>
                <w:szCs w:val="24"/>
              </w:rPr>
            </w:pPr>
            <w:r>
              <w:rPr>
                <w:b/>
                <w:bCs/>
                <w:szCs w:val="24"/>
              </w:rPr>
              <w:t>Probabilidade</w:t>
            </w:r>
          </w:p>
        </w:tc>
        <w:tc>
          <w:tcPr>
            <w:tcW w:w="6655" w:type="dxa"/>
            <w:gridSpan w:val="8"/>
            <w:tcBorders>
              <w:top w:val="single" w:color="auto" w:sz="4" w:space="0"/>
              <w:left w:val="single" w:color="auto" w:sz="4" w:space="0"/>
              <w:bottom w:val="single" w:color="auto" w:sz="4" w:space="0"/>
              <w:right w:val="single" w:color="auto" w:sz="4" w:space="0"/>
            </w:tcBorders>
          </w:tcPr>
          <w:p w14:paraId="58DD7296">
            <w:pPr>
              <w:spacing w:before="72" w:beforeLines="30" w:after="72" w:afterLines="30"/>
              <w:jc w:val="both"/>
              <w:rPr>
                <w:szCs w:val="24"/>
              </w:rPr>
            </w:pPr>
            <w:r>
              <w:rPr>
                <w:szCs w:val="24"/>
              </w:rPr>
              <w:t xml:space="preserve">(   ) Muito baixo ( x ) baixo (   ) médio </w:t>
            </w:r>
          </w:p>
          <w:p w14:paraId="4281B7E3">
            <w:pPr>
              <w:spacing w:before="72" w:beforeLines="30" w:after="72" w:afterLines="30"/>
              <w:jc w:val="both"/>
              <w:rPr>
                <w:szCs w:val="24"/>
              </w:rPr>
            </w:pPr>
            <w:r>
              <w:rPr>
                <w:szCs w:val="24"/>
              </w:rPr>
              <w:t>(   ) alto (   ) muito alto</w:t>
            </w:r>
          </w:p>
        </w:tc>
      </w:tr>
      <w:tr w14:paraId="57B0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75FB2C03">
            <w:pPr>
              <w:spacing w:before="72" w:beforeLines="30" w:after="72" w:afterLines="30"/>
              <w:jc w:val="both"/>
              <w:rPr>
                <w:b/>
                <w:bCs/>
                <w:szCs w:val="24"/>
              </w:rPr>
            </w:pPr>
            <w:r>
              <w:rPr>
                <w:b/>
                <w:bCs/>
                <w:szCs w:val="24"/>
              </w:rPr>
              <w:t>Impacto</w:t>
            </w:r>
          </w:p>
        </w:tc>
        <w:tc>
          <w:tcPr>
            <w:tcW w:w="6655" w:type="dxa"/>
            <w:gridSpan w:val="8"/>
            <w:tcBorders>
              <w:top w:val="single" w:color="auto" w:sz="4" w:space="0"/>
              <w:left w:val="single" w:color="auto" w:sz="4" w:space="0"/>
              <w:bottom w:val="single" w:color="auto" w:sz="4" w:space="0"/>
              <w:right w:val="single" w:color="auto" w:sz="4" w:space="0"/>
            </w:tcBorders>
          </w:tcPr>
          <w:p w14:paraId="3FD469D3">
            <w:pPr>
              <w:spacing w:before="72" w:beforeLines="30" w:after="72" w:afterLines="30"/>
              <w:jc w:val="both"/>
              <w:rPr>
                <w:szCs w:val="24"/>
              </w:rPr>
            </w:pPr>
            <w:r>
              <w:rPr>
                <w:szCs w:val="24"/>
              </w:rPr>
              <w:t xml:space="preserve">(   ) Muito baixo (   ) baixo ( x ) médio </w:t>
            </w:r>
          </w:p>
          <w:p w14:paraId="52EC8B82">
            <w:pPr>
              <w:spacing w:before="72" w:beforeLines="30" w:after="72" w:afterLines="30"/>
              <w:jc w:val="both"/>
              <w:rPr>
                <w:szCs w:val="24"/>
              </w:rPr>
            </w:pPr>
            <w:r>
              <w:rPr>
                <w:szCs w:val="24"/>
              </w:rPr>
              <w:t>(   ) alto (   ) muito alto</w:t>
            </w:r>
          </w:p>
        </w:tc>
      </w:tr>
      <w:tr w14:paraId="0ED4A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36E0F50C">
            <w:pPr>
              <w:spacing w:before="72" w:beforeLines="30" w:after="72" w:afterLines="30"/>
              <w:jc w:val="both"/>
              <w:rPr>
                <w:b/>
                <w:bCs/>
                <w:szCs w:val="24"/>
              </w:rPr>
            </w:pPr>
            <w:r>
              <w:rPr>
                <w:b/>
                <w:bCs/>
                <w:szCs w:val="24"/>
              </w:rPr>
              <w:t>Medida (s)</w:t>
            </w:r>
          </w:p>
        </w:tc>
        <w:tc>
          <w:tcPr>
            <w:tcW w:w="6655" w:type="dxa"/>
            <w:gridSpan w:val="8"/>
            <w:tcBorders>
              <w:top w:val="single" w:color="auto" w:sz="4" w:space="0"/>
              <w:left w:val="single" w:color="auto" w:sz="4" w:space="0"/>
              <w:bottom w:val="single" w:color="auto" w:sz="4" w:space="0"/>
              <w:right w:val="single" w:color="auto" w:sz="4" w:space="0"/>
            </w:tcBorders>
          </w:tcPr>
          <w:p w14:paraId="6F258E65">
            <w:pPr>
              <w:spacing w:before="72" w:beforeLines="30" w:after="72" w:afterLines="30"/>
              <w:jc w:val="both"/>
              <w:rPr>
                <w:szCs w:val="24"/>
              </w:rPr>
            </w:pPr>
            <w:r>
              <w:rPr>
                <w:szCs w:val="24"/>
              </w:rPr>
              <w:t xml:space="preserve">Solicitar ao fornecedor regulamentação das documentações, caso não atenda aos prazos, realizar troca de fornecedor </w:t>
            </w:r>
          </w:p>
        </w:tc>
      </w:tr>
      <w:tr w14:paraId="28874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0FD7912F">
            <w:pPr>
              <w:spacing w:before="72" w:beforeLines="30" w:after="72" w:afterLines="30"/>
              <w:jc w:val="both"/>
              <w:rPr>
                <w:b/>
                <w:bCs/>
                <w:szCs w:val="24"/>
              </w:rPr>
            </w:pPr>
            <w:r>
              <w:rPr>
                <w:b/>
                <w:bCs/>
                <w:szCs w:val="24"/>
              </w:rPr>
              <w:t>Responsável</w:t>
            </w:r>
          </w:p>
        </w:tc>
        <w:tc>
          <w:tcPr>
            <w:tcW w:w="6655" w:type="dxa"/>
            <w:gridSpan w:val="8"/>
            <w:tcBorders>
              <w:top w:val="single" w:color="auto" w:sz="4" w:space="0"/>
              <w:left w:val="single" w:color="auto" w:sz="4" w:space="0"/>
              <w:bottom w:val="single" w:color="auto" w:sz="4" w:space="0"/>
              <w:right w:val="single" w:color="auto" w:sz="4" w:space="0"/>
            </w:tcBorders>
          </w:tcPr>
          <w:p w14:paraId="5BE9845A">
            <w:pPr>
              <w:spacing w:before="72" w:beforeLines="30" w:after="72" w:afterLines="30"/>
              <w:jc w:val="both"/>
              <w:rPr>
                <w:szCs w:val="24"/>
              </w:rPr>
            </w:pPr>
            <w:r>
              <w:rPr>
                <w:szCs w:val="24"/>
              </w:rPr>
              <w:t xml:space="preserve">Agente de contratação </w:t>
            </w:r>
          </w:p>
        </w:tc>
      </w:tr>
      <w:tr w14:paraId="1641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045" w:type="dxa"/>
            <w:gridSpan w:val="2"/>
            <w:tcBorders>
              <w:top w:val="single" w:color="auto" w:sz="4" w:space="0"/>
              <w:left w:val="single" w:color="auto" w:sz="4" w:space="0"/>
              <w:bottom w:val="single" w:color="auto" w:sz="4" w:space="0"/>
              <w:right w:val="single" w:color="auto" w:sz="4" w:space="0"/>
            </w:tcBorders>
            <w:shd w:val="clear" w:color="auto" w:fill="E7E6E6"/>
          </w:tcPr>
          <w:p w14:paraId="68BF0163">
            <w:pPr>
              <w:spacing w:before="72" w:beforeLines="30" w:after="72" w:afterLines="30"/>
              <w:jc w:val="both"/>
              <w:rPr>
                <w:b/>
                <w:bCs/>
                <w:iCs/>
                <w:szCs w:val="24"/>
                <w:u w:val="single"/>
              </w:rPr>
            </w:pPr>
            <w:r>
              <w:rPr>
                <w:b/>
                <w:bCs/>
                <w:iCs/>
                <w:szCs w:val="24"/>
                <w:u w:val="single"/>
              </w:rPr>
              <w:t>RISCO 3</w:t>
            </w:r>
          </w:p>
        </w:tc>
        <w:tc>
          <w:tcPr>
            <w:tcW w:w="6647" w:type="dxa"/>
            <w:gridSpan w:val="7"/>
            <w:tcBorders>
              <w:top w:val="single" w:color="auto" w:sz="4" w:space="0"/>
              <w:left w:val="single" w:color="auto" w:sz="4" w:space="0"/>
              <w:bottom w:val="single" w:color="auto" w:sz="4" w:space="0"/>
              <w:right w:val="single" w:color="auto" w:sz="4" w:space="0"/>
            </w:tcBorders>
          </w:tcPr>
          <w:p w14:paraId="02A53079">
            <w:pPr>
              <w:spacing w:before="72" w:beforeLines="30" w:after="72" w:afterLines="30"/>
              <w:jc w:val="both"/>
              <w:rPr>
                <w:b/>
                <w:bCs/>
                <w:iCs/>
                <w:szCs w:val="24"/>
                <w:u w:val="single"/>
              </w:rPr>
            </w:pPr>
            <w:r>
              <w:rPr>
                <w:b/>
                <w:bCs/>
                <w:iCs/>
                <w:szCs w:val="24"/>
                <w:u w:val="single"/>
              </w:rPr>
              <w:t>Dados de NF com  produtos  divergentes dos contratados (quantidade e qualidade)</w:t>
            </w:r>
          </w:p>
        </w:tc>
      </w:tr>
      <w:tr w14:paraId="64297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627E9492">
            <w:pPr>
              <w:spacing w:before="72" w:beforeLines="30" w:after="72" w:afterLines="30"/>
              <w:jc w:val="both"/>
              <w:rPr>
                <w:b/>
                <w:bCs/>
                <w:szCs w:val="24"/>
              </w:rPr>
            </w:pPr>
            <w:r>
              <w:rPr>
                <w:b/>
                <w:bCs/>
                <w:szCs w:val="24"/>
              </w:rPr>
              <w:t>ETAPA</w:t>
            </w:r>
          </w:p>
        </w:tc>
        <w:tc>
          <w:tcPr>
            <w:tcW w:w="6655" w:type="dxa"/>
            <w:gridSpan w:val="8"/>
            <w:tcBorders>
              <w:top w:val="single" w:color="auto" w:sz="4" w:space="0"/>
              <w:left w:val="single" w:color="auto" w:sz="4" w:space="0"/>
              <w:bottom w:val="single" w:color="auto" w:sz="4" w:space="0"/>
              <w:right w:val="single" w:color="auto" w:sz="4" w:space="0"/>
            </w:tcBorders>
          </w:tcPr>
          <w:p w14:paraId="2D16A325">
            <w:pPr>
              <w:spacing w:before="72" w:beforeLines="30" w:after="72" w:afterLines="30"/>
              <w:jc w:val="both"/>
              <w:rPr>
                <w:szCs w:val="24"/>
              </w:rPr>
            </w:pPr>
            <w:r>
              <w:rPr>
                <w:szCs w:val="24"/>
              </w:rPr>
              <w:t xml:space="preserve">(   )Planejamento             (   ) Seleção do fornecedor </w:t>
            </w:r>
          </w:p>
          <w:p w14:paraId="587D90D1">
            <w:pPr>
              <w:spacing w:before="72" w:beforeLines="30" w:after="72" w:afterLines="30"/>
              <w:jc w:val="both"/>
              <w:rPr>
                <w:szCs w:val="24"/>
              </w:rPr>
            </w:pPr>
            <w:r>
              <w:rPr>
                <w:szCs w:val="24"/>
              </w:rPr>
              <w:t>( x ) Execução do Contrato</w:t>
            </w:r>
          </w:p>
        </w:tc>
      </w:tr>
      <w:tr w14:paraId="443C8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26782023">
            <w:pPr>
              <w:spacing w:before="72" w:beforeLines="30" w:after="72" w:afterLines="30"/>
              <w:jc w:val="both"/>
              <w:rPr>
                <w:b/>
                <w:bCs/>
                <w:szCs w:val="24"/>
              </w:rPr>
            </w:pPr>
            <w:r>
              <w:rPr>
                <w:b/>
                <w:bCs/>
                <w:szCs w:val="24"/>
              </w:rPr>
              <w:t>Probabilidade</w:t>
            </w:r>
          </w:p>
        </w:tc>
        <w:tc>
          <w:tcPr>
            <w:tcW w:w="6655" w:type="dxa"/>
            <w:gridSpan w:val="8"/>
            <w:tcBorders>
              <w:top w:val="single" w:color="auto" w:sz="4" w:space="0"/>
              <w:left w:val="single" w:color="auto" w:sz="4" w:space="0"/>
              <w:bottom w:val="single" w:color="auto" w:sz="4" w:space="0"/>
              <w:right w:val="single" w:color="auto" w:sz="4" w:space="0"/>
            </w:tcBorders>
          </w:tcPr>
          <w:p w14:paraId="697599FB">
            <w:pPr>
              <w:spacing w:before="72" w:beforeLines="30" w:after="72" w:afterLines="30"/>
              <w:jc w:val="both"/>
              <w:rPr>
                <w:szCs w:val="24"/>
              </w:rPr>
            </w:pPr>
            <w:r>
              <w:rPr>
                <w:szCs w:val="24"/>
              </w:rPr>
              <w:t xml:space="preserve">(   ) Muito baixo (   ) baixo ( x ) médio </w:t>
            </w:r>
          </w:p>
          <w:p w14:paraId="5FA12605">
            <w:pPr>
              <w:spacing w:before="72" w:beforeLines="30" w:after="72" w:afterLines="30"/>
              <w:jc w:val="both"/>
              <w:rPr>
                <w:szCs w:val="24"/>
              </w:rPr>
            </w:pPr>
            <w:r>
              <w:rPr>
                <w:szCs w:val="24"/>
              </w:rPr>
              <w:t>(   ) alto (   ) muito alto</w:t>
            </w:r>
          </w:p>
        </w:tc>
      </w:tr>
      <w:tr w14:paraId="7EF92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6112F3A5">
            <w:pPr>
              <w:spacing w:before="72" w:beforeLines="30" w:after="72" w:afterLines="30"/>
              <w:jc w:val="both"/>
              <w:rPr>
                <w:b/>
                <w:bCs/>
                <w:szCs w:val="24"/>
              </w:rPr>
            </w:pPr>
            <w:r>
              <w:rPr>
                <w:b/>
                <w:bCs/>
                <w:szCs w:val="24"/>
              </w:rPr>
              <w:t>Impacto</w:t>
            </w:r>
          </w:p>
        </w:tc>
        <w:tc>
          <w:tcPr>
            <w:tcW w:w="6655" w:type="dxa"/>
            <w:gridSpan w:val="8"/>
            <w:tcBorders>
              <w:top w:val="single" w:color="auto" w:sz="4" w:space="0"/>
              <w:left w:val="single" w:color="auto" w:sz="4" w:space="0"/>
              <w:bottom w:val="single" w:color="auto" w:sz="4" w:space="0"/>
              <w:right w:val="single" w:color="auto" w:sz="4" w:space="0"/>
            </w:tcBorders>
          </w:tcPr>
          <w:p w14:paraId="2F19DE14">
            <w:pPr>
              <w:spacing w:before="72" w:beforeLines="30" w:after="72" w:afterLines="30"/>
              <w:jc w:val="both"/>
              <w:rPr>
                <w:szCs w:val="24"/>
              </w:rPr>
            </w:pPr>
            <w:r>
              <w:rPr>
                <w:szCs w:val="24"/>
              </w:rPr>
              <w:t xml:space="preserve">(   ) Muito baixo (   ) baixo (   ) médio </w:t>
            </w:r>
          </w:p>
          <w:p w14:paraId="0E6976A4">
            <w:pPr>
              <w:spacing w:before="72" w:beforeLines="30" w:after="72" w:afterLines="30"/>
              <w:jc w:val="both"/>
              <w:rPr>
                <w:szCs w:val="24"/>
              </w:rPr>
            </w:pPr>
            <w:r>
              <w:rPr>
                <w:szCs w:val="24"/>
              </w:rPr>
              <w:t>(   ) alto (x) muito alto</w:t>
            </w:r>
          </w:p>
        </w:tc>
      </w:tr>
      <w:tr w14:paraId="7894E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38908A6E">
            <w:pPr>
              <w:spacing w:before="72" w:beforeLines="30" w:after="72" w:afterLines="30"/>
              <w:jc w:val="both"/>
              <w:rPr>
                <w:b/>
                <w:bCs/>
                <w:szCs w:val="24"/>
              </w:rPr>
            </w:pPr>
            <w:r>
              <w:rPr>
                <w:b/>
                <w:bCs/>
                <w:szCs w:val="24"/>
              </w:rPr>
              <w:t>Medida (s)</w:t>
            </w:r>
          </w:p>
        </w:tc>
        <w:tc>
          <w:tcPr>
            <w:tcW w:w="6655" w:type="dxa"/>
            <w:gridSpan w:val="8"/>
            <w:tcBorders>
              <w:top w:val="single" w:color="auto" w:sz="4" w:space="0"/>
              <w:left w:val="single" w:color="auto" w:sz="4" w:space="0"/>
              <w:bottom w:val="single" w:color="auto" w:sz="4" w:space="0"/>
              <w:right w:val="single" w:color="auto" w:sz="4" w:space="0"/>
            </w:tcBorders>
          </w:tcPr>
          <w:p w14:paraId="1C1B6838">
            <w:pPr>
              <w:spacing w:before="72" w:beforeLines="30" w:after="72" w:afterLines="30"/>
              <w:jc w:val="both"/>
              <w:rPr>
                <w:szCs w:val="24"/>
              </w:rPr>
            </w:pPr>
            <w:r>
              <w:rPr>
                <w:szCs w:val="24"/>
              </w:rPr>
              <w:t>Suspensão do processo de pagamento até a comprovação da entrega do produto de acordo com a quantidade e qualidade contratadas</w:t>
            </w:r>
          </w:p>
          <w:p w14:paraId="6279E00B">
            <w:pPr>
              <w:spacing w:before="72" w:beforeLines="30" w:after="72" w:afterLines="30"/>
              <w:jc w:val="both"/>
              <w:rPr>
                <w:szCs w:val="24"/>
              </w:rPr>
            </w:pPr>
            <w:r>
              <w:rPr>
                <w:szCs w:val="24"/>
              </w:rPr>
              <w:t>Apuração da responsabilidade dos servidores e da empresa contratada</w:t>
            </w:r>
          </w:p>
        </w:tc>
      </w:tr>
      <w:tr w14:paraId="36040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0444906F">
            <w:pPr>
              <w:spacing w:before="72" w:beforeLines="30" w:after="72" w:afterLines="30"/>
              <w:jc w:val="both"/>
              <w:rPr>
                <w:b/>
                <w:bCs/>
                <w:szCs w:val="24"/>
              </w:rPr>
            </w:pPr>
            <w:r>
              <w:rPr>
                <w:b/>
                <w:bCs/>
                <w:szCs w:val="24"/>
              </w:rPr>
              <w:t>Responsável</w:t>
            </w:r>
          </w:p>
        </w:tc>
        <w:tc>
          <w:tcPr>
            <w:tcW w:w="6655" w:type="dxa"/>
            <w:gridSpan w:val="8"/>
            <w:tcBorders>
              <w:top w:val="single" w:color="auto" w:sz="4" w:space="0"/>
              <w:left w:val="single" w:color="auto" w:sz="4" w:space="0"/>
              <w:bottom w:val="single" w:color="auto" w:sz="4" w:space="0"/>
              <w:right w:val="single" w:color="auto" w:sz="4" w:space="0"/>
            </w:tcBorders>
          </w:tcPr>
          <w:p w14:paraId="55659B4F">
            <w:pPr>
              <w:spacing w:before="72" w:beforeLines="30" w:after="72" w:afterLines="30"/>
              <w:jc w:val="both"/>
              <w:rPr>
                <w:szCs w:val="24"/>
              </w:rPr>
            </w:pPr>
            <w:r>
              <w:rPr>
                <w:szCs w:val="24"/>
              </w:rPr>
              <w:t xml:space="preserve">Fiscal do contrato </w:t>
            </w:r>
          </w:p>
        </w:tc>
      </w:tr>
      <w:tr w14:paraId="76305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045" w:type="dxa"/>
            <w:gridSpan w:val="2"/>
            <w:tcBorders>
              <w:top w:val="single" w:color="auto" w:sz="4" w:space="0"/>
              <w:left w:val="single" w:color="auto" w:sz="4" w:space="0"/>
              <w:bottom w:val="single" w:color="auto" w:sz="4" w:space="0"/>
              <w:right w:val="single" w:color="auto" w:sz="4" w:space="0"/>
            </w:tcBorders>
            <w:shd w:val="clear" w:color="auto" w:fill="E7E6E6"/>
          </w:tcPr>
          <w:p w14:paraId="547D2B23">
            <w:pPr>
              <w:spacing w:before="72" w:beforeLines="30" w:after="72" w:afterLines="30"/>
              <w:jc w:val="both"/>
              <w:rPr>
                <w:b/>
                <w:bCs/>
                <w:iCs/>
                <w:szCs w:val="24"/>
                <w:u w:val="single"/>
              </w:rPr>
            </w:pPr>
            <w:r>
              <w:rPr>
                <w:b/>
                <w:bCs/>
                <w:iCs/>
                <w:szCs w:val="24"/>
                <w:u w:val="single"/>
              </w:rPr>
              <w:t xml:space="preserve">RISCO 4 </w:t>
            </w:r>
          </w:p>
        </w:tc>
        <w:tc>
          <w:tcPr>
            <w:tcW w:w="6647" w:type="dxa"/>
            <w:gridSpan w:val="7"/>
            <w:tcBorders>
              <w:top w:val="single" w:color="auto" w:sz="4" w:space="0"/>
              <w:left w:val="single" w:color="auto" w:sz="4" w:space="0"/>
              <w:bottom w:val="single" w:color="auto" w:sz="4" w:space="0"/>
              <w:right w:val="single" w:color="auto" w:sz="4" w:space="0"/>
            </w:tcBorders>
          </w:tcPr>
          <w:p w14:paraId="60ECC437">
            <w:pPr>
              <w:spacing w:before="72" w:beforeLines="30" w:after="72" w:afterLines="30"/>
              <w:jc w:val="both"/>
              <w:rPr>
                <w:b/>
                <w:bCs/>
                <w:iCs/>
                <w:szCs w:val="24"/>
                <w:u w:val="single"/>
              </w:rPr>
            </w:pPr>
            <w:r>
              <w:rPr>
                <w:b/>
                <w:bCs/>
                <w:iCs/>
                <w:szCs w:val="24"/>
                <w:u w:val="single"/>
              </w:rPr>
              <w:t xml:space="preserve">Atraso na entrega no produto </w:t>
            </w:r>
          </w:p>
        </w:tc>
      </w:tr>
      <w:tr w14:paraId="67E12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38A268E4">
            <w:pPr>
              <w:spacing w:before="72" w:beforeLines="30" w:after="72" w:afterLines="30"/>
              <w:jc w:val="both"/>
              <w:rPr>
                <w:b/>
                <w:bCs/>
                <w:szCs w:val="24"/>
              </w:rPr>
            </w:pPr>
            <w:r>
              <w:rPr>
                <w:b/>
                <w:bCs/>
                <w:szCs w:val="24"/>
              </w:rPr>
              <w:t>ETAPA</w:t>
            </w:r>
          </w:p>
        </w:tc>
        <w:tc>
          <w:tcPr>
            <w:tcW w:w="6655" w:type="dxa"/>
            <w:gridSpan w:val="8"/>
            <w:tcBorders>
              <w:top w:val="single" w:color="auto" w:sz="4" w:space="0"/>
              <w:left w:val="single" w:color="auto" w:sz="4" w:space="0"/>
              <w:bottom w:val="single" w:color="auto" w:sz="4" w:space="0"/>
              <w:right w:val="single" w:color="auto" w:sz="4" w:space="0"/>
            </w:tcBorders>
          </w:tcPr>
          <w:p w14:paraId="499EB3CA">
            <w:pPr>
              <w:spacing w:before="72" w:beforeLines="30" w:after="72" w:afterLines="30"/>
              <w:jc w:val="both"/>
              <w:rPr>
                <w:szCs w:val="24"/>
              </w:rPr>
            </w:pPr>
            <w:r>
              <w:rPr>
                <w:szCs w:val="24"/>
              </w:rPr>
              <w:t xml:space="preserve">(   )Planejamento             (   ) Seleção do fornecedor </w:t>
            </w:r>
          </w:p>
          <w:p w14:paraId="686438BA">
            <w:pPr>
              <w:spacing w:before="72" w:beforeLines="30" w:after="72" w:afterLines="30"/>
              <w:jc w:val="both"/>
              <w:rPr>
                <w:szCs w:val="24"/>
              </w:rPr>
            </w:pPr>
            <w:r>
              <w:rPr>
                <w:szCs w:val="24"/>
              </w:rPr>
              <w:t>( x ) Execução do Contrato</w:t>
            </w:r>
          </w:p>
        </w:tc>
      </w:tr>
      <w:tr w14:paraId="5C8D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4425CF9F">
            <w:pPr>
              <w:spacing w:before="72" w:beforeLines="30" w:after="72" w:afterLines="30"/>
              <w:jc w:val="both"/>
              <w:rPr>
                <w:b/>
                <w:bCs/>
                <w:szCs w:val="24"/>
              </w:rPr>
            </w:pPr>
            <w:r>
              <w:rPr>
                <w:b/>
                <w:bCs/>
                <w:szCs w:val="24"/>
              </w:rPr>
              <w:t>Probabilidade</w:t>
            </w:r>
          </w:p>
        </w:tc>
        <w:tc>
          <w:tcPr>
            <w:tcW w:w="6655" w:type="dxa"/>
            <w:gridSpan w:val="8"/>
            <w:tcBorders>
              <w:top w:val="single" w:color="auto" w:sz="4" w:space="0"/>
              <w:left w:val="single" w:color="auto" w:sz="4" w:space="0"/>
              <w:bottom w:val="single" w:color="auto" w:sz="4" w:space="0"/>
              <w:right w:val="single" w:color="auto" w:sz="4" w:space="0"/>
            </w:tcBorders>
          </w:tcPr>
          <w:p w14:paraId="799AE4CB">
            <w:pPr>
              <w:spacing w:before="72" w:beforeLines="30" w:after="72" w:afterLines="30"/>
              <w:jc w:val="both"/>
              <w:rPr>
                <w:szCs w:val="24"/>
              </w:rPr>
            </w:pPr>
            <w:r>
              <w:rPr>
                <w:szCs w:val="24"/>
              </w:rPr>
              <w:t xml:space="preserve">(   ) Muito baixo (   ) baixo (  ) médio </w:t>
            </w:r>
          </w:p>
          <w:p w14:paraId="46483E60">
            <w:pPr>
              <w:spacing w:before="72" w:beforeLines="30" w:after="72" w:afterLines="30"/>
              <w:jc w:val="both"/>
              <w:rPr>
                <w:szCs w:val="24"/>
              </w:rPr>
            </w:pPr>
            <w:r>
              <w:rPr>
                <w:szCs w:val="24"/>
              </w:rPr>
              <w:t>(  x ) alto (   ) muito alto</w:t>
            </w:r>
          </w:p>
        </w:tc>
      </w:tr>
      <w:tr w14:paraId="443D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455139B4">
            <w:pPr>
              <w:spacing w:before="72" w:beforeLines="30" w:after="72" w:afterLines="30"/>
              <w:jc w:val="both"/>
              <w:rPr>
                <w:b/>
                <w:bCs/>
                <w:szCs w:val="24"/>
              </w:rPr>
            </w:pPr>
            <w:r>
              <w:rPr>
                <w:b/>
                <w:bCs/>
                <w:szCs w:val="24"/>
              </w:rPr>
              <w:t>Impacto</w:t>
            </w:r>
          </w:p>
        </w:tc>
        <w:tc>
          <w:tcPr>
            <w:tcW w:w="6655" w:type="dxa"/>
            <w:gridSpan w:val="8"/>
            <w:tcBorders>
              <w:top w:val="single" w:color="auto" w:sz="4" w:space="0"/>
              <w:left w:val="single" w:color="auto" w:sz="4" w:space="0"/>
              <w:bottom w:val="single" w:color="auto" w:sz="4" w:space="0"/>
              <w:right w:val="single" w:color="auto" w:sz="4" w:space="0"/>
            </w:tcBorders>
          </w:tcPr>
          <w:p w14:paraId="581F92DE">
            <w:pPr>
              <w:spacing w:before="72" w:beforeLines="30" w:after="72" w:afterLines="30"/>
              <w:jc w:val="both"/>
              <w:rPr>
                <w:szCs w:val="24"/>
              </w:rPr>
            </w:pPr>
            <w:r>
              <w:rPr>
                <w:szCs w:val="24"/>
              </w:rPr>
              <w:t xml:space="preserve">(   ) Muito baixo (   ) baixo (   ) médio </w:t>
            </w:r>
          </w:p>
          <w:p w14:paraId="4E523EBE">
            <w:pPr>
              <w:spacing w:before="72" w:beforeLines="30" w:after="72" w:afterLines="30"/>
              <w:jc w:val="both"/>
              <w:rPr>
                <w:szCs w:val="24"/>
              </w:rPr>
            </w:pPr>
            <w:r>
              <w:rPr>
                <w:szCs w:val="24"/>
              </w:rPr>
              <w:t>( x  ) alto () muito alto</w:t>
            </w:r>
          </w:p>
        </w:tc>
      </w:tr>
      <w:tr w14:paraId="1AF27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122E798C">
            <w:pPr>
              <w:spacing w:before="72" w:beforeLines="30" w:after="72" w:afterLines="30"/>
              <w:jc w:val="both"/>
              <w:rPr>
                <w:b/>
                <w:bCs/>
                <w:szCs w:val="24"/>
              </w:rPr>
            </w:pPr>
            <w:r>
              <w:rPr>
                <w:b/>
                <w:bCs/>
                <w:szCs w:val="24"/>
              </w:rPr>
              <w:t>Medida (s)</w:t>
            </w:r>
          </w:p>
        </w:tc>
        <w:tc>
          <w:tcPr>
            <w:tcW w:w="6655" w:type="dxa"/>
            <w:gridSpan w:val="8"/>
            <w:tcBorders>
              <w:top w:val="single" w:color="auto" w:sz="4" w:space="0"/>
              <w:left w:val="single" w:color="auto" w:sz="4" w:space="0"/>
              <w:bottom w:val="single" w:color="auto" w:sz="4" w:space="0"/>
              <w:right w:val="single" w:color="auto" w:sz="4" w:space="0"/>
            </w:tcBorders>
          </w:tcPr>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6"/>
            </w:tblGrid>
            <w:tr w14:paraId="79DBB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 w:hRule="atLeast"/>
              </w:trPr>
              <w:tc>
                <w:tcPr>
                  <w:tcW w:w="4536" w:type="dxa"/>
                </w:tcPr>
                <w:p w14:paraId="1BF9BA44">
                  <w:pPr>
                    <w:autoSpaceDE w:val="0"/>
                    <w:autoSpaceDN w:val="0"/>
                    <w:adjustRightInd w:val="0"/>
                    <w:spacing w:before="72" w:beforeLines="30" w:after="72" w:afterLines="30"/>
                    <w:jc w:val="both"/>
                    <w:rPr>
                      <w:szCs w:val="24"/>
                    </w:rPr>
                  </w:pPr>
                </w:p>
                <w:p w14:paraId="566B8457">
                  <w:pPr>
                    <w:autoSpaceDE w:val="0"/>
                    <w:autoSpaceDN w:val="0"/>
                    <w:adjustRightInd w:val="0"/>
                    <w:spacing w:before="72" w:beforeLines="30" w:after="72" w:afterLines="30"/>
                    <w:jc w:val="both"/>
                    <w:rPr>
                      <w:color w:val="000000"/>
                      <w:szCs w:val="24"/>
                    </w:rPr>
                  </w:pPr>
                  <w:r>
                    <w:rPr>
                      <w:color w:val="000000"/>
                      <w:szCs w:val="24"/>
                    </w:rPr>
                    <w:t xml:space="preserve">1. Inserir cláusula de penalidade no Contrato. </w:t>
                  </w:r>
                </w:p>
                <w:p w14:paraId="75C0DBF0">
                  <w:pPr>
                    <w:autoSpaceDE w:val="0"/>
                    <w:autoSpaceDN w:val="0"/>
                    <w:adjustRightInd w:val="0"/>
                    <w:spacing w:before="72" w:beforeLines="30" w:after="72" w:afterLines="30"/>
                    <w:jc w:val="both"/>
                    <w:rPr>
                      <w:color w:val="000000"/>
                      <w:szCs w:val="24"/>
                    </w:rPr>
                  </w:pPr>
                  <w:r>
                    <w:rPr>
                      <w:color w:val="000000"/>
                      <w:szCs w:val="24"/>
                    </w:rPr>
                    <w:t xml:space="preserve">2. Aplicar penalidade ao fornecedor inadimplente. </w:t>
                  </w:r>
                </w:p>
                <w:p w14:paraId="02C27A55">
                  <w:pPr>
                    <w:autoSpaceDE w:val="0"/>
                    <w:autoSpaceDN w:val="0"/>
                    <w:adjustRightInd w:val="0"/>
                    <w:spacing w:before="72" w:beforeLines="30" w:after="72" w:afterLines="30"/>
                    <w:jc w:val="both"/>
                    <w:rPr>
                      <w:color w:val="000000"/>
                      <w:szCs w:val="24"/>
                    </w:rPr>
                  </w:pPr>
                </w:p>
              </w:tc>
            </w:tr>
          </w:tbl>
          <w:p w14:paraId="7C210CBC">
            <w:pPr>
              <w:spacing w:before="72" w:beforeLines="30" w:after="72" w:afterLines="30"/>
              <w:jc w:val="both"/>
              <w:rPr>
                <w:szCs w:val="24"/>
              </w:rPr>
            </w:pPr>
          </w:p>
        </w:tc>
      </w:tr>
      <w:tr w14:paraId="0ECDF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gridSpan w:val="2"/>
            <w:tcBorders>
              <w:top w:val="single" w:color="auto" w:sz="4" w:space="0"/>
              <w:left w:val="single" w:color="auto" w:sz="4" w:space="0"/>
              <w:bottom w:val="single" w:color="auto" w:sz="4" w:space="0"/>
              <w:right w:val="single" w:color="auto" w:sz="4" w:space="0"/>
            </w:tcBorders>
          </w:tcPr>
          <w:p w14:paraId="629CC894">
            <w:pPr>
              <w:spacing w:before="72" w:beforeLines="30" w:after="72" w:afterLines="30"/>
              <w:jc w:val="both"/>
              <w:rPr>
                <w:b/>
                <w:bCs/>
                <w:szCs w:val="24"/>
              </w:rPr>
            </w:pPr>
            <w:r>
              <w:rPr>
                <w:b/>
                <w:bCs/>
                <w:szCs w:val="24"/>
              </w:rPr>
              <w:t>Responsável</w:t>
            </w:r>
          </w:p>
        </w:tc>
        <w:tc>
          <w:tcPr>
            <w:tcW w:w="6655" w:type="dxa"/>
            <w:gridSpan w:val="8"/>
            <w:tcBorders>
              <w:top w:val="single" w:color="auto" w:sz="4" w:space="0"/>
              <w:left w:val="single" w:color="auto" w:sz="4" w:space="0"/>
              <w:bottom w:val="single" w:color="auto" w:sz="4" w:space="0"/>
              <w:right w:val="single" w:color="auto" w:sz="4" w:space="0"/>
            </w:tcBorders>
          </w:tcPr>
          <w:p w14:paraId="33C7B094">
            <w:pPr>
              <w:spacing w:before="72" w:beforeLines="30" w:after="72" w:afterLines="30"/>
              <w:jc w:val="both"/>
              <w:rPr>
                <w:szCs w:val="24"/>
              </w:rPr>
            </w:pPr>
            <w:r>
              <w:rPr>
                <w:szCs w:val="24"/>
              </w:rPr>
              <w:t xml:space="preserve">Fiscal do contrato e Gestor do contrato </w:t>
            </w:r>
          </w:p>
        </w:tc>
      </w:tr>
      <w:tr w14:paraId="2224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6" w:type="dxa"/>
        </w:trPr>
        <w:tc>
          <w:tcPr>
            <w:tcW w:w="437" w:type="dxa"/>
            <w:vMerge w:val="restart"/>
            <w:tcBorders>
              <w:top w:val="single" w:color="auto" w:sz="4" w:space="0"/>
              <w:left w:val="single" w:color="auto" w:sz="4" w:space="0"/>
              <w:bottom w:val="single" w:color="auto" w:sz="4" w:space="0"/>
              <w:right w:val="single" w:color="auto" w:sz="4" w:space="0"/>
            </w:tcBorders>
          </w:tcPr>
          <w:p w14:paraId="0F7B3D28">
            <w:pPr>
              <w:spacing w:before="72" w:beforeLines="30" w:after="72" w:afterLines="30"/>
              <w:jc w:val="both"/>
              <w:rPr>
                <w:szCs w:val="24"/>
              </w:rPr>
            </w:pPr>
            <w:bookmarkStart w:id="13" w:name="_Hlk157430661"/>
            <w:r>
              <w:rPr>
                <w:szCs w:val="24"/>
              </w:rPr>
              <w:t>I</w:t>
            </w:r>
          </w:p>
          <w:p w14:paraId="05E5D444">
            <w:pPr>
              <w:spacing w:before="72" w:beforeLines="30" w:after="72" w:afterLines="30"/>
              <w:jc w:val="both"/>
              <w:rPr>
                <w:szCs w:val="24"/>
              </w:rPr>
            </w:pPr>
            <w:r>
              <w:rPr>
                <w:szCs w:val="24"/>
              </w:rPr>
              <w:t>M</w:t>
            </w:r>
          </w:p>
          <w:p w14:paraId="5D0CF909">
            <w:pPr>
              <w:spacing w:before="72" w:beforeLines="30" w:after="72" w:afterLines="30"/>
              <w:jc w:val="both"/>
              <w:rPr>
                <w:szCs w:val="24"/>
              </w:rPr>
            </w:pPr>
            <w:r>
              <w:rPr>
                <w:szCs w:val="24"/>
              </w:rPr>
              <w:t>P</w:t>
            </w:r>
          </w:p>
          <w:p w14:paraId="55BAC149">
            <w:pPr>
              <w:spacing w:before="72" w:beforeLines="30" w:after="72" w:afterLines="30"/>
              <w:jc w:val="both"/>
              <w:rPr>
                <w:szCs w:val="24"/>
              </w:rPr>
            </w:pPr>
            <w:r>
              <w:rPr>
                <w:szCs w:val="24"/>
              </w:rPr>
              <w:t>A</w:t>
            </w:r>
          </w:p>
          <w:p w14:paraId="7895E063">
            <w:pPr>
              <w:spacing w:before="72" w:beforeLines="30" w:after="72" w:afterLines="30"/>
              <w:jc w:val="both"/>
              <w:rPr>
                <w:szCs w:val="24"/>
              </w:rPr>
            </w:pPr>
            <w:r>
              <w:rPr>
                <w:szCs w:val="24"/>
              </w:rPr>
              <w:t>C</w:t>
            </w:r>
          </w:p>
          <w:p w14:paraId="28CE321F">
            <w:pPr>
              <w:spacing w:before="72" w:beforeLines="30" w:after="72" w:afterLines="30"/>
              <w:jc w:val="both"/>
              <w:rPr>
                <w:szCs w:val="24"/>
              </w:rPr>
            </w:pPr>
            <w:r>
              <w:rPr>
                <w:szCs w:val="24"/>
              </w:rPr>
              <w:t>T</w:t>
            </w:r>
          </w:p>
          <w:p w14:paraId="0965A85B">
            <w:pPr>
              <w:spacing w:before="72" w:beforeLines="30" w:after="72" w:afterLines="30"/>
              <w:jc w:val="both"/>
              <w:rPr>
                <w:szCs w:val="24"/>
              </w:rPr>
            </w:pPr>
            <w:r>
              <w:rPr>
                <w:szCs w:val="24"/>
              </w:rPr>
              <w:t>O</w:t>
            </w:r>
          </w:p>
        </w:tc>
        <w:tc>
          <w:tcPr>
            <w:tcW w:w="8057" w:type="dxa"/>
            <w:gridSpan w:val="7"/>
            <w:tcBorders>
              <w:top w:val="single" w:color="auto" w:sz="4" w:space="0"/>
              <w:left w:val="single" w:color="auto" w:sz="4" w:space="0"/>
              <w:bottom w:val="single" w:color="auto" w:sz="4" w:space="0"/>
              <w:right w:val="single" w:color="auto" w:sz="4" w:space="0"/>
            </w:tcBorders>
          </w:tcPr>
          <w:p w14:paraId="1BF85D6A">
            <w:pPr>
              <w:spacing w:before="72" w:beforeLines="30" w:after="72" w:afterLines="30"/>
              <w:jc w:val="both"/>
              <w:rPr>
                <w:szCs w:val="24"/>
              </w:rPr>
            </w:pPr>
            <w:r>
              <w:rPr>
                <w:szCs w:val="24"/>
              </w:rPr>
              <w:t>P  R  O  B  A  B  I  L  I  D  A   D  E</w:t>
            </w:r>
          </w:p>
        </w:tc>
      </w:tr>
      <w:tr w14:paraId="1DDA9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6" w:type="dxa"/>
        </w:trPr>
        <w:tc>
          <w:tcPr>
            <w:tcW w:w="437" w:type="dxa"/>
            <w:vMerge w:val="continue"/>
            <w:tcBorders>
              <w:top w:val="single" w:color="auto" w:sz="4" w:space="0"/>
              <w:left w:val="single" w:color="auto" w:sz="4" w:space="0"/>
              <w:bottom w:val="single" w:color="auto" w:sz="4" w:space="0"/>
              <w:right w:val="single" w:color="auto" w:sz="4" w:space="0"/>
            </w:tcBorders>
            <w:vAlign w:val="center"/>
          </w:tcPr>
          <w:p w14:paraId="68B8B714">
            <w:pPr>
              <w:spacing w:before="72" w:beforeLines="30" w:after="72" w:afterLines="30"/>
              <w:jc w:val="both"/>
              <w:rPr>
                <w:szCs w:val="24"/>
              </w:rPr>
            </w:pPr>
          </w:p>
        </w:tc>
        <w:tc>
          <w:tcPr>
            <w:tcW w:w="1786" w:type="dxa"/>
            <w:gridSpan w:val="2"/>
            <w:tcBorders>
              <w:top w:val="single" w:color="auto" w:sz="4" w:space="0"/>
              <w:left w:val="single" w:color="auto" w:sz="4" w:space="0"/>
              <w:bottom w:val="single" w:color="auto" w:sz="4" w:space="0"/>
              <w:right w:val="single" w:color="auto" w:sz="4" w:space="0"/>
            </w:tcBorders>
          </w:tcPr>
          <w:p w14:paraId="1154693D">
            <w:pPr>
              <w:spacing w:before="72" w:beforeLines="30" w:after="72" w:afterLines="30"/>
              <w:jc w:val="both"/>
              <w:rPr>
                <w:szCs w:val="24"/>
              </w:rPr>
            </w:pPr>
          </w:p>
        </w:tc>
        <w:tc>
          <w:tcPr>
            <w:tcW w:w="1269" w:type="dxa"/>
            <w:tcBorders>
              <w:top w:val="single" w:color="auto" w:sz="4" w:space="0"/>
              <w:left w:val="single" w:color="auto" w:sz="4" w:space="0"/>
              <w:bottom w:val="single" w:color="auto" w:sz="4" w:space="0"/>
              <w:right w:val="single" w:color="auto" w:sz="4" w:space="0"/>
            </w:tcBorders>
          </w:tcPr>
          <w:p w14:paraId="6E55FD02">
            <w:pPr>
              <w:spacing w:before="72" w:beforeLines="30" w:after="72" w:afterLines="30"/>
              <w:jc w:val="both"/>
              <w:rPr>
                <w:szCs w:val="24"/>
              </w:rPr>
            </w:pPr>
            <w:r>
              <w:rPr>
                <w:szCs w:val="24"/>
              </w:rPr>
              <w:t>MUITO BAIXO</w:t>
            </w:r>
          </w:p>
        </w:tc>
        <w:tc>
          <w:tcPr>
            <w:tcW w:w="1253" w:type="dxa"/>
            <w:tcBorders>
              <w:top w:val="single" w:color="auto" w:sz="4" w:space="0"/>
              <w:left w:val="single" w:color="auto" w:sz="4" w:space="0"/>
              <w:bottom w:val="single" w:color="auto" w:sz="4" w:space="0"/>
              <w:right w:val="single" w:color="auto" w:sz="4" w:space="0"/>
            </w:tcBorders>
          </w:tcPr>
          <w:p w14:paraId="73D82A3D">
            <w:pPr>
              <w:spacing w:before="72" w:beforeLines="30" w:after="72" w:afterLines="30"/>
              <w:jc w:val="both"/>
              <w:rPr>
                <w:szCs w:val="24"/>
              </w:rPr>
            </w:pPr>
            <w:r>
              <w:rPr>
                <w:szCs w:val="24"/>
              </w:rPr>
              <w:t>BAIXO</w:t>
            </w:r>
          </w:p>
        </w:tc>
        <w:tc>
          <w:tcPr>
            <w:tcW w:w="1281" w:type="dxa"/>
            <w:tcBorders>
              <w:top w:val="single" w:color="auto" w:sz="4" w:space="0"/>
              <w:left w:val="single" w:color="auto" w:sz="4" w:space="0"/>
              <w:bottom w:val="single" w:color="auto" w:sz="4" w:space="0"/>
              <w:right w:val="single" w:color="auto" w:sz="4" w:space="0"/>
            </w:tcBorders>
          </w:tcPr>
          <w:p w14:paraId="46D95162">
            <w:pPr>
              <w:spacing w:before="72" w:beforeLines="30" w:after="72" w:afterLines="30"/>
              <w:jc w:val="both"/>
              <w:rPr>
                <w:szCs w:val="24"/>
              </w:rPr>
            </w:pPr>
            <w:r>
              <w:rPr>
                <w:szCs w:val="24"/>
              </w:rPr>
              <w:t>MÉDIO</w:t>
            </w:r>
          </w:p>
        </w:tc>
        <w:tc>
          <w:tcPr>
            <w:tcW w:w="1198" w:type="dxa"/>
            <w:tcBorders>
              <w:top w:val="single" w:color="auto" w:sz="4" w:space="0"/>
              <w:left w:val="single" w:color="auto" w:sz="4" w:space="0"/>
              <w:bottom w:val="single" w:color="auto" w:sz="4" w:space="0"/>
              <w:right w:val="single" w:color="auto" w:sz="4" w:space="0"/>
            </w:tcBorders>
          </w:tcPr>
          <w:p w14:paraId="1A13F3BF">
            <w:pPr>
              <w:spacing w:before="72" w:beforeLines="30" w:after="72" w:afterLines="30"/>
              <w:jc w:val="both"/>
              <w:rPr>
                <w:szCs w:val="24"/>
              </w:rPr>
            </w:pPr>
            <w:r>
              <w:rPr>
                <w:szCs w:val="24"/>
              </w:rPr>
              <w:t>ALTO</w:t>
            </w:r>
          </w:p>
        </w:tc>
        <w:tc>
          <w:tcPr>
            <w:tcW w:w="1270" w:type="dxa"/>
            <w:tcBorders>
              <w:top w:val="single" w:color="auto" w:sz="4" w:space="0"/>
              <w:left w:val="single" w:color="auto" w:sz="4" w:space="0"/>
              <w:bottom w:val="single" w:color="auto" w:sz="4" w:space="0"/>
              <w:right w:val="single" w:color="auto" w:sz="4" w:space="0"/>
            </w:tcBorders>
          </w:tcPr>
          <w:p w14:paraId="0A7AA362">
            <w:pPr>
              <w:spacing w:before="72" w:beforeLines="30" w:after="72" w:afterLines="30"/>
              <w:jc w:val="both"/>
              <w:rPr>
                <w:szCs w:val="24"/>
              </w:rPr>
            </w:pPr>
            <w:r>
              <w:rPr>
                <w:szCs w:val="24"/>
              </w:rPr>
              <w:t>MUITO ALTO</w:t>
            </w:r>
          </w:p>
        </w:tc>
      </w:tr>
      <w:tr w14:paraId="51AA5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6" w:type="dxa"/>
        </w:trPr>
        <w:tc>
          <w:tcPr>
            <w:tcW w:w="437" w:type="dxa"/>
            <w:vMerge w:val="continue"/>
            <w:tcBorders>
              <w:top w:val="single" w:color="auto" w:sz="4" w:space="0"/>
              <w:left w:val="single" w:color="auto" w:sz="4" w:space="0"/>
              <w:bottom w:val="single" w:color="auto" w:sz="4" w:space="0"/>
              <w:right w:val="single" w:color="auto" w:sz="4" w:space="0"/>
            </w:tcBorders>
            <w:vAlign w:val="center"/>
          </w:tcPr>
          <w:p w14:paraId="65810C81">
            <w:pPr>
              <w:spacing w:before="72" w:beforeLines="30" w:after="72" w:afterLines="30"/>
              <w:jc w:val="both"/>
              <w:rPr>
                <w:szCs w:val="24"/>
              </w:rPr>
            </w:pPr>
          </w:p>
        </w:tc>
        <w:tc>
          <w:tcPr>
            <w:tcW w:w="1786" w:type="dxa"/>
            <w:gridSpan w:val="2"/>
            <w:tcBorders>
              <w:top w:val="single" w:color="auto" w:sz="4" w:space="0"/>
              <w:left w:val="single" w:color="auto" w:sz="4" w:space="0"/>
              <w:bottom w:val="single" w:color="auto" w:sz="4" w:space="0"/>
              <w:right w:val="single" w:color="auto" w:sz="4" w:space="0"/>
            </w:tcBorders>
          </w:tcPr>
          <w:p w14:paraId="22C9AEAC">
            <w:pPr>
              <w:spacing w:before="72" w:beforeLines="30" w:after="72" w:afterLines="30"/>
              <w:jc w:val="both"/>
              <w:rPr>
                <w:szCs w:val="24"/>
              </w:rPr>
            </w:pPr>
            <w:r>
              <w:rPr>
                <w:szCs w:val="24"/>
              </w:rPr>
              <w:t xml:space="preserve">MUITO </w:t>
            </w:r>
          </w:p>
          <w:p w14:paraId="2E3EAEFD">
            <w:pPr>
              <w:spacing w:before="72" w:beforeLines="30" w:after="72" w:afterLines="30"/>
              <w:jc w:val="both"/>
              <w:rPr>
                <w:szCs w:val="24"/>
              </w:rPr>
            </w:pPr>
            <w:r>
              <w:rPr>
                <w:szCs w:val="24"/>
              </w:rPr>
              <w:t>ALTO</w:t>
            </w:r>
          </w:p>
        </w:tc>
        <w:tc>
          <w:tcPr>
            <w:tcW w:w="1269" w:type="dxa"/>
            <w:tcBorders>
              <w:top w:val="single" w:color="auto" w:sz="4" w:space="0"/>
              <w:left w:val="single" w:color="auto" w:sz="4" w:space="0"/>
              <w:bottom w:val="single" w:color="auto" w:sz="4" w:space="0"/>
              <w:right w:val="single" w:color="auto" w:sz="4" w:space="0"/>
            </w:tcBorders>
          </w:tcPr>
          <w:p w14:paraId="35CBE3B9">
            <w:pPr>
              <w:spacing w:before="72" w:beforeLines="30" w:after="72" w:afterLines="30"/>
              <w:jc w:val="both"/>
              <w:rPr>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FFFF00"/>
          </w:tcPr>
          <w:p w14:paraId="69EBF271">
            <w:pPr>
              <w:spacing w:before="72" w:beforeLines="30" w:after="72" w:afterLines="30"/>
              <w:jc w:val="both"/>
              <w:rPr>
                <w:szCs w:val="24"/>
              </w:rPr>
            </w:pPr>
          </w:p>
        </w:tc>
        <w:tc>
          <w:tcPr>
            <w:tcW w:w="1281" w:type="dxa"/>
            <w:tcBorders>
              <w:top w:val="single" w:color="auto" w:sz="4" w:space="0"/>
              <w:left w:val="single" w:color="auto" w:sz="4" w:space="0"/>
              <w:bottom w:val="single" w:color="auto" w:sz="4" w:space="0"/>
              <w:right w:val="single" w:color="auto" w:sz="4" w:space="0"/>
            </w:tcBorders>
            <w:shd w:val="clear" w:color="auto" w:fill="FF0000"/>
          </w:tcPr>
          <w:p w14:paraId="1BC0C8C5">
            <w:pPr>
              <w:spacing w:before="72" w:beforeLines="30" w:after="72" w:afterLines="30"/>
              <w:jc w:val="both"/>
              <w:rPr>
                <w:szCs w:val="24"/>
              </w:rPr>
            </w:pPr>
            <w:r>
              <w:rPr>
                <w:szCs w:val="24"/>
              </w:rPr>
              <w:t>Risco 3</w:t>
            </w:r>
          </w:p>
        </w:tc>
        <w:tc>
          <w:tcPr>
            <w:tcW w:w="1198" w:type="dxa"/>
            <w:tcBorders>
              <w:top w:val="single" w:color="auto" w:sz="4" w:space="0"/>
              <w:left w:val="single" w:color="auto" w:sz="4" w:space="0"/>
              <w:bottom w:val="single" w:color="auto" w:sz="4" w:space="0"/>
              <w:right w:val="single" w:color="auto" w:sz="4" w:space="0"/>
            </w:tcBorders>
            <w:shd w:val="clear" w:color="auto" w:fill="FF0000"/>
          </w:tcPr>
          <w:p w14:paraId="4DE300BC">
            <w:pPr>
              <w:spacing w:before="72" w:beforeLines="30" w:after="72" w:afterLines="30"/>
              <w:jc w:val="both"/>
              <w:rPr>
                <w:szCs w:val="24"/>
              </w:rPr>
            </w:pPr>
          </w:p>
        </w:tc>
        <w:tc>
          <w:tcPr>
            <w:tcW w:w="1270" w:type="dxa"/>
            <w:tcBorders>
              <w:top w:val="single" w:color="auto" w:sz="4" w:space="0"/>
              <w:left w:val="single" w:color="auto" w:sz="4" w:space="0"/>
              <w:bottom w:val="single" w:color="auto" w:sz="4" w:space="0"/>
              <w:right w:val="single" w:color="auto" w:sz="4" w:space="0"/>
            </w:tcBorders>
            <w:shd w:val="clear" w:color="auto" w:fill="FF0000"/>
          </w:tcPr>
          <w:p w14:paraId="18A01DF7">
            <w:pPr>
              <w:spacing w:before="72" w:beforeLines="30" w:after="72" w:afterLines="30"/>
              <w:jc w:val="both"/>
              <w:rPr>
                <w:szCs w:val="24"/>
              </w:rPr>
            </w:pPr>
          </w:p>
        </w:tc>
      </w:tr>
      <w:tr w14:paraId="37A99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6" w:type="dxa"/>
        </w:trPr>
        <w:tc>
          <w:tcPr>
            <w:tcW w:w="437" w:type="dxa"/>
            <w:vMerge w:val="continue"/>
            <w:tcBorders>
              <w:top w:val="single" w:color="auto" w:sz="4" w:space="0"/>
              <w:left w:val="single" w:color="auto" w:sz="4" w:space="0"/>
              <w:bottom w:val="single" w:color="auto" w:sz="4" w:space="0"/>
              <w:right w:val="single" w:color="auto" w:sz="4" w:space="0"/>
            </w:tcBorders>
            <w:vAlign w:val="center"/>
          </w:tcPr>
          <w:p w14:paraId="0E95BE97">
            <w:pPr>
              <w:spacing w:before="72" w:beforeLines="30" w:after="72" w:afterLines="30"/>
              <w:jc w:val="both"/>
              <w:rPr>
                <w:szCs w:val="24"/>
              </w:rPr>
            </w:pPr>
          </w:p>
        </w:tc>
        <w:tc>
          <w:tcPr>
            <w:tcW w:w="1786" w:type="dxa"/>
            <w:gridSpan w:val="2"/>
            <w:tcBorders>
              <w:top w:val="single" w:color="auto" w:sz="4" w:space="0"/>
              <w:left w:val="single" w:color="auto" w:sz="4" w:space="0"/>
              <w:bottom w:val="single" w:color="auto" w:sz="4" w:space="0"/>
              <w:right w:val="single" w:color="auto" w:sz="4" w:space="0"/>
            </w:tcBorders>
          </w:tcPr>
          <w:p w14:paraId="21BD52C4">
            <w:pPr>
              <w:spacing w:before="72" w:beforeLines="30" w:after="72" w:afterLines="30"/>
              <w:jc w:val="both"/>
              <w:rPr>
                <w:szCs w:val="24"/>
              </w:rPr>
            </w:pPr>
            <w:r>
              <w:rPr>
                <w:szCs w:val="24"/>
              </w:rPr>
              <w:t xml:space="preserve">ALTO </w:t>
            </w:r>
          </w:p>
          <w:p w14:paraId="771CED9C">
            <w:pPr>
              <w:spacing w:before="72" w:beforeLines="30" w:after="72" w:afterLines="30"/>
              <w:jc w:val="both"/>
              <w:rPr>
                <w:szCs w:val="24"/>
              </w:rPr>
            </w:pPr>
          </w:p>
        </w:tc>
        <w:tc>
          <w:tcPr>
            <w:tcW w:w="1269" w:type="dxa"/>
            <w:tcBorders>
              <w:top w:val="single" w:color="auto" w:sz="4" w:space="0"/>
              <w:left w:val="single" w:color="auto" w:sz="4" w:space="0"/>
              <w:bottom w:val="single" w:color="auto" w:sz="4" w:space="0"/>
              <w:right w:val="single" w:color="auto" w:sz="4" w:space="0"/>
            </w:tcBorders>
          </w:tcPr>
          <w:p w14:paraId="2BD473A8">
            <w:pPr>
              <w:spacing w:before="72" w:beforeLines="30" w:after="72" w:afterLines="30"/>
              <w:jc w:val="both"/>
              <w:rPr>
                <w:szCs w:val="24"/>
              </w:rPr>
            </w:pPr>
            <w:r>
              <w:rPr>
                <w:szCs w:val="24"/>
              </w:rPr>
              <w:t>Risco 1</w:t>
            </w:r>
          </w:p>
        </w:tc>
        <w:tc>
          <w:tcPr>
            <w:tcW w:w="1253" w:type="dxa"/>
            <w:tcBorders>
              <w:top w:val="single" w:color="auto" w:sz="4" w:space="0"/>
              <w:left w:val="single" w:color="auto" w:sz="4" w:space="0"/>
              <w:bottom w:val="single" w:color="auto" w:sz="4" w:space="0"/>
              <w:right w:val="single" w:color="auto" w:sz="4" w:space="0"/>
            </w:tcBorders>
            <w:shd w:val="clear" w:color="auto" w:fill="FFFF00"/>
          </w:tcPr>
          <w:p w14:paraId="1065C2C9">
            <w:pPr>
              <w:spacing w:before="72" w:beforeLines="30" w:after="72" w:afterLines="30"/>
              <w:jc w:val="both"/>
              <w:rPr>
                <w:szCs w:val="24"/>
              </w:rPr>
            </w:pPr>
          </w:p>
        </w:tc>
        <w:tc>
          <w:tcPr>
            <w:tcW w:w="1281" w:type="dxa"/>
            <w:tcBorders>
              <w:top w:val="single" w:color="auto" w:sz="4" w:space="0"/>
              <w:left w:val="single" w:color="auto" w:sz="4" w:space="0"/>
              <w:bottom w:val="single" w:color="auto" w:sz="4" w:space="0"/>
              <w:right w:val="single" w:color="auto" w:sz="4" w:space="0"/>
            </w:tcBorders>
            <w:shd w:val="clear" w:color="auto" w:fill="FFFF00"/>
          </w:tcPr>
          <w:p w14:paraId="2AEE48D3">
            <w:pPr>
              <w:spacing w:before="72" w:beforeLines="30" w:after="72" w:afterLines="30"/>
              <w:jc w:val="both"/>
              <w:rPr>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126C9C26">
            <w:pPr>
              <w:spacing w:before="72" w:beforeLines="30" w:after="72" w:afterLines="30"/>
              <w:jc w:val="both"/>
              <w:rPr>
                <w:szCs w:val="24"/>
              </w:rPr>
            </w:pPr>
            <w:r>
              <w:rPr>
                <w:szCs w:val="24"/>
              </w:rPr>
              <w:t xml:space="preserve">Risco 4 </w:t>
            </w:r>
          </w:p>
        </w:tc>
        <w:tc>
          <w:tcPr>
            <w:tcW w:w="1270" w:type="dxa"/>
            <w:tcBorders>
              <w:top w:val="single" w:color="auto" w:sz="4" w:space="0"/>
              <w:left w:val="single" w:color="auto" w:sz="4" w:space="0"/>
              <w:bottom w:val="single" w:color="auto" w:sz="4" w:space="0"/>
              <w:right w:val="single" w:color="auto" w:sz="4" w:space="0"/>
            </w:tcBorders>
            <w:shd w:val="clear" w:color="auto" w:fill="FF0000"/>
          </w:tcPr>
          <w:p w14:paraId="6BAF1AF2">
            <w:pPr>
              <w:spacing w:before="72" w:beforeLines="30" w:after="72" w:afterLines="30"/>
              <w:jc w:val="both"/>
              <w:rPr>
                <w:szCs w:val="24"/>
              </w:rPr>
            </w:pPr>
          </w:p>
        </w:tc>
      </w:tr>
      <w:tr w14:paraId="5DED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6" w:type="dxa"/>
        </w:trPr>
        <w:tc>
          <w:tcPr>
            <w:tcW w:w="437" w:type="dxa"/>
            <w:vMerge w:val="continue"/>
            <w:tcBorders>
              <w:top w:val="single" w:color="auto" w:sz="4" w:space="0"/>
              <w:left w:val="single" w:color="auto" w:sz="4" w:space="0"/>
              <w:bottom w:val="single" w:color="auto" w:sz="4" w:space="0"/>
              <w:right w:val="single" w:color="auto" w:sz="4" w:space="0"/>
            </w:tcBorders>
            <w:vAlign w:val="center"/>
          </w:tcPr>
          <w:p w14:paraId="003EA261">
            <w:pPr>
              <w:spacing w:before="72" w:beforeLines="30" w:after="72" w:afterLines="30"/>
              <w:jc w:val="both"/>
              <w:rPr>
                <w:szCs w:val="24"/>
              </w:rPr>
            </w:pPr>
          </w:p>
        </w:tc>
        <w:tc>
          <w:tcPr>
            <w:tcW w:w="1786" w:type="dxa"/>
            <w:gridSpan w:val="2"/>
            <w:tcBorders>
              <w:top w:val="single" w:color="auto" w:sz="4" w:space="0"/>
              <w:left w:val="single" w:color="auto" w:sz="4" w:space="0"/>
              <w:bottom w:val="single" w:color="auto" w:sz="4" w:space="0"/>
              <w:right w:val="single" w:color="auto" w:sz="4" w:space="0"/>
            </w:tcBorders>
          </w:tcPr>
          <w:p w14:paraId="7DE81C08">
            <w:pPr>
              <w:spacing w:before="72" w:beforeLines="30" w:after="72" w:afterLines="30"/>
              <w:jc w:val="both"/>
              <w:rPr>
                <w:szCs w:val="24"/>
              </w:rPr>
            </w:pPr>
            <w:r>
              <w:rPr>
                <w:szCs w:val="24"/>
              </w:rPr>
              <w:t>MÉDIO</w:t>
            </w:r>
          </w:p>
          <w:p w14:paraId="4C8852F9">
            <w:pPr>
              <w:spacing w:before="72" w:beforeLines="30" w:after="72" w:afterLines="30"/>
              <w:jc w:val="both"/>
              <w:rPr>
                <w:szCs w:val="24"/>
              </w:rPr>
            </w:pPr>
          </w:p>
        </w:tc>
        <w:tc>
          <w:tcPr>
            <w:tcW w:w="1269" w:type="dxa"/>
            <w:tcBorders>
              <w:top w:val="single" w:color="auto" w:sz="4" w:space="0"/>
              <w:left w:val="single" w:color="auto" w:sz="4" w:space="0"/>
              <w:bottom w:val="single" w:color="auto" w:sz="4" w:space="0"/>
              <w:right w:val="single" w:color="auto" w:sz="4" w:space="0"/>
            </w:tcBorders>
          </w:tcPr>
          <w:p w14:paraId="24E3EA42">
            <w:pPr>
              <w:spacing w:before="72" w:beforeLines="30" w:after="72" w:afterLines="30"/>
              <w:jc w:val="both"/>
              <w:rPr>
                <w:szCs w:val="24"/>
              </w:rPr>
            </w:pPr>
          </w:p>
        </w:tc>
        <w:tc>
          <w:tcPr>
            <w:tcW w:w="1253" w:type="dxa"/>
            <w:tcBorders>
              <w:top w:val="single" w:color="auto" w:sz="4" w:space="0"/>
              <w:left w:val="single" w:color="auto" w:sz="4" w:space="0"/>
              <w:bottom w:val="single" w:color="auto" w:sz="4" w:space="0"/>
              <w:right w:val="single" w:color="auto" w:sz="4" w:space="0"/>
            </w:tcBorders>
          </w:tcPr>
          <w:p w14:paraId="569EAA9C">
            <w:pPr>
              <w:spacing w:before="72" w:beforeLines="30" w:after="72" w:afterLines="30"/>
              <w:jc w:val="both"/>
              <w:rPr>
                <w:szCs w:val="24"/>
              </w:rPr>
            </w:pPr>
            <w:r>
              <w:rPr>
                <w:szCs w:val="24"/>
              </w:rPr>
              <w:t>Risco 2</w:t>
            </w:r>
          </w:p>
        </w:tc>
        <w:tc>
          <w:tcPr>
            <w:tcW w:w="1281" w:type="dxa"/>
            <w:tcBorders>
              <w:top w:val="single" w:color="auto" w:sz="4" w:space="0"/>
              <w:left w:val="single" w:color="auto" w:sz="4" w:space="0"/>
              <w:bottom w:val="single" w:color="auto" w:sz="4" w:space="0"/>
              <w:right w:val="single" w:color="auto" w:sz="4" w:space="0"/>
            </w:tcBorders>
            <w:shd w:val="clear" w:color="auto" w:fill="FFFF00"/>
          </w:tcPr>
          <w:p w14:paraId="20040B33">
            <w:pPr>
              <w:spacing w:before="72" w:beforeLines="30" w:after="72" w:afterLines="30"/>
              <w:jc w:val="both"/>
              <w:rPr>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562E65EA">
            <w:pPr>
              <w:spacing w:before="72" w:beforeLines="30" w:after="72" w:afterLines="30"/>
              <w:jc w:val="both"/>
              <w:rPr>
                <w:szCs w:val="24"/>
              </w:rPr>
            </w:pPr>
          </w:p>
        </w:tc>
        <w:tc>
          <w:tcPr>
            <w:tcW w:w="1270" w:type="dxa"/>
            <w:tcBorders>
              <w:top w:val="single" w:color="auto" w:sz="4" w:space="0"/>
              <w:left w:val="single" w:color="auto" w:sz="4" w:space="0"/>
              <w:bottom w:val="single" w:color="auto" w:sz="4" w:space="0"/>
              <w:right w:val="single" w:color="auto" w:sz="4" w:space="0"/>
            </w:tcBorders>
            <w:shd w:val="clear" w:color="auto" w:fill="FF0000"/>
          </w:tcPr>
          <w:p w14:paraId="4D08994C">
            <w:pPr>
              <w:spacing w:before="72" w:beforeLines="30" w:after="72" w:afterLines="30"/>
              <w:jc w:val="both"/>
              <w:rPr>
                <w:szCs w:val="24"/>
              </w:rPr>
            </w:pPr>
          </w:p>
        </w:tc>
      </w:tr>
      <w:tr w14:paraId="1420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6" w:type="dxa"/>
        </w:trPr>
        <w:tc>
          <w:tcPr>
            <w:tcW w:w="437" w:type="dxa"/>
            <w:vMerge w:val="continue"/>
            <w:tcBorders>
              <w:top w:val="single" w:color="auto" w:sz="4" w:space="0"/>
              <w:left w:val="single" w:color="auto" w:sz="4" w:space="0"/>
              <w:bottom w:val="single" w:color="auto" w:sz="4" w:space="0"/>
              <w:right w:val="single" w:color="auto" w:sz="4" w:space="0"/>
            </w:tcBorders>
            <w:vAlign w:val="center"/>
          </w:tcPr>
          <w:p w14:paraId="0B330EF9">
            <w:pPr>
              <w:spacing w:before="72" w:beforeLines="30" w:after="72" w:afterLines="30"/>
              <w:jc w:val="both"/>
              <w:rPr>
                <w:szCs w:val="24"/>
              </w:rPr>
            </w:pPr>
          </w:p>
        </w:tc>
        <w:tc>
          <w:tcPr>
            <w:tcW w:w="1786" w:type="dxa"/>
            <w:gridSpan w:val="2"/>
            <w:tcBorders>
              <w:top w:val="single" w:color="auto" w:sz="4" w:space="0"/>
              <w:left w:val="single" w:color="auto" w:sz="4" w:space="0"/>
              <w:bottom w:val="single" w:color="auto" w:sz="4" w:space="0"/>
              <w:right w:val="single" w:color="auto" w:sz="4" w:space="0"/>
            </w:tcBorders>
          </w:tcPr>
          <w:p w14:paraId="40D227F2">
            <w:pPr>
              <w:spacing w:before="72" w:beforeLines="30" w:after="72" w:afterLines="30"/>
              <w:jc w:val="both"/>
              <w:rPr>
                <w:szCs w:val="24"/>
              </w:rPr>
            </w:pPr>
            <w:r>
              <w:rPr>
                <w:szCs w:val="24"/>
              </w:rPr>
              <w:t>BAIXO</w:t>
            </w:r>
          </w:p>
          <w:p w14:paraId="59533F50">
            <w:pPr>
              <w:spacing w:before="72" w:beforeLines="30" w:after="72" w:afterLines="30"/>
              <w:jc w:val="both"/>
              <w:rPr>
                <w:szCs w:val="24"/>
              </w:rPr>
            </w:pPr>
          </w:p>
        </w:tc>
        <w:tc>
          <w:tcPr>
            <w:tcW w:w="1269" w:type="dxa"/>
            <w:tcBorders>
              <w:top w:val="single" w:color="auto" w:sz="4" w:space="0"/>
              <w:left w:val="single" w:color="auto" w:sz="4" w:space="0"/>
              <w:bottom w:val="single" w:color="auto" w:sz="4" w:space="0"/>
              <w:right w:val="single" w:color="auto" w:sz="4" w:space="0"/>
            </w:tcBorders>
            <w:shd w:val="clear" w:color="auto" w:fill="00B050"/>
          </w:tcPr>
          <w:p w14:paraId="69B0B614">
            <w:pPr>
              <w:spacing w:before="72" w:beforeLines="30" w:after="72" w:afterLines="30"/>
              <w:jc w:val="both"/>
              <w:rPr>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00B050"/>
          </w:tcPr>
          <w:p w14:paraId="3B460B30">
            <w:pPr>
              <w:spacing w:before="72" w:beforeLines="30" w:after="72" w:afterLines="30"/>
              <w:jc w:val="both"/>
              <w:rPr>
                <w:szCs w:val="24"/>
              </w:rPr>
            </w:pPr>
          </w:p>
        </w:tc>
        <w:tc>
          <w:tcPr>
            <w:tcW w:w="1281" w:type="dxa"/>
            <w:tcBorders>
              <w:top w:val="single" w:color="auto" w:sz="4" w:space="0"/>
              <w:left w:val="single" w:color="auto" w:sz="4" w:space="0"/>
              <w:bottom w:val="single" w:color="auto" w:sz="4" w:space="0"/>
              <w:right w:val="single" w:color="auto" w:sz="4" w:space="0"/>
            </w:tcBorders>
          </w:tcPr>
          <w:p w14:paraId="0927F5D3">
            <w:pPr>
              <w:spacing w:before="72" w:beforeLines="30" w:after="72" w:afterLines="30"/>
              <w:jc w:val="both"/>
              <w:rPr>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5D0E5AC5">
            <w:pPr>
              <w:spacing w:before="72" w:beforeLines="30" w:after="72" w:afterLines="30"/>
              <w:jc w:val="both"/>
              <w:rPr>
                <w:szCs w:val="24"/>
              </w:rPr>
            </w:pPr>
          </w:p>
        </w:tc>
        <w:tc>
          <w:tcPr>
            <w:tcW w:w="1270" w:type="dxa"/>
            <w:tcBorders>
              <w:top w:val="single" w:color="auto" w:sz="4" w:space="0"/>
              <w:left w:val="single" w:color="auto" w:sz="4" w:space="0"/>
              <w:bottom w:val="single" w:color="auto" w:sz="4" w:space="0"/>
              <w:right w:val="single" w:color="auto" w:sz="4" w:space="0"/>
            </w:tcBorders>
            <w:shd w:val="clear" w:color="auto" w:fill="FFFF00"/>
          </w:tcPr>
          <w:p w14:paraId="0ABD1D79">
            <w:pPr>
              <w:spacing w:before="72" w:beforeLines="30" w:after="72" w:afterLines="30"/>
              <w:jc w:val="both"/>
              <w:rPr>
                <w:szCs w:val="24"/>
              </w:rPr>
            </w:pPr>
          </w:p>
        </w:tc>
      </w:tr>
      <w:tr w14:paraId="0E060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2"/>
          <w:wAfter w:w="206" w:type="dxa"/>
        </w:trPr>
        <w:tc>
          <w:tcPr>
            <w:tcW w:w="437" w:type="dxa"/>
            <w:vMerge w:val="continue"/>
            <w:tcBorders>
              <w:top w:val="single" w:color="auto" w:sz="4" w:space="0"/>
              <w:left w:val="single" w:color="auto" w:sz="4" w:space="0"/>
              <w:bottom w:val="single" w:color="auto" w:sz="4" w:space="0"/>
              <w:right w:val="single" w:color="auto" w:sz="4" w:space="0"/>
            </w:tcBorders>
            <w:vAlign w:val="center"/>
          </w:tcPr>
          <w:p w14:paraId="390197ED">
            <w:pPr>
              <w:spacing w:before="72" w:beforeLines="30" w:after="72" w:afterLines="30"/>
              <w:jc w:val="both"/>
              <w:rPr>
                <w:szCs w:val="24"/>
              </w:rPr>
            </w:pPr>
          </w:p>
        </w:tc>
        <w:tc>
          <w:tcPr>
            <w:tcW w:w="1786" w:type="dxa"/>
            <w:gridSpan w:val="2"/>
            <w:tcBorders>
              <w:top w:val="single" w:color="auto" w:sz="4" w:space="0"/>
              <w:left w:val="single" w:color="auto" w:sz="4" w:space="0"/>
              <w:bottom w:val="single" w:color="auto" w:sz="4" w:space="0"/>
              <w:right w:val="single" w:color="auto" w:sz="4" w:space="0"/>
            </w:tcBorders>
          </w:tcPr>
          <w:p w14:paraId="0D2E4348">
            <w:pPr>
              <w:spacing w:before="72" w:beforeLines="30" w:after="72" w:afterLines="30"/>
              <w:jc w:val="both"/>
              <w:rPr>
                <w:szCs w:val="24"/>
              </w:rPr>
            </w:pPr>
            <w:r>
              <w:rPr>
                <w:szCs w:val="24"/>
              </w:rPr>
              <w:t>MUITO BAIXO</w:t>
            </w:r>
          </w:p>
        </w:tc>
        <w:tc>
          <w:tcPr>
            <w:tcW w:w="1269" w:type="dxa"/>
            <w:tcBorders>
              <w:top w:val="single" w:color="auto" w:sz="4" w:space="0"/>
              <w:left w:val="single" w:color="auto" w:sz="4" w:space="0"/>
              <w:bottom w:val="single" w:color="auto" w:sz="4" w:space="0"/>
              <w:right w:val="single" w:color="auto" w:sz="4" w:space="0"/>
            </w:tcBorders>
            <w:shd w:val="clear" w:color="auto" w:fill="00B050"/>
          </w:tcPr>
          <w:p w14:paraId="42D7CF03">
            <w:pPr>
              <w:spacing w:before="72" w:beforeLines="30" w:after="72" w:afterLines="30"/>
              <w:jc w:val="both"/>
              <w:rPr>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00B050"/>
          </w:tcPr>
          <w:p w14:paraId="6C2D8638">
            <w:pPr>
              <w:spacing w:before="72" w:beforeLines="30" w:after="72" w:afterLines="30"/>
              <w:jc w:val="both"/>
              <w:rPr>
                <w:szCs w:val="24"/>
              </w:rPr>
            </w:pPr>
          </w:p>
        </w:tc>
        <w:tc>
          <w:tcPr>
            <w:tcW w:w="1281" w:type="dxa"/>
            <w:tcBorders>
              <w:top w:val="single" w:color="auto" w:sz="4" w:space="0"/>
              <w:left w:val="single" w:color="auto" w:sz="4" w:space="0"/>
              <w:bottom w:val="single" w:color="auto" w:sz="4" w:space="0"/>
              <w:right w:val="single" w:color="auto" w:sz="4" w:space="0"/>
            </w:tcBorders>
          </w:tcPr>
          <w:p w14:paraId="29831445">
            <w:pPr>
              <w:spacing w:before="72" w:beforeLines="30" w:after="72" w:afterLines="30"/>
              <w:jc w:val="both"/>
              <w:rPr>
                <w:szCs w:val="24"/>
              </w:rPr>
            </w:pPr>
          </w:p>
        </w:tc>
        <w:tc>
          <w:tcPr>
            <w:tcW w:w="1198" w:type="dxa"/>
            <w:tcBorders>
              <w:top w:val="single" w:color="auto" w:sz="4" w:space="0"/>
              <w:left w:val="single" w:color="auto" w:sz="4" w:space="0"/>
              <w:bottom w:val="single" w:color="auto" w:sz="4" w:space="0"/>
              <w:right w:val="single" w:color="auto" w:sz="4" w:space="0"/>
            </w:tcBorders>
          </w:tcPr>
          <w:p w14:paraId="24AD73B5">
            <w:pPr>
              <w:spacing w:before="72" w:beforeLines="30" w:after="72" w:afterLines="30"/>
              <w:jc w:val="both"/>
              <w:rPr>
                <w:szCs w:val="24"/>
              </w:rPr>
            </w:pPr>
          </w:p>
        </w:tc>
        <w:tc>
          <w:tcPr>
            <w:tcW w:w="1270" w:type="dxa"/>
            <w:tcBorders>
              <w:top w:val="single" w:color="auto" w:sz="4" w:space="0"/>
              <w:left w:val="single" w:color="auto" w:sz="4" w:space="0"/>
              <w:bottom w:val="single" w:color="auto" w:sz="4" w:space="0"/>
              <w:right w:val="single" w:color="auto" w:sz="4" w:space="0"/>
            </w:tcBorders>
          </w:tcPr>
          <w:p w14:paraId="2D3CBC06">
            <w:pPr>
              <w:spacing w:before="72" w:beforeLines="30" w:after="72" w:afterLines="30"/>
              <w:jc w:val="both"/>
              <w:rPr>
                <w:szCs w:val="24"/>
              </w:rPr>
            </w:pPr>
          </w:p>
        </w:tc>
      </w:tr>
      <w:bookmarkEnd w:id="13"/>
    </w:tbl>
    <w:p w14:paraId="42ECA233">
      <w:pPr>
        <w:spacing w:before="72" w:beforeLines="30" w:after="72" w:afterLines="30"/>
        <w:jc w:val="both"/>
        <w:rPr>
          <w:szCs w:val="24"/>
        </w:rPr>
      </w:pPr>
      <w:r>
        <w:rPr>
          <w:szCs w:val="24"/>
        </w:rPr>
        <w:t xml:space="preserve">LEGENDA: Vermelho: Risco extremo – Amarelo: Risco alto – Branco: Risco médio e Verde: Risco baixo. </w:t>
      </w:r>
    </w:p>
    <w:p w14:paraId="3A857983">
      <w:pPr>
        <w:spacing w:before="72" w:beforeLines="30" w:after="72" w:afterLines="30"/>
        <w:jc w:val="both"/>
        <w:rPr>
          <w:szCs w:val="24"/>
        </w:rPr>
      </w:pPr>
    </w:p>
    <w:p w14:paraId="0B176149">
      <w:pPr>
        <w:spacing w:before="72" w:beforeLines="30" w:after="72" w:afterLines="30"/>
        <w:jc w:val="both"/>
        <w:rPr>
          <w:b/>
          <w:bCs/>
          <w:szCs w:val="24"/>
        </w:rPr>
      </w:pPr>
      <w:r>
        <w:rPr>
          <w:b/>
          <w:bCs/>
          <w:szCs w:val="24"/>
        </w:rPr>
        <w:t>XIV - Posicionamento conclusivo sobre a adequação da contratação para o atendimento da necessidade a que se destina.</w:t>
      </w:r>
    </w:p>
    <w:p w14:paraId="1AFBF06F">
      <w:pPr>
        <w:pStyle w:val="20"/>
        <w:widowControl w:val="0"/>
        <w:tabs>
          <w:tab w:val="left" w:pos="1078"/>
          <w:tab w:val="left" w:pos="1134"/>
        </w:tabs>
        <w:spacing w:before="72" w:beforeLines="30" w:after="72" w:afterLines="30" w:line="240" w:lineRule="auto"/>
        <w:jc w:val="both"/>
        <w:rPr>
          <w:szCs w:val="24"/>
        </w:rPr>
      </w:pPr>
      <w:r>
        <w:rPr>
          <w:rFonts w:eastAsia="Calibri"/>
          <w:szCs w:val="24"/>
        </w:rPr>
        <w:t xml:space="preserve">                 </w:t>
      </w:r>
      <w:r>
        <w:rPr>
          <w:szCs w:val="24"/>
        </w:rPr>
        <w:t>Considerando os elementos obtidos, bem como a fundamentação deste estudo, especialmente no que tange à solução de mercado escolhida, esta Equipe de Planejamento, considera que a contratação é viável, além de ser necessária para o atendimento das necessidades e interesses deste órgão público.</w:t>
      </w:r>
    </w:p>
    <w:p w14:paraId="4E438DAB">
      <w:pPr>
        <w:spacing w:before="72" w:beforeLines="30" w:after="72" w:afterLines="30"/>
        <w:jc w:val="both"/>
        <w:rPr>
          <w:szCs w:val="24"/>
        </w:rPr>
      </w:pPr>
      <w:r>
        <w:rPr>
          <w:szCs w:val="24"/>
        </w:rPr>
        <w:t>O presente estudo técnico preliminar foi elaborado pela seguinte equipe de planejamento da contratação:</w:t>
      </w:r>
    </w:p>
    <w:p w14:paraId="109EAD92">
      <w:pPr>
        <w:spacing w:before="72" w:beforeLines="30" w:after="72" w:afterLines="30"/>
        <w:jc w:val="both"/>
        <w:rPr>
          <w:szCs w:val="24"/>
        </w:rPr>
      </w:pPr>
    </w:p>
    <w:p w14:paraId="3275625A">
      <w:pPr>
        <w:spacing w:before="72" w:beforeLines="30" w:after="72" w:afterLines="30"/>
        <w:jc w:val="right"/>
        <w:rPr>
          <w:szCs w:val="24"/>
        </w:rPr>
      </w:pPr>
      <w:r>
        <w:rPr>
          <w:szCs w:val="24"/>
        </w:rPr>
        <w:t>Caracol/MS, 05 de janeiro de 2026</w:t>
      </w:r>
    </w:p>
    <w:tbl>
      <w:tblPr>
        <w:tblStyle w:val="12"/>
        <w:tblW w:w="8720" w:type="dxa"/>
        <w:tblInd w:w="0" w:type="dxa"/>
        <w:tblLayout w:type="autofit"/>
        <w:tblCellMar>
          <w:top w:w="0" w:type="dxa"/>
          <w:left w:w="10" w:type="dxa"/>
          <w:bottom w:w="0" w:type="dxa"/>
          <w:right w:w="10" w:type="dxa"/>
        </w:tblCellMar>
      </w:tblPr>
      <w:tblGrid>
        <w:gridCol w:w="8720"/>
      </w:tblGrid>
      <w:tr w14:paraId="673C0B3C">
        <w:tc>
          <w:tcPr>
            <w:tcW w:w="8720" w:type="dxa"/>
            <w:tcMar>
              <w:top w:w="0" w:type="dxa"/>
              <w:left w:w="108" w:type="dxa"/>
              <w:bottom w:w="0" w:type="dxa"/>
              <w:right w:w="108" w:type="dxa"/>
            </w:tcMar>
          </w:tcPr>
          <w:p w14:paraId="5C4AE5E5">
            <w:pPr>
              <w:tabs>
                <w:tab w:val="left" w:pos="1050"/>
                <w:tab w:val="right" w:pos="9200"/>
              </w:tabs>
              <w:spacing w:before="72" w:beforeLines="30" w:after="72" w:afterLines="30"/>
              <w:jc w:val="both"/>
              <w:rPr>
                <w:rFonts w:eastAsia="Calibri"/>
                <w:b/>
                <w:szCs w:val="24"/>
              </w:rPr>
            </w:pPr>
            <w:r>
              <w:rPr>
                <w:rFonts w:eastAsia="Calibri"/>
                <w:b/>
                <w:szCs w:val="24"/>
              </w:rPr>
              <w:t>Elaborado por:</w:t>
            </w:r>
          </w:p>
          <w:p w14:paraId="40625BCE">
            <w:pPr>
              <w:tabs>
                <w:tab w:val="left" w:pos="1050"/>
                <w:tab w:val="right" w:pos="9200"/>
              </w:tabs>
              <w:spacing w:before="72" w:beforeLines="30" w:after="72" w:afterLines="30"/>
              <w:jc w:val="both"/>
              <w:rPr>
                <w:rFonts w:eastAsia="Calibri"/>
                <w:b/>
                <w:szCs w:val="24"/>
              </w:rPr>
            </w:pPr>
            <w:r>
              <w:rPr>
                <w:rFonts w:eastAsia="Calibri"/>
                <w:b/>
                <w:szCs w:val="24"/>
              </w:rPr>
              <w:t>______________________</w:t>
            </w:r>
          </w:p>
          <w:tbl>
            <w:tblPr>
              <w:tblStyle w:val="12"/>
              <w:tblW w:w="8504" w:type="dxa"/>
              <w:tblInd w:w="0" w:type="dxa"/>
              <w:tblLayout w:type="autofit"/>
              <w:tblCellMar>
                <w:top w:w="0" w:type="dxa"/>
                <w:left w:w="10" w:type="dxa"/>
                <w:bottom w:w="0" w:type="dxa"/>
                <w:right w:w="10" w:type="dxa"/>
              </w:tblCellMar>
            </w:tblPr>
            <w:tblGrid>
              <w:gridCol w:w="4621"/>
              <w:gridCol w:w="3883"/>
            </w:tblGrid>
            <w:tr w14:paraId="703E3FB0">
              <w:tc>
                <w:tcPr>
                  <w:tcW w:w="4621" w:type="dxa"/>
                  <w:tcMar>
                    <w:top w:w="0" w:type="dxa"/>
                    <w:left w:w="108" w:type="dxa"/>
                    <w:bottom w:w="0" w:type="dxa"/>
                    <w:right w:w="108" w:type="dxa"/>
                  </w:tcMar>
                </w:tcPr>
                <w:p w14:paraId="1868D0F8">
                  <w:pPr>
                    <w:spacing w:before="72" w:beforeLines="30" w:after="72" w:afterLines="30"/>
                    <w:jc w:val="both"/>
                    <w:rPr>
                      <w:bCs/>
                      <w:color w:val="000000"/>
                      <w:szCs w:val="24"/>
                      <w:lang w:eastAsia="pt-BR"/>
                    </w:rPr>
                  </w:pPr>
                  <w:r>
                    <w:rPr>
                      <w:bCs/>
                      <w:color w:val="000000"/>
                      <w:szCs w:val="24"/>
                      <w:lang w:eastAsia="pt-BR"/>
                    </w:rPr>
                    <w:t xml:space="preserve">Mariane Benites Godoy </w:t>
                  </w:r>
                </w:p>
                <w:p w14:paraId="0825797D">
                  <w:pPr>
                    <w:tabs>
                      <w:tab w:val="left" w:pos="176"/>
                    </w:tabs>
                    <w:spacing w:before="72" w:beforeLines="30" w:after="72" w:afterLines="30"/>
                    <w:jc w:val="both"/>
                    <w:rPr>
                      <w:bCs/>
                      <w:color w:val="000000"/>
                      <w:szCs w:val="24"/>
                      <w:lang w:eastAsia="pt-BR"/>
                    </w:rPr>
                  </w:pPr>
                  <w:r>
                    <w:rPr>
                      <w:bCs/>
                      <w:color w:val="000000"/>
                      <w:szCs w:val="24"/>
                      <w:lang w:eastAsia="pt-BR"/>
                    </w:rPr>
                    <w:t xml:space="preserve">Assessora adjunta da </w:t>
                  </w:r>
                </w:p>
                <w:p w14:paraId="20B25726">
                  <w:pPr>
                    <w:tabs>
                      <w:tab w:val="left" w:pos="176"/>
                    </w:tabs>
                    <w:spacing w:before="72" w:beforeLines="30" w:after="72" w:afterLines="30"/>
                    <w:jc w:val="both"/>
                    <w:rPr>
                      <w:bCs/>
                      <w:color w:val="000000"/>
                      <w:szCs w:val="24"/>
                      <w:lang w:eastAsia="pt-BR"/>
                    </w:rPr>
                  </w:pPr>
                  <w:r>
                    <w:rPr>
                      <w:bCs/>
                      <w:color w:val="000000"/>
                      <w:szCs w:val="24"/>
                      <w:lang w:eastAsia="pt-BR"/>
                    </w:rPr>
                    <w:t>Procuradoria Jurídica</w:t>
                  </w:r>
                </w:p>
              </w:tc>
              <w:tc>
                <w:tcPr>
                  <w:tcW w:w="3883" w:type="dxa"/>
                  <w:tcMar>
                    <w:top w:w="0" w:type="dxa"/>
                    <w:left w:w="108" w:type="dxa"/>
                    <w:bottom w:w="0" w:type="dxa"/>
                    <w:right w:w="108" w:type="dxa"/>
                  </w:tcMar>
                </w:tcPr>
                <w:p w14:paraId="74C6231F">
                  <w:pPr>
                    <w:spacing w:before="72" w:beforeLines="30" w:after="72" w:afterLines="30"/>
                    <w:jc w:val="both"/>
                    <w:rPr>
                      <w:bCs/>
                      <w:color w:val="000000"/>
                      <w:szCs w:val="24"/>
                      <w:lang w:eastAsia="pt-BR"/>
                    </w:rPr>
                  </w:pPr>
                </w:p>
              </w:tc>
            </w:tr>
          </w:tbl>
          <w:p w14:paraId="1F1E44A4">
            <w:pPr>
              <w:spacing w:before="72" w:beforeLines="30" w:after="72" w:afterLines="30"/>
              <w:jc w:val="both"/>
              <w:rPr>
                <w:bCs/>
                <w:color w:val="000000"/>
                <w:szCs w:val="24"/>
                <w:lang w:eastAsia="pt-BR"/>
              </w:rPr>
            </w:pPr>
          </w:p>
        </w:tc>
      </w:tr>
      <w:tr w14:paraId="6E8EFEF1">
        <w:tblPrEx>
          <w:tblCellMar>
            <w:top w:w="0" w:type="dxa"/>
            <w:left w:w="10" w:type="dxa"/>
            <w:bottom w:w="0" w:type="dxa"/>
            <w:right w:w="10" w:type="dxa"/>
          </w:tblCellMar>
        </w:tblPrEx>
        <w:tc>
          <w:tcPr>
            <w:tcW w:w="8720" w:type="dxa"/>
            <w:tcMar>
              <w:top w:w="0" w:type="dxa"/>
              <w:left w:w="108" w:type="dxa"/>
              <w:bottom w:w="0" w:type="dxa"/>
              <w:right w:w="108" w:type="dxa"/>
            </w:tcMar>
          </w:tcPr>
          <w:p w14:paraId="0587FDD4">
            <w:pPr>
              <w:spacing w:before="72" w:beforeLines="30" w:after="72" w:afterLines="30"/>
              <w:jc w:val="both"/>
              <w:rPr>
                <w:bCs/>
                <w:color w:val="000000" w:themeColor="text1"/>
                <w:szCs w:val="24"/>
                <w:lang w:eastAsia="pt-BR"/>
                <w14:textFill>
                  <w14:solidFill>
                    <w14:schemeClr w14:val="tx1"/>
                  </w14:solidFill>
                </w14:textFill>
              </w:rPr>
            </w:pPr>
            <w:r>
              <w:rPr>
                <w:bCs/>
                <w:color w:val="000000" w:themeColor="text1"/>
                <w:szCs w:val="24"/>
                <w:lang w:eastAsia="pt-BR"/>
                <w14:textFill>
                  <w14:solidFill>
                    <w14:schemeClr w14:val="tx1"/>
                  </w14:solidFill>
                </w14:textFill>
              </w:rPr>
              <w:t xml:space="preserve">  Matrícula: 2523</w:t>
            </w:r>
          </w:p>
          <w:p w14:paraId="4D215940">
            <w:pPr>
              <w:spacing w:before="72" w:beforeLines="30" w:after="72" w:afterLines="30"/>
              <w:jc w:val="both"/>
              <w:rPr>
                <w:bCs/>
                <w:color w:val="000000" w:themeColor="text1"/>
                <w:szCs w:val="24"/>
                <w:lang w:eastAsia="pt-BR"/>
                <w14:textFill>
                  <w14:solidFill>
                    <w14:schemeClr w14:val="tx1"/>
                  </w14:solidFill>
                </w14:textFill>
              </w:rPr>
            </w:pPr>
          </w:p>
          <w:p w14:paraId="1369BEAD">
            <w:pPr>
              <w:spacing w:before="72" w:beforeLines="30" w:after="72" w:afterLines="30"/>
              <w:jc w:val="both"/>
              <w:rPr>
                <w:bCs/>
                <w:color w:val="000000" w:themeColor="text1"/>
                <w:szCs w:val="24"/>
                <w:lang w:eastAsia="pt-BR"/>
                <w14:textFill>
                  <w14:solidFill>
                    <w14:schemeClr w14:val="tx1"/>
                  </w14:solidFill>
                </w14:textFill>
              </w:rPr>
            </w:pPr>
          </w:p>
          <w:p w14:paraId="5AC49ED4">
            <w:pPr>
              <w:spacing w:before="72" w:beforeLines="30" w:after="72" w:afterLines="30"/>
              <w:jc w:val="both"/>
              <w:rPr>
                <w:b/>
                <w:color w:val="000000" w:themeColor="text1"/>
                <w:szCs w:val="24"/>
                <w:lang w:eastAsia="pt-BR"/>
                <w14:textFill>
                  <w14:solidFill>
                    <w14:schemeClr w14:val="tx1"/>
                  </w14:solidFill>
                </w14:textFill>
              </w:rPr>
            </w:pPr>
            <w:r>
              <w:rPr>
                <w:b/>
                <w:color w:val="000000" w:themeColor="text1"/>
                <w:szCs w:val="24"/>
                <w:lang w:eastAsia="pt-BR"/>
                <w14:textFill>
                  <w14:solidFill>
                    <w14:schemeClr w14:val="tx1"/>
                  </w14:solidFill>
                </w14:textFill>
              </w:rPr>
              <w:t>_______________________</w:t>
            </w:r>
          </w:p>
          <w:p w14:paraId="440E1CC2">
            <w:pPr>
              <w:spacing w:before="72" w:beforeLines="30" w:after="72" w:afterLines="30"/>
              <w:jc w:val="both"/>
              <w:rPr>
                <w:bCs/>
                <w:color w:val="000000" w:themeColor="text1"/>
                <w:szCs w:val="24"/>
                <w:lang w:eastAsia="pt-BR"/>
                <w14:textFill>
                  <w14:solidFill>
                    <w14:schemeClr w14:val="tx1"/>
                  </w14:solidFill>
                </w14:textFill>
              </w:rPr>
            </w:pPr>
            <w:r>
              <w:rPr>
                <w:bCs/>
                <w:color w:val="000000" w:themeColor="text1"/>
                <w:szCs w:val="24"/>
                <w:lang w:eastAsia="pt-BR"/>
                <w14:textFill>
                  <w14:solidFill>
                    <w14:schemeClr w14:val="tx1"/>
                  </w14:solidFill>
                </w14:textFill>
              </w:rPr>
              <w:t>Carlos Godoy Junior</w:t>
            </w:r>
          </w:p>
          <w:p w14:paraId="6C720DF9">
            <w:pPr>
              <w:spacing w:before="72" w:beforeLines="30" w:after="72" w:afterLines="30"/>
              <w:jc w:val="both"/>
              <w:rPr>
                <w:bCs/>
                <w:color w:val="000000" w:themeColor="text1"/>
                <w:szCs w:val="24"/>
                <w:lang w:eastAsia="pt-BR"/>
                <w14:textFill>
                  <w14:solidFill>
                    <w14:schemeClr w14:val="tx1"/>
                  </w14:solidFill>
                </w14:textFill>
              </w:rPr>
            </w:pPr>
            <w:r>
              <w:rPr>
                <w:bCs/>
                <w:color w:val="000000" w:themeColor="text1"/>
                <w:szCs w:val="24"/>
                <w:lang w:eastAsia="pt-BR"/>
                <w14:textFill>
                  <w14:solidFill>
                    <w14:schemeClr w14:val="tx1"/>
                  </w14:solidFill>
                </w14:textFill>
              </w:rPr>
              <w:t>Agente Técnico de ADM/Finanças</w:t>
            </w:r>
          </w:p>
        </w:tc>
      </w:tr>
    </w:tbl>
    <w:p w14:paraId="7ED75C8E">
      <w:pPr>
        <w:spacing w:before="72" w:beforeLines="30" w:after="72" w:afterLines="30"/>
        <w:jc w:val="both"/>
        <w:rPr>
          <w:bCs/>
          <w:color w:val="000000" w:themeColor="text1"/>
          <w:szCs w:val="24"/>
          <w:lang w:eastAsia="pt-BR"/>
          <w14:textFill>
            <w14:solidFill>
              <w14:schemeClr w14:val="tx1"/>
            </w14:solidFill>
          </w14:textFill>
        </w:rPr>
      </w:pPr>
      <w:r>
        <w:rPr>
          <w:b/>
          <w:bCs/>
          <w:color w:val="000000" w:themeColor="text1"/>
          <w:szCs w:val="24"/>
          <w14:textFill>
            <w14:solidFill>
              <w14:schemeClr w14:val="tx1"/>
            </w14:solidFill>
          </w14:textFill>
        </w:rPr>
        <w:t xml:space="preserve">  </w:t>
      </w:r>
      <w:r>
        <w:rPr>
          <w:bCs/>
          <w:color w:val="000000" w:themeColor="text1"/>
          <w:szCs w:val="24"/>
          <w:lang w:eastAsia="pt-BR"/>
          <w14:textFill>
            <w14:solidFill>
              <w14:schemeClr w14:val="tx1"/>
            </w14:solidFill>
          </w14:textFill>
        </w:rPr>
        <w:t>Matrícula: 177</w:t>
      </w:r>
    </w:p>
    <w:p w14:paraId="493186DA">
      <w:pPr>
        <w:spacing w:before="72" w:beforeLines="30" w:after="72" w:afterLines="30"/>
        <w:jc w:val="both"/>
        <w:rPr>
          <w:bCs/>
          <w:color w:val="000000" w:themeColor="text1"/>
          <w:szCs w:val="24"/>
          <w:lang w:eastAsia="pt-BR"/>
          <w14:textFill>
            <w14:solidFill>
              <w14:schemeClr w14:val="tx1"/>
            </w14:solidFill>
          </w14:textFill>
        </w:rPr>
      </w:pPr>
    </w:p>
    <w:p w14:paraId="0C0F2CAB">
      <w:pPr>
        <w:spacing w:before="72" w:beforeLines="30" w:after="72" w:afterLines="30"/>
        <w:jc w:val="both"/>
        <w:rPr>
          <w:bCs/>
          <w:color w:val="000000" w:themeColor="text1"/>
          <w:szCs w:val="24"/>
          <w:lang w:eastAsia="pt-BR"/>
          <w14:textFill>
            <w14:solidFill>
              <w14:schemeClr w14:val="tx1"/>
            </w14:solidFill>
          </w14:textFill>
        </w:rPr>
      </w:pPr>
    </w:p>
    <w:p w14:paraId="3D315CEF">
      <w:pPr>
        <w:pStyle w:val="94"/>
        <w:spacing w:before="72" w:beforeLines="30" w:after="72" w:afterLines="30"/>
        <w:jc w:val="both"/>
        <w:rPr>
          <w:rFonts w:ascii="Times New Roman" w:hAnsi="Times New Roman" w:cs="Times New Roman"/>
          <w:b/>
          <w:bCs/>
          <w:sz w:val="24"/>
          <w:szCs w:val="24"/>
        </w:rPr>
      </w:pPr>
      <w:r>
        <w:rPr>
          <w:rFonts w:ascii="Times New Roman" w:hAnsi="Times New Roman" w:cs="Times New Roman"/>
          <w:b/>
          <w:bCs/>
          <w:sz w:val="24"/>
          <w:szCs w:val="24"/>
        </w:rPr>
        <w:t>_______________________</w:t>
      </w:r>
    </w:p>
    <w:p w14:paraId="29C71B3C">
      <w:pPr>
        <w:spacing w:before="72" w:beforeLines="30" w:after="72" w:afterLines="30"/>
        <w:jc w:val="both"/>
        <w:rPr>
          <w:color w:val="000000"/>
          <w:szCs w:val="24"/>
        </w:rPr>
      </w:pPr>
      <w:r>
        <w:rPr>
          <w:color w:val="000000"/>
          <w:szCs w:val="24"/>
        </w:rPr>
        <w:t xml:space="preserve">    Aliny Leite Serena </w:t>
      </w:r>
    </w:p>
    <w:p w14:paraId="566CA18A">
      <w:pPr>
        <w:spacing w:before="72" w:beforeLines="30" w:after="72" w:afterLines="30"/>
        <w:jc w:val="both"/>
        <w:rPr>
          <w:color w:val="000000"/>
          <w:szCs w:val="24"/>
        </w:rPr>
      </w:pPr>
      <w:r>
        <w:rPr>
          <w:color w:val="000000"/>
          <w:szCs w:val="24"/>
        </w:rPr>
        <w:t xml:space="preserve">    Agente Administrativo</w:t>
      </w:r>
    </w:p>
    <w:p w14:paraId="207E15AF">
      <w:pPr>
        <w:spacing w:before="72" w:beforeLines="30" w:after="72" w:afterLines="30"/>
        <w:jc w:val="both"/>
        <w:rPr>
          <w:bCs/>
          <w:color w:val="000000" w:themeColor="text1"/>
          <w:szCs w:val="24"/>
          <w:lang w:eastAsia="pt-BR"/>
          <w14:textFill>
            <w14:solidFill>
              <w14:schemeClr w14:val="tx1"/>
            </w14:solidFill>
          </w14:textFill>
        </w:rPr>
      </w:pPr>
      <w:r>
        <w:rPr>
          <w:bCs/>
          <w:color w:val="000000" w:themeColor="text1"/>
          <w:szCs w:val="24"/>
          <w:lang w:eastAsia="pt-BR"/>
          <w14:textFill>
            <w14:solidFill>
              <w14:schemeClr w14:val="tx1"/>
            </w14:solidFill>
          </w14:textFill>
        </w:rPr>
        <w:t xml:space="preserve"> Matrícula: 3636</w:t>
      </w:r>
    </w:p>
    <w:p w14:paraId="113AB9AF">
      <w:pPr>
        <w:spacing w:before="72" w:beforeLines="30" w:after="72" w:afterLines="30"/>
        <w:jc w:val="both"/>
        <w:rPr>
          <w:bCs/>
          <w:color w:val="000000" w:themeColor="text1"/>
          <w:szCs w:val="24"/>
          <w:lang w:eastAsia="pt-BR"/>
          <w14:textFill>
            <w14:solidFill>
              <w14:schemeClr w14:val="tx1"/>
            </w14:solidFill>
          </w14:textFill>
        </w:rPr>
      </w:pPr>
    </w:p>
    <w:p w14:paraId="14F22846">
      <w:pPr>
        <w:spacing w:before="72" w:beforeLines="30" w:after="72" w:afterLines="30"/>
        <w:jc w:val="both"/>
        <w:rPr>
          <w:b/>
          <w:bCs/>
          <w:szCs w:val="24"/>
        </w:rPr>
      </w:pPr>
      <w:r>
        <w:rPr>
          <w:b/>
          <w:bCs/>
          <w:szCs w:val="24"/>
        </w:rPr>
        <w:t>Aprovado por:</w:t>
      </w:r>
    </w:p>
    <w:tbl>
      <w:tblPr>
        <w:tblStyle w:val="38"/>
        <w:tblW w:w="136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356"/>
        <w:gridCol w:w="4322"/>
      </w:tblGrid>
      <w:tr w14:paraId="3D545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356" w:type="dxa"/>
          </w:tcPr>
          <w:p w14:paraId="28FFB3AA">
            <w:pPr>
              <w:spacing w:before="72" w:beforeLines="30" w:after="72" w:afterLines="30"/>
              <w:jc w:val="both"/>
              <w:rPr>
                <w:b/>
                <w:bCs/>
                <w:color w:val="000000" w:themeColor="text1"/>
                <w:szCs w:val="24"/>
                <w14:textFill>
                  <w14:solidFill>
                    <w14:schemeClr w14:val="tx1"/>
                  </w14:solidFill>
                </w14:textFill>
              </w:rPr>
            </w:pPr>
          </w:p>
          <w:p w14:paraId="749C3701">
            <w:pPr>
              <w:spacing w:before="72" w:beforeLines="30" w:after="72" w:afterLines="30"/>
              <w:jc w:val="both"/>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Cristina Araújo Pezzini</w:t>
            </w:r>
          </w:p>
          <w:p w14:paraId="27F70EAF">
            <w:pPr>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Secretária de Saúde</w:t>
            </w:r>
          </w:p>
          <w:p w14:paraId="7D879824">
            <w:pPr>
              <w:spacing w:before="72" w:beforeLines="30" w:after="72" w:afterLines="30"/>
              <w:jc w:val="both"/>
              <w:rPr>
                <w:bCs/>
                <w:color w:val="000000" w:themeColor="text1"/>
                <w:szCs w:val="24"/>
                <w14:textFill>
                  <w14:solidFill>
                    <w14:schemeClr w14:val="tx1"/>
                  </w14:solidFill>
                </w14:textFill>
              </w:rPr>
            </w:pPr>
          </w:p>
          <w:p w14:paraId="55E4A23A">
            <w:pPr>
              <w:spacing w:before="72" w:beforeLines="30" w:after="72" w:afterLines="30"/>
              <w:jc w:val="both"/>
              <w:rPr>
                <w:bCs/>
                <w:color w:val="000000" w:themeColor="text1"/>
                <w:szCs w:val="24"/>
                <w14:textFill>
                  <w14:solidFill>
                    <w14:schemeClr w14:val="tx1"/>
                  </w14:solidFill>
                </w14:textFill>
              </w:rPr>
            </w:pPr>
          </w:p>
        </w:tc>
        <w:tc>
          <w:tcPr>
            <w:tcW w:w="4322" w:type="dxa"/>
          </w:tcPr>
          <w:p w14:paraId="3F305C5E">
            <w:pPr>
              <w:spacing w:before="72" w:beforeLines="30" w:after="72" w:afterLines="30"/>
              <w:jc w:val="both"/>
              <w:rPr>
                <w:bCs/>
                <w:color w:val="000000" w:themeColor="text1"/>
                <w:szCs w:val="24"/>
                <w14:textFill>
                  <w14:solidFill>
                    <w14:schemeClr w14:val="tx1"/>
                  </w14:solidFill>
                </w14:textFill>
              </w:rPr>
            </w:pPr>
          </w:p>
        </w:tc>
      </w:tr>
    </w:tbl>
    <w:p w14:paraId="68CFA547">
      <w:pPr>
        <w:spacing w:before="72" w:beforeLines="30" w:after="72" w:afterLines="30"/>
        <w:jc w:val="both"/>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Honorato Ovelar Solariendres</w:t>
      </w:r>
    </w:p>
    <w:p w14:paraId="0104850A">
      <w:pPr>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Secretário de Obras </w:t>
      </w:r>
    </w:p>
    <w:p w14:paraId="257087DB">
      <w:pPr>
        <w:spacing w:before="72" w:beforeLines="30" w:after="72" w:afterLines="30"/>
        <w:jc w:val="both"/>
        <w:rPr>
          <w:b/>
          <w:bCs/>
          <w:color w:val="000000" w:themeColor="text1"/>
          <w:szCs w:val="24"/>
          <w14:textFill>
            <w14:solidFill>
              <w14:schemeClr w14:val="tx1"/>
            </w14:solidFill>
          </w14:textFill>
        </w:rPr>
      </w:pPr>
    </w:p>
    <w:p w14:paraId="6918B160">
      <w:pPr>
        <w:spacing w:before="72" w:beforeLines="30" w:after="72" w:afterLines="30"/>
        <w:jc w:val="both"/>
        <w:rPr>
          <w:b/>
          <w:bCs/>
          <w:color w:val="000000" w:themeColor="text1"/>
          <w:szCs w:val="24"/>
          <w14:textFill>
            <w14:solidFill>
              <w14:schemeClr w14:val="tx1"/>
            </w14:solidFill>
          </w14:textFill>
        </w:rPr>
      </w:pPr>
    </w:p>
    <w:p w14:paraId="7359ACE4">
      <w:pPr>
        <w:spacing w:before="72" w:beforeLines="30" w:after="72" w:afterLines="30"/>
        <w:jc w:val="both"/>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Carlos Roberto Hespporte</w:t>
      </w:r>
    </w:p>
    <w:p w14:paraId="524A9678">
      <w:pPr>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Secretário de Agricultura</w:t>
      </w:r>
    </w:p>
    <w:p w14:paraId="127B6C50">
      <w:pPr>
        <w:spacing w:before="72" w:beforeLines="30" w:after="72" w:afterLines="30"/>
        <w:jc w:val="both"/>
        <w:rPr>
          <w:color w:val="000000" w:themeColor="text1"/>
          <w:szCs w:val="24"/>
          <w14:textFill>
            <w14:solidFill>
              <w14:schemeClr w14:val="tx1"/>
            </w14:solidFill>
          </w14:textFill>
        </w:rPr>
      </w:pPr>
    </w:p>
    <w:p w14:paraId="23F6F010">
      <w:pPr>
        <w:spacing w:before="72" w:beforeLines="30" w:after="72" w:afterLines="30"/>
        <w:jc w:val="both"/>
        <w:rPr>
          <w:color w:val="000000" w:themeColor="text1"/>
          <w:szCs w:val="24"/>
          <w14:textFill>
            <w14:solidFill>
              <w14:schemeClr w14:val="tx1"/>
            </w14:solidFill>
          </w14:textFill>
        </w:rPr>
      </w:pPr>
    </w:p>
    <w:p w14:paraId="536455BA">
      <w:pPr>
        <w:spacing w:before="72" w:beforeLines="30" w:after="72" w:afterLines="30"/>
        <w:jc w:val="both"/>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Ogair Garcia Leite</w:t>
      </w:r>
    </w:p>
    <w:p w14:paraId="4B399816">
      <w:pPr>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Secretária Municipal - SMDHASTH</w:t>
      </w:r>
    </w:p>
    <w:p w14:paraId="7B8C63D2">
      <w:pPr>
        <w:spacing w:before="72" w:beforeLines="30" w:after="72" w:afterLines="30"/>
        <w:jc w:val="both"/>
        <w:rPr>
          <w:b/>
          <w:bCs/>
          <w:color w:val="000000" w:themeColor="text1"/>
          <w:szCs w:val="24"/>
          <w14:textFill>
            <w14:solidFill>
              <w14:schemeClr w14:val="tx1"/>
            </w14:solidFill>
          </w14:textFill>
        </w:rPr>
      </w:pPr>
    </w:p>
    <w:p w14:paraId="53DE7BB4">
      <w:pPr>
        <w:spacing w:before="72" w:beforeLines="30" w:after="72" w:afterLines="30"/>
        <w:jc w:val="both"/>
        <w:rPr>
          <w:b/>
          <w:bCs/>
          <w:color w:val="000000" w:themeColor="text1"/>
          <w:szCs w:val="24"/>
          <w14:textFill>
            <w14:solidFill>
              <w14:schemeClr w14:val="tx1"/>
            </w14:solidFill>
          </w14:textFill>
        </w:rPr>
      </w:pPr>
    </w:p>
    <w:p w14:paraId="193C9185">
      <w:pPr>
        <w:spacing w:before="72" w:beforeLines="30" w:after="72" w:afterLines="30"/>
        <w:jc w:val="both"/>
        <w:rPr>
          <w:b/>
          <w:bCs/>
          <w:color w:val="000000" w:themeColor="text1"/>
          <w:szCs w:val="24"/>
          <w14:textFill>
            <w14:solidFill>
              <w14:schemeClr w14:val="tx1"/>
            </w14:solidFill>
          </w14:textFill>
        </w:rPr>
      </w:pPr>
    </w:p>
    <w:p w14:paraId="43A748B9">
      <w:pPr>
        <w:spacing w:before="72" w:beforeLines="30" w:after="72" w:afterLines="30"/>
        <w:jc w:val="both"/>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Sueli Haut de Oliveira</w:t>
      </w:r>
    </w:p>
    <w:p w14:paraId="039DBDE6">
      <w:pPr>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Secretária de Administração e Finanças</w:t>
      </w:r>
    </w:p>
    <w:p w14:paraId="558AC81E">
      <w:pPr>
        <w:spacing w:before="72" w:beforeLines="30" w:after="72" w:afterLines="30"/>
        <w:jc w:val="both"/>
        <w:rPr>
          <w:color w:val="000000" w:themeColor="text1"/>
          <w:szCs w:val="24"/>
          <w14:textFill>
            <w14:solidFill>
              <w14:schemeClr w14:val="tx1"/>
            </w14:solidFill>
          </w14:textFill>
        </w:rPr>
      </w:pPr>
    </w:p>
    <w:p w14:paraId="482BFD24">
      <w:pPr>
        <w:spacing w:before="72" w:beforeLines="30" w:after="72" w:afterLines="30"/>
        <w:jc w:val="both"/>
        <w:rPr>
          <w:color w:val="000000" w:themeColor="text1"/>
          <w:szCs w:val="24"/>
          <w14:textFill>
            <w14:solidFill>
              <w14:schemeClr w14:val="tx1"/>
            </w14:solidFill>
          </w14:textFill>
        </w:rPr>
      </w:pPr>
    </w:p>
    <w:p w14:paraId="5A9B2A8A">
      <w:pPr>
        <w:spacing w:before="72" w:beforeLines="30" w:after="72" w:afterLines="30"/>
        <w:jc w:val="both"/>
        <w:rPr>
          <w:color w:val="000000" w:themeColor="text1"/>
          <w:szCs w:val="24"/>
          <w14:textFill>
            <w14:solidFill>
              <w14:schemeClr w14:val="tx1"/>
            </w14:solidFill>
          </w14:textFill>
        </w:rPr>
      </w:pPr>
    </w:p>
    <w:p w14:paraId="0DBBCF85">
      <w:pPr>
        <w:spacing w:before="72" w:beforeLines="30" w:after="72" w:afterLines="30"/>
        <w:jc w:val="both"/>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Thaiz Leite de Andrade</w:t>
      </w:r>
    </w:p>
    <w:p w14:paraId="688F6126">
      <w:pPr>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Secretária de Educação</w:t>
      </w:r>
      <w:bookmarkEnd w:id="12"/>
    </w:p>
    <w:p w14:paraId="5F8ED0CF">
      <w:pPr>
        <w:spacing w:before="72" w:beforeLines="30" w:after="72" w:afterLines="30"/>
        <w:jc w:val="center"/>
        <w:rPr>
          <w:b/>
          <w:color w:val="000000"/>
          <w:szCs w:val="24"/>
          <w:lang w:eastAsia="pt-BR"/>
        </w:rPr>
      </w:pPr>
      <w:r>
        <w:rPr>
          <w:b/>
          <w:color w:val="000000"/>
          <w:szCs w:val="24"/>
          <w:lang w:eastAsia="pt-BR"/>
        </w:rPr>
        <w:t>ANEXO I AO ETP</w:t>
      </w:r>
    </w:p>
    <w:p w14:paraId="04ED8585">
      <w:pPr>
        <w:spacing w:before="72" w:beforeLines="30" w:after="72" w:afterLines="30"/>
        <w:jc w:val="both"/>
        <w:rPr>
          <w:b/>
          <w:color w:val="000000"/>
          <w:szCs w:val="24"/>
          <w:lang w:eastAsia="pt-BR"/>
        </w:rPr>
      </w:pPr>
      <w:r>
        <w:rPr>
          <w:b/>
          <w:color w:val="000000"/>
          <w:szCs w:val="24"/>
          <w:lang w:eastAsia="pt-BR"/>
        </w:rPr>
        <w:t>Quantitativo licitado em Sidrolândia em 2024</w:t>
      </w:r>
    </w:p>
    <w:tbl>
      <w:tblPr>
        <w:tblStyle w:val="12"/>
        <w:tblW w:w="8482" w:type="dxa"/>
        <w:tblInd w:w="0" w:type="dxa"/>
        <w:tblLayout w:type="autofit"/>
        <w:tblCellMar>
          <w:top w:w="0" w:type="dxa"/>
          <w:left w:w="70" w:type="dxa"/>
          <w:bottom w:w="0" w:type="dxa"/>
          <w:right w:w="70" w:type="dxa"/>
        </w:tblCellMar>
      </w:tblPr>
      <w:tblGrid>
        <w:gridCol w:w="1224"/>
        <w:gridCol w:w="2769"/>
        <w:gridCol w:w="1894"/>
        <w:gridCol w:w="2595"/>
      </w:tblGrid>
      <w:tr w14:paraId="25598132">
        <w:trPr>
          <w:trHeight w:val="975" w:hRule="atLeast"/>
        </w:trPr>
        <w:tc>
          <w:tcPr>
            <w:tcW w:w="840" w:type="dxa"/>
            <w:tcBorders>
              <w:top w:val="single" w:color="auto" w:sz="4" w:space="0"/>
              <w:left w:val="single" w:color="auto" w:sz="4" w:space="0"/>
              <w:bottom w:val="single" w:color="auto" w:sz="4" w:space="0"/>
              <w:right w:val="single" w:color="auto" w:sz="4" w:space="0"/>
            </w:tcBorders>
            <w:noWrap/>
            <w:vAlign w:val="center"/>
          </w:tcPr>
          <w:p w14:paraId="2727FD82">
            <w:pPr>
              <w:spacing w:before="72" w:beforeLines="30" w:after="72" w:afterLines="30"/>
              <w:jc w:val="both"/>
              <w:rPr>
                <w:b/>
                <w:bCs/>
                <w:color w:val="000000"/>
                <w:szCs w:val="24"/>
              </w:rPr>
            </w:pPr>
            <w:r>
              <w:rPr>
                <w:b/>
                <w:bCs/>
                <w:color w:val="000000"/>
                <w:szCs w:val="24"/>
              </w:rPr>
              <w:t>ITEM</w:t>
            </w:r>
          </w:p>
        </w:tc>
        <w:tc>
          <w:tcPr>
            <w:tcW w:w="1900" w:type="dxa"/>
            <w:tcBorders>
              <w:top w:val="single" w:color="auto" w:sz="4" w:space="0"/>
              <w:left w:val="nil"/>
              <w:bottom w:val="single" w:color="auto" w:sz="4" w:space="0"/>
              <w:right w:val="single" w:color="auto" w:sz="4" w:space="0"/>
            </w:tcBorders>
            <w:noWrap/>
            <w:vAlign w:val="center"/>
          </w:tcPr>
          <w:p w14:paraId="443534ED">
            <w:pPr>
              <w:spacing w:before="72" w:beforeLines="30" w:after="72" w:afterLines="30"/>
              <w:jc w:val="both"/>
              <w:rPr>
                <w:b/>
                <w:bCs/>
                <w:color w:val="000000"/>
                <w:szCs w:val="24"/>
              </w:rPr>
            </w:pPr>
            <w:r>
              <w:rPr>
                <w:b/>
                <w:bCs/>
                <w:color w:val="000000"/>
                <w:szCs w:val="24"/>
              </w:rPr>
              <w:t>PRODUTO</w:t>
            </w:r>
          </w:p>
        </w:tc>
        <w:tc>
          <w:tcPr>
            <w:tcW w:w="1300" w:type="dxa"/>
            <w:tcBorders>
              <w:top w:val="single" w:color="auto" w:sz="4" w:space="0"/>
              <w:left w:val="nil"/>
              <w:bottom w:val="single" w:color="auto" w:sz="4" w:space="0"/>
              <w:right w:val="single" w:color="auto" w:sz="4" w:space="0"/>
            </w:tcBorders>
            <w:noWrap/>
            <w:vAlign w:val="center"/>
          </w:tcPr>
          <w:p w14:paraId="483C33A0">
            <w:pPr>
              <w:spacing w:before="72" w:beforeLines="30" w:after="72" w:afterLines="30"/>
              <w:jc w:val="both"/>
              <w:rPr>
                <w:b/>
                <w:bCs/>
                <w:color w:val="000000"/>
                <w:szCs w:val="24"/>
              </w:rPr>
            </w:pPr>
            <w:r>
              <w:rPr>
                <w:b/>
                <w:bCs/>
                <w:color w:val="000000"/>
                <w:szCs w:val="24"/>
              </w:rPr>
              <w:t>UNIDADE</w:t>
            </w:r>
          </w:p>
        </w:tc>
        <w:tc>
          <w:tcPr>
            <w:tcW w:w="1740" w:type="dxa"/>
            <w:tcBorders>
              <w:top w:val="single" w:color="auto" w:sz="4" w:space="0"/>
              <w:left w:val="nil"/>
              <w:bottom w:val="single" w:color="auto" w:sz="4" w:space="0"/>
              <w:right w:val="single" w:color="auto" w:sz="4" w:space="0"/>
            </w:tcBorders>
            <w:noWrap/>
            <w:vAlign w:val="center"/>
          </w:tcPr>
          <w:p w14:paraId="48955E8F">
            <w:pPr>
              <w:spacing w:before="72" w:beforeLines="30" w:after="72" w:afterLines="30"/>
              <w:jc w:val="both"/>
              <w:rPr>
                <w:b/>
                <w:bCs/>
                <w:color w:val="000000"/>
                <w:szCs w:val="24"/>
              </w:rPr>
            </w:pPr>
            <w:r>
              <w:rPr>
                <w:b/>
                <w:bCs/>
                <w:color w:val="000000"/>
                <w:szCs w:val="24"/>
              </w:rPr>
              <w:t>QUANTIDADE</w:t>
            </w:r>
          </w:p>
        </w:tc>
      </w:tr>
      <w:tr w14:paraId="4688A1C8">
        <w:tblPrEx>
          <w:tblCellMar>
            <w:top w:w="0" w:type="dxa"/>
            <w:left w:w="70" w:type="dxa"/>
            <w:bottom w:w="0" w:type="dxa"/>
            <w:right w:w="70" w:type="dxa"/>
          </w:tblCellMar>
        </w:tblPrEx>
        <w:trPr>
          <w:trHeight w:val="300" w:hRule="atLeast"/>
        </w:trPr>
        <w:tc>
          <w:tcPr>
            <w:tcW w:w="840" w:type="dxa"/>
            <w:tcBorders>
              <w:top w:val="nil"/>
              <w:left w:val="single" w:color="auto" w:sz="4" w:space="0"/>
              <w:bottom w:val="single" w:color="auto" w:sz="4" w:space="0"/>
              <w:right w:val="single" w:color="auto" w:sz="4" w:space="0"/>
            </w:tcBorders>
            <w:noWrap/>
            <w:vAlign w:val="bottom"/>
          </w:tcPr>
          <w:p w14:paraId="75BE2E8E">
            <w:pPr>
              <w:spacing w:before="72" w:beforeLines="30" w:after="72" w:afterLines="30"/>
              <w:jc w:val="both"/>
              <w:rPr>
                <w:color w:val="000000"/>
                <w:szCs w:val="24"/>
              </w:rPr>
            </w:pPr>
            <w:bookmarkStart w:id="14" w:name="_Hlk221267890"/>
            <w:r>
              <w:rPr>
                <w:color w:val="000000"/>
                <w:szCs w:val="24"/>
              </w:rPr>
              <w:t>1</w:t>
            </w:r>
          </w:p>
        </w:tc>
        <w:tc>
          <w:tcPr>
            <w:tcW w:w="1900" w:type="dxa"/>
            <w:tcBorders>
              <w:top w:val="nil"/>
              <w:left w:val="nil"/>
              <w:bottom w:val="single" w:color="auto" w:sz="4" w:space="0"/>
              <w:right w:val="single" w:color="auto" w:sz="4" w:space="0"/>
            </w:tcBorders>
            <w:noWrap/>
            <w:vAlign w:val="bottom"/>
          </w:tcPr>
          <w:p w14:paraId="1C0D0429">
            <w:pPr>
              <w:spacing w:before="72" w:beforeLines="30" w:after="72" w:afterLines="30"/>
              <w:jc w:val="both"/>
              <w:rPr>
                <w:color w:val="000000"/>
                <w:szCs w:val="24"/>
              </w:rPr>
            </w:pPr>
            <w:r>
              <w:rPr>
                <w:color w:val="000000"/>
                <w:szCs w:val="24"/>
              </w:rPr>
              <w:t>DIESEL S10</w:t>
            </w:r>
          </w:p>
        </w:tc>
        <w:tc>
          <w:tcPr>
            <w:tcW w:w="1300" w:type="dxa"/>
            <w:tcBorders>
              <w:top w:val="nil"/>
              <w:left w:val="nil"/>
              <w:bottom w:val="single" w:color="auto" w:sz="4" w:space="0"/>
              <w:right w:val="single" w:color="auto" w:sz="4" w:space="0"/>
            </w:tcBorders>
            <w:noWrap/>
            <w:vAlign w:val="center"/>
          </w:tcPr>
          <w:p w14:paraId="3A655510">
            <w:pPr>
              <w:spacing w:before="72" w:beforeLines="30" w:after="72" w:afterLines="30"/>
              <w:jc w:val="both"/>
              <w:rPr>
                <w:color w:val="000000"/>
                <w:szCs w:val="24"/>
              </w:rPr>
            </w:pPr>
            <w:r>
              <w:rPr>
                <w:color w:val="000000"/>
                <w:szCs w:val="24"/>
              </w:rPr>
              <w:t>LT</w:t>
            </w:r>
          </w:p>
        </w:tc>
        <w:tc>
          <w:tcPr>
            <w:tcW w:w="1740" w:type="dxa"/>
            <w:tcBorders>
              <w:top w:val="nil"/>
              <w:left w:val="nil"/>
              <w:bottom w:val="single" w:color="auto" w:sz="4" w:space="0"/>
              <w:right w:val="single" w:color="auto" w:sz="4" w:space="0"/>
            </w:tcBorders>
            <w:noWrap/>
            <w:vAlign w:val="bottom"/>
          </w:tcPr>
          <w:p w14:paraId="5C7D1B2E">
            <w:pPr>
              <w:spacing w:before="72" w:beforeLines="30" w:after="72" w:afterLines="30"/>
              <w:jc w:val="both"/>
              <w:rPr>
                <w:color w:val="000000"/>
                <w:szCs w:val="24"/>
              </w:rPr>
            </w:pPr>
            <w:r>
              <w:rPr>
                <w:color w:val="000000"/>
                <w:szCs w:val="24"/>
              </w:rPr>
              <w:t>60000</w:t>
            </w:r>
          </w:p>
        </w:tc>
      </w:tr>
      <w:tr w14:paraId="53DD9593">
        <w:tblPrEx>
          <w:tblCellMar>
            <w:top w:w="0" w:type="dxa"/>
            <w:left w:w="70" w:type="dxa"/>
            <w:bottom w:w="0" w:type="dxa"/>
            <w:right w:w="70" w:type="dxa"/>
          </w:tblCellMar>
        </w:tblPrEx>
        <w:trPr>
          <w:trHeight w:val="300" w:hRule="atLeast"/>
        </w:trPr>
        <w:tc>
          <w:tcPr>
            <w:tcW w:w="840" w:type="dxa"/>
            <w:tcBorders>
              <w:top w:val="nil"/>
              <w:left w:val="single" w:color="auto" w:sz="4" w:space="0"/>
              <w:bottom w:val="single" w:color="auto" w:sz="4" w:space="0"/>
              <w:right w:val="single" w:color="auto" w:sz="4" w:space="0"/>
            </w:tcBorders>
            <w:noWrap/>
            <w:vAlign w:val="bottom"/>
          </w:tcPr>
          <w:p w14:paraId="02B348FB">
            <w:pPr>
              <w:spacing w:before="72" w:beforeLines="30" w:after="72" w:afterLines="30"/>
              <w:jc w:val="both"/>
              <w:rPr>
                <w:color w:val="000000"/>
                <w:szCs w:val="24"/>
              </w:rPr>
            </w:pPr>
            <w:r>
              <w:rPr>
                <w:color w:val="000000"/>
                <w:szCs w:val="24"/>
              </w:rPr>
              <w:t>2</w:t>
            </w:r>
          </w:p>
        </w:tc>
        <w:tc>
          <w:tcPr>
            <w:tcW w:w="1900" w:type="dxa"/>
            <w:tcBorders>
              <w:top w:val="nil"/>
              <w:left w:val="nil"/>
              <w:bottom w:val="single" w:color="auto" w:sz="4" w:space="0"/>
              <w:right w:val="single" w:color="auto" w:sz="4" w:space="0"/>
            </w:tcBorders>
            <w:noWrap/>
            <w:vAlign w:val="bottom"/>
          </w:tcPr>
          <w:p w14:paraId="33037810">
            <w:pPr>
              <w:spacing w:before="72" w:beforeLines="30" w:after="72" w:afterLines="30"/>
              <w:jc w:val="both"/>
              <w:rPr>
                <w:color w:val="000000"/>
                <w:szCs w:val="24"/>
              </w:rPr>
            </w:pPr>
            <w:r>
              <w:rPr>
                <w:color w:val="000000"/>
                <w:szCs w:val="24"/>
              </w:rPr>
              <w:t>GASOLINA COMUM</w:t>
            </w:r>
          </w:p>
        </w:tc>
        <w:tc>
          <w:tcPr>
            <w:tcW w:w="1300" w:type="dxa"/>
            <w:tcBorders>
              <w:top w:val="nil"/>
              <w:left w:val="nil"/>
              <w:bottom w:val="single" w:color="auto" w:sz="4" w:space="0"/>
              <w:right w:val="single" w:color="auto" w:sz="4" w:space="0"/>
            </w:tcBorders>
            <w:noWrap/>
            <w:vAlign w:val="center"/>
          </w:tcPr>
          <w:p w14:paraId="2721BE1B">
            <w:pPr>
              <w:spacing w:before="72" w:beforeLines="30" w:after="72" w:afterLines="30"/>
              <w:jc w:val="both"/>
              <w:rPr>
                <w:color w:val="000000"/>
                <w:szCs w:val="24"/>
              </w:rPr>
            </w:pPr>
            <w:r>
              <w:rPr>
                <w:color w:val="000000"/>
                <w:szCs w:val="24"/>
              </w:rPr>
              <w:t>LT</w:t>
            </w:r>
          </w:p>
        </w:tc>
        <w:tc>
          <w:tcPr>
            <w:tcW w:w="1740" w:type="dxa"/>
            <w:tcBorders>
              <w:top w:val="nil"/>
              <w:left w:val="nil"/>
              <w:bottom w:val="single" w:color="auto" w:sz="4" w:space="0"/>
              <w:right w:val="single" w:color="auto" w:sz="4" w:space="0"/>
            </w:tcBorders>
            <w:noWrap/>
            <w:vAlign w:val="bottom"/>
          </w:tcPr>
          <w:p w14:paraId="5486D671">
            <w:pPr>
              <w:spacing w:before="72" w:beforeLines="30" w:after="72" w:afterLines="30"/>
              <w:jc w:val="both"/>
              <w:rPr>
                <w:color w:val="000000"/>
                <w:szCs w:val="24"/>
              </w:rPr>
            </w:pPr>
            <w:r>
              <w:rPr>
                <w:color w:val="000000"/>
                <w:szCs w:val="24"/>
              </w:rPr>
              <w:t>22800</w:t>
            </w:r>
          </w:p>
        </w:tc>
      </w:tr>
      <w:bookmarkEnd w:id="14"/>
    </w:tbl>
    <w:p w14:paraId="76C01126">
      <w:pPr>
        <w:spacing w:before="72" w:beforeLines="30" w:after="72" w:afterLines="30"/>
        <w:jc w:val="both"/>
        <w:rPr>
          <w:bCs/>
          <w:color w:val="000000"/>
          <w:szCs w:val="24"/>
          <w:lang w:eastAsia="pt-BR"/>
        </w:rPr>
      </w:pPr>
    </w:p>
    <w:p w14:paraId="415EDC76">
      <w:pPr>
        <w:spacing w:before="72" w:beforeLines="30" w:after="72" w:afterLines="30"/>
        <w:jc w:val="both"/>
        <w:rPr>
          <w:b/>
          <w:color w:val="000000"/>
          <w:szCs w:val="24"/>
          <w:lang w:eastAsia="pt-BR"/>
        </w:rPr>
      </w:pPr>
      <w:r>
        <w:rPr>
          <w:b/>
          <w:color w:val="000000"/>
          <w:szCs w:val="24"/>
          <w:lang w:eastAsia="pt-BR"/>
        </w:rPr>
        <w:t>Quantitativo licitado em 2025</w:t>
      </w:r>
    </w:p>
    <w:tbl>
      <w:tblPr>
        <w:tblStyle w:val="12"/>
        <w:tblW w:w="8500" w:type="dxa"/>
        <w:tblInd w:w="0" w:type="dxa"/>
        <w:tblLayout w:type="autofit"/>
        <w:tblCellMar>
          <w:top w:w="0" w:type="dxa"/>
          <w:left w:w="70" w:type="dxa"/>
          <w:bottom w:w="0" w:type="dxa"/>
          <w:right w:w="70" w:type="dxa"/>
        </w:tblCellMar>
      </w:tblPr>
      <w:tblGrid>
        <w:gridCol w:w="806"/>
        <w:gridCol w:w="3867"/>
        <w:gridCol w:w="1276"/>
        <w:gridCol w:w="2551"/>
      </w:tblGrid>
      <w:tr w14:paraId="0C60B648">
        <w:trPr>
          <w:trHeight w:val="495" w:hRule="atLeast"/>
        </w:trPr>
        <w:tc>
          <w:tcPr>
            <w:tcW w:w="806" w:type="dxa"/>
            <w:tcBorders>
              <w:top w:val="single" w:color="auto" w:sz="4" w:space="0"/>
              <w:left w:val="single" w:color="auto" w:sz="4" w:space="0"/>
              <w:bottom w:val="single" w:color="auto" w:sz="4" w:space="0"/>
              <w:right w:val="single" w:color="auto" w:sz="4" w:space="0"/>
            </w:tcBorders>
            <w:vAlign w:val="center"/>
          </w:tcPr>
          <w:p w14:paraId="6F3C65DE">
            <w:pPr>
              <w:spacing w:before="72" w:beforeLines="30" w:after="72" w:afterLines="30"/>
              <w:jc w:val="both"/>
              <w:rPr>
                <w:b/>
                <w:bCs/>
                <w:szCs w:val="24"/>
                <w:lang w:eastAsia="pt-BR"/>
              </w:rPr>
            </w:pPr>
            <w:r>
              <w:rPr>
                <w:b/>
                <w:bCs/>
                <w:szCs w:val="24"/>
                <w:lang w:eastAsia="pt-BR"/>
              </w:rPr>
              <w:t>ITEM</w:t>
            </w:r>
          </w:p>
        </w:tc>
        <w:tc>
          <w:tcPr>
            <w:tcW w:w="3867" w:type="dxa"/>
            <w:tcBorders>
              <w:top w:val="single" w:color="auto" w:sz="4" w:space="0"/>
              <w:left w:val="nil"/>
              <w:bottom w:val="single" w:color="auto" w:sz="4" w:space="0"/>
              <w:right w:val="single" w:color="auto" w:sz="4" w:space="0"/>
            </w:tcBorders>
            <w:vAlign w:val="center"/>
          </w:tcPr>
          <w:p w14:paraId="7B1CEF07">
            <w:pPr>
              <w:spacing w:before="72" w:beforeLines="30" w:after="72" w:afterLines="30"/>
              <w:jc w:val="both"/>
              <w:rPr>
                <w:b/>
                <w:bCs/>
                <w:szCs w:val="24"/>
                <w:lang w:eastAsia="pt-BR"/>
              </w:rPr>
            </w:pPr>
            <w:r>
              <w:rPr>
                <w:b/>
                <w:bCs/>
                <w:szCs w:val="24"/>
                <w:lang w:eastAsia="pt-BR"/>
              </w:rPr>
              <w:t>PRODUTO / SERVIÇO</w:t>
            </w:r>
          </w:p>
        </w:tc>
        <w:tc>
          <w:tcPr>
            <w:tcW w:w="1276" w:type="dxa"/>
            <w:tcBorders>
              <w:top w:val="single" w:color="auto" w:sz="4" w:space="0"/>
              <w:left w:val="nil"/>
              <w:bottom w:val="single" w:color="auto" w:sz="4" w:space="0"/>
              <w:right w:val="single" w:color="auto" w:sz="4" w:space="0"/>
            </w:tcBorders>
            <w:vAlign w:val="center"/>
          </w:tcPr>
          <w:p w14:paraId="200AE9A3">
            <w:pPr>
              <w:spacing w:before="72" w:beforeLines="30" w:after="72" w:afterLines="30"/>
              <w:jc w:val="both"/>
              <w:rPr>
                <w:b/>
                <w:bCs/>
                <w:szCs w:val="24"/>
                <w:lang w:eastAsia="pt-BR"/>
              </w:rPr>
            </w:pPr>
            <w:r>
              <w:rPr>
                <w:b/>
                <w:bCs/>
                <w:szCs w:val="24"/>
                <w:lang w:eastAsia="pt-BR"/>
              </w:rPr>
              <w:t>UNIDADE</w:t>
            </w:r>
          </w:p>
        </w:tc>
        <w:tc>
          <w:tcPr>
            <w:tcW w:w="2551" w:type="dxa"/>
            <w:tcBorders>
              <w:top w:val="single" w:color="auto" w:sz="4" w:space="0"/>
              <w:left w:val="nil"/>
              <w:bottom w:val="single" w:color="auto" w:sz="4" w:space="0"/>
              <w:right w:val="single" w:color="auto" w:sz="4" w:space="0"/>
            </w:tcBorders>
            <w:vAlign w:val="center"/>
          </w:tcPr>
          <w:p w14:paraId="5DB1E310">
            <w:pPr>
              <w:spacing w:before="72" w:beforeLines="30" w:after="72" w:afterLines="30"/>
              <w:jc w:val="both"/>
              <w:rPr>
                <w:b/>
                <w:bCs/>
                <w:szCs w:val="24"/>
                <w:lang w:eastAsia="pt-BR"/>
              </w:rPr>
            </w:pPr>
            <w:r>
              <w:rPr>
                <w:b/>
                <w:bCs/>
                <w:szCs w:val="24"/>
                <w:lang w:eastAsia="pt-BR"/>
              </w:rPr>
              <w:t>QUANTIDADE</w:t>
            </w:r>
          </w:p>
        </w:tc>
      </w:tr>
      <w:tr w14:paraId="7B8A6339">
        <w:tblPrEx>
          <w:tblCellMar>
            <w:top w:w="0" w:type="dxa"/>
            <w:left w:w="70" w:type="dxa"/>
            <w:bottom w:w="0" w:type="dxa"/>
            <w:right w:w="70" w:type="dxa"/>
          </w:tblCellMar>
        </w:tblPrEx>
        <w:trPr>
          <w:trHeight w:val="300" w:hRule="atLeast"/>
        </w:trPr>
        <w:tc>
          <w:tcPr>
            <w:tcW w:w="806" w:type="dxa"/>
            <w:tcBorders>
              <w:top w:val="nil"/>
              <w:left w:val="single" w:color="auto" w:sz="4" w:space="0"/>
              <w:bottom w:val="single" w:color="auto" w:sz="4" w:space="0"/>
              <w:right w:val="single" w:color="auto" w:sz="4" w:space="0"/>
            </w:tcBorders>
            <w:vAlign w:val="center"/>
          </w:tcPr>
          <w:p w14:paraId="753D96FC">
            <w:pPr>
              <w:spacing w:before="72" w:beforeLines="30" w:after="72" w:afterLines="30"/>
              <w:jc w:val="both"/>
              <w:rPr>
                <w:szCs w:val="24"/>
                <w:lang w:eastAsia="pt-BR"/>
              </w:rPr>
            </w:pPr>
            <w:r>
              <w:rPr>
                <w:szCs w:val="24"/>
                <w:lang w:eastAsia="pt-BR"/>
              </w:rPr>
              <w:t>1</w:t>
            </w:r>
          </w:p>
        </w:tc>
        <w:tc>
          <w:tcPr>
            <w:tcW w:w="3867" w:type="dxa"/>
            <w:tcBorders>
              <w:top w:val="nil"/>
              <w:left w:val="nil"/>
              <w:bottom w:val="single" w:color="auto" w:sz="4" w:space="0"/>
              <w:right w:val="single" w:color="auto" w:sz="4" w:space="0"/>
            </w:tcBorders>
            <w:vAlign w:val="center"/>
          </w:tcPr>
          <w:p w14:paraId="56D62F8A">
            <w:pPr>
              <w:spacing w:before="72" w:beforeLines="30" w:after="72" w:afterLines="30"/>
              <w:jc w:val="both"/>
              <w:rPr>
                <w:szCs w:val="24"/>
                <w:lang w:eastAsia="pt-BR"/>
              </w:rPr>
            </w:pPr>
            <w:r>
              <w:rPr>
                <w:szCs w:val="24"/>
                <w:lang w:eastAsia="pt-BR"/>
              </w:rPr>
              <w:t>DIESEL COMUM</w:t>
            </w:r>
          </w:p>
        </w:tc>
        <w:tc>
          <w:tcPr>
            <w:tcW w:w="1276" w:type="dxa"/>
            <w:tcBorders>
              <w:top w:val="nil"/>
              <w:left w:val="nil"/>
              <w:bottom w:val="single" w:color="auto" w:sz="4" w:space="0"/>
              <w:right w:val="single" w:color="auto" w:sz="4" w:space="0"/>
            </w:tcBorders>
            <w:vAlign w:val="center"/>
          </w:tcPr>
          <w:p w14:paraId="71EAB3D8">
            <w:pPr>
              <w:spacing w:before="72" w:beforeLines="30" w:after="72" w:afterLines="30"/>
              <w:jc w:val="both"/>
              <w:rPr>
                <w:szCs w:val="24"/>
                <w:lang w:eastAsia="pt-BR"/>
              </w:rPr>
            </w:pPr>
            <w:r>
              <w:rPr>
                <w:szCs w:val="24"/>
                <w:lang w:eastAsia="pt-BR"/>
              </w:rPr>
              <w:t>LITRO</w:t>
            </w:r>
          </w:p>
        </w:tc>
        <w:tc>
          <w:tcPr>
            <w:tcW w:w="2551" w:type="dxa"/>
            <w:tcBorders>
              <w:top w:val="nil"/>
              <w:left w:val="nil"/>
              <w:bottom w:val="single" w:color="auto" w:sz="4" w:space="0"/>
              <w:right w:val="single" w:color="auto" w:sz="4" w:space="0"/>
            </w:tcBorders>
            <w:vAlign w:val="center"/>
          </w:tcPr>
          <w:p w14:paraId="54026931">
            <w:pPr>
              <w:spacing w:before="72" w:beforeLines="30" w:after="72" w:afterLines="30"/>
              <w:jc w:val="both"/>
              <w:rPr>
                <w:szCs w:val="24"/>
                <w:lang w:eastAsia="pt-BR"/>
              </w:rPr>
            </w:pPr>
            <w:r>
              <w:rPr>
                <w:szCs w:val="24"/>
                <w:lang w:eastAsia="pt-BR"/>
              </w:rPr>
              <w:t>3000</w:t>
            </w:r>
          </w:p>
        </w:tc>
      </w:tr>
      <w:tr w14:paraId="653B2385">
        <w:tblPrEx>
          <w:tblCellMar>
            <w:top w:w="0" w:type="dxa"/>
            <w:left w:w="70" w:type="dxa"/>
            <w:bottom w:w="0" w:type="dxa"/>
            <w:right w:w="70" w:type="dxa"/>
          </w:tblCellMar>
        </w:tblPrEx>
        <w:trPr>
          <w:trHeight w:val="300" w:hRule="atLeast"/>
        </w:trPr>
        <w:tc>
          <w:tcPr>
            <w:tcW w:w="806" w:type="dxa"/>
            <w:tcBorders>
              <w:top w:val="nil"/>
              <w:left w:val="single" w:color="auto" w:sz="4" w:space="0"/>
              <w:bottom w:val="single" w:color="auto" w:sz="4" w:space="0"/>
              <w:right w:val="single" w:color="auto" w:sz="4" w:space="0"/>
            </w:tcBorders>
            <w:vAlign w:val="center"/>
          </w:tcPr>
          <w:p w14:paraId="070D8D87">
            <w:pPr>
              <w:spacing w:before="72" w:beforeLines="30" w:after="72" w:afterLines="30"/>
              <w:jc w:val="both"/>
              <w:rPr>
                <w:szCs w:val="24"/>
                <w:lang w:eastAsia="pt-BR"/>
              </w:rPr>
            </w:pPr>
            <w:r>
              <w:rPr>
                <w:szCs w:val="24"/>
                <w:lang w:eastAsia="pt-BR"/>
              </w:rPr>
              <w:t>2</w:t>
            </w:r>
          </w:p>
        </w:tc>
        <w:tc>
          <w:tcPr>
            <w:tcW w:w="3867" w:type="dxa"/>
            <w:tcBorders>
              <w:top w:val="nil"/>
              <w:left w:val="nil"/>
              <w:bottom w:val="single" w:color="auto" w:sz="4" w:space="0"/>
              <w:right w:val="single" w:color="auto" w:sz="4" w:space="0"/>
            </w:tcBorders>
            <w:vAlign w:val="center"/>
          </w:tcPr>
          <w:p w14:paraId="2DFB256C">
            <w:pPr>
              <w:spacing w:before="72" w:beforeLines="30" w:after="72" w:afterLines="30"/>
              <w:jc w:val="both"/>
              <w:rPr>
                <w:szCs w:val="24"/>
                <w:lang w:eastAsia="pt-BR"/>
              </w:rPr>
            </w:pPr>
            <w:r>
              <w:rPr>
                <w:szCs w:val="24"/>
                <w:lang w:eastAsia="pt-BR"/>
              </w:rPr>
              <w:t>ARLA 32 (Agemte Redutor Líquido de Emissão Automotivas).</w:t>
            </w:r>
          </w:p>
        </w:tc>
        <w:tc>
          <w:tcPr>
            <w:tcW w:w="1276" w:type="dxa"/>
            <w:tcBorders>
              <w:top w:val="nil"/>
              <w:left w:val="nil"/>
              <w:bottom w:val="single" w:color="auto" w:sz="4" w:space="0"/>
              <w:right w:val="single" w:color="auto" w:sz="4" w:space="0"/>
            </w:tcBorders>
            <w:vAlign w:val="center"/>
          </w:tcPr>
          <w:p w14:paraId="16D76E9D">
            <w:pPr>
              <w:spacing w:before="72" w:beforeLines="30" w:after="72" w:afterLines="30"/>
              <w:jc w:val="both"/>
              <w:rPr>
                <w:szCs w:val="24"/>
                <w:lang w:eastAsia="pt-BR"/>
              </w:rPr>
            </w:pPr>
            <w:r>
              <w:rPr>
                <w:szCs w:val="24"/>
                <w:lang w:eastAsia="pt-BR"/>
              </w:rPr>
              <w:t>LITRO</w:t>
            </w:r>
          </w:p>
        </w:tc>
        <w:tc>
          <w:tcPr>
            <w:tcW w:w="2551" w:type="dxa"/>
            <w:tcBorders>
              <w:top w:val="nil"/>
              <w:left w:val="nil"/>
              <w:bottom w:val="single" w:color="auto" w:sz="4" w:space="0"/>
              <w:right w:val="single" w:color="auto" w:sz="4" w:space="0"/>
            </w:tcBorders>
            <w:vAlign w:val="center"/>
          </w:tcPr>
          <w:p w14:paraId="61BB305C">
            <w:pPr>
              <w:spacing w:before="72" w:beforeLines="30" w:after="72" w:afterLines="30"/>
              <w:jc w:val="both"/>
              <w:rPr>
                <w:szCs w:val="24"/>
                <w:lang w:eastAsia="pt-BR"/>
              </w:rPr>
            </w:pPr>
            <w:r>
              <w:rPr>
                <w:szCs w:val="24"/>
                <w:lang w:eastAsia="pt-BR"/>
              </w:rPr>
              <w:t>2000</w:t>
            </w:r>
          </w:p>
        </w:tc>
      </w:tr>
    </w:tbl>
    <w:p w14:paraId="28CE86F3">
      <w:pPr>
        <w:spacing w:before="72" w:beforeLines="30" w:after="72" w:afterLines="30"/>
        <w:jc w:val="both"/>
        <w:rPr>
          <w:bCs/>
          <w:color w:val="000000"/>
          <w:szCs w:val="24"/>
          <w:lang w:eastAsia="pt-BR"/>
        </w:rPr>
      </w:pPr>
    </w:p>
    <w:p w14:paraId="161BE5C2">
      <w:pPr>
        <w:spacing w:before="72" w:beforeLines="30" w:after="72" w:afterLines="30"/>
        <w:jc w:val="both"/>
        <w:rPr>
          <w:bCs/>
          <w:color w:val="000000"/>
          <w:szCs w:val="24"/>
          <w:lang w:eastAsia="pt-BR"/>
        </w:rPr>
      </w:pPr>
    </w:p>
    <w:p w14:paraId="4749EFE9">
      <w:pPr>
        <w:spacing w:before="72" w:beforeLines="30" w:after="72" w:afterLines="30"/>
        <w:jc w:val="both"/>
        <w:rPr>
          <w:bCs/>
          <w:color w:val="000000"/>
          <w:szCs w:val="24"/>
          <w:lang w:eastAsia="pt-BR"/>
        </w:rPr>
      </w:pPr>
    </w:p>
    <w:p w14:paraId="7A858C77">
      <w:pPr>
        <w:spacing w:before="72" w:beforeLines="30" w:after="72" w:afterLines="30"/>
        <w:jc w:val="both"/>
        <w:rPr>
          <w:bCs/>
          <w:color w:val="000000"/>
          <w:szCs w:val="24"/>
          <w:lang w:eastAsia="pt-BR"/>
        </w:rPr>
      </w:pPr>
    </w:p>
    <w:p w14:paraId="706AB4BA">
      <w:pPr>
        <w:spacing w:before="72" w:beforeLines="30" w:after="72" w:afterLines="30"/>
        <w:jc w:val="both"/>
        <w:rPr>
          <w:bCs/>
          <w:color w:val="000000"/>
          <w:szCs w:val="24"/>
          <w:lang w:eastAsia="pt-BR"/>
        </w:rPr>
      </w:pPr>
    </w:p>
    <w:p w14:paraId="48A43B61">
      <w:pPr>
        <w:spacing w:before="72" w:beforeLines="30" w:after="72" w:afterLines="30"/>
        <w:jc w:val="both"/>
        <w:rPr>
          <w:bCs/>
          <w:color w:val="000000"/>
          <w:szCs w:val="24"/>
          <w:lang w:eastAsia="pt-BR"/>
        </w:rPr>
      </w:pPr>
    </w:p>
    <w:p w14:paraId="5F86E329">
      <w:pPr>
        <w:spacing w:before="72" w:beforeLines="30" w:after="72" w:afterLines="30"/>
        <w:jc w:val="both"/>
        <w:rPr>
          <w:bCs/>
          <w:color w:val="000000"/>
          <w:szCs w:val="24"/>
          <w:lang w:eastAsia="pt-BR"/>
        </w:rPr>
      </w:pPr>
    </w:p>
    <w:bookmarkEnd w:id="9"/>
    <w:p w14:paraId="4C7F5E04">
      <w:pPr>
        <w:spacing w:before="72" w:beforeLines="30" w:after="72" w:afterLines="30"/>
        <w:jc w:val="both"/>
        <w:rPr>
          <w:b/>
          <w:bCs/>
          <w:szCs w:val="24"/>
        </w:rPr>
      </w:pPr>
      <w:bookmarkStart w:id="30" w:name="_GoBack"/>
      <w:bookmarkEnd w:id="30"/>
    </w:p>
    <w:p w14:paraId="21FBFD7E">
      <w:pPr>
        <w:spacing w:before="72" w:beforeLines="30" w:after="72" w:afterLines="30"/>
        <w:jc w:val="both"/>
        <w:rPr>
          <w:b/>
          <w:bCs/>
          <w:szCs w:val="24"/>
        </w:rPr>
      </w:pPr>
    </w:p>
    <w:p w14:paraId="2A6D8D29">
      <w:pPr>
        <w:spacing w:before="72" w:beforeLines="30" w:after="72" w:afterLines="30"/>
        <w:jc w:val="center"/>
        <w:rPr>
          <w:b/>
          <w:bCs/>
          <w:szCs w:val="24"/>
        </w:rPr>
      </w:pPr>
      <w:r>
        <w:rPr>
          <w:b/>
          <w:bCs/>
          <w:szCs w:val="24"/>
        </w:rPr>
        <w:t>Anexo II ao ETP - RELAÇÃO DA FROTA</w:t>
      </w:r>
    </w:p>
    <w:p w14:paraId="43539373">
      <w:pPr>
        <w:suppressAutoHyphens w:val="0"/>
        <w:spacing w:before="72" w:beforeLines="30" w:after="72" w:afterLines="30"/>
        <w:jc w:val="both"/>
        <w:rPr>
          <w:rFonts w:eastAsia="Calibri"/>
          <w:b/>
          <w:bCs/>
          <w:color w:val="000000"/>
          <w:szCs w:val="24"/>
          <w:lang w:eastAsia="pt-BR"/>
        </w:rPr>
      </w:pPr>
    </w:p>
    <w:p w14:paraId="00DB41EE">
      <w:pPr>
        <w:suppressAutoHyphens w:val="0"/>
        <w:autoSpaceDE w:val="0"/>
        <w:autoSpaceDN w:val="0"/>
        <w:adjustRightInd w:val="0"/>
        <w:spacing w:before="72" w:beforeLines="30" w:after="72" w:afterLines="30"/>
        <w:jc w:val="both"/>
        <w:rPr>
          <w:rFonts w:eastAsia="Calibri"/>
          <w:b/>
          <w:bCs/>
          <w:color w:val="000000"/>
          <w:szCs w:val="24"/>
          <w:lang w:eastAsia="pt-BR"/>
        </w:rPr>
      </w:pPr>
    </w:p>
    <w:p w14:paraId="1770D13B">
      <w:pPr>
        <w:spacing w:before="72" w:beforeLines="30" w:after="72" w:afterLines="30"/>
        <w:jc w:val="both"/>
        <w:rPr>
          <w:b/>
          <w:bCs/>
          <w:szCs w:val="24"/>
        </w:rPr>
      </w:pPr>
    </w:p>
    <w:p w14:paraId="21309059">
      <w:pPr>
        <w:spacing w:before="72" w:beforeLines="30" w:after="72" w:afterLines="30"/>
        <w:jc w:val="both"/>
        <w:rPr>
          <w:b/>
          <w:bCs/>
          <w:szCs w:val="24"/>
        </w:rPr>
      </w:pPr>
    </w:p>
    <w:p w14:paraId="2B62409F">
      <w:pPr>
        <w:spacing w:before="72" w:beforeLines="30" w:after="72" w:afterLines="30"/>
        <w:jc w:val="both"/>
        <w:rPr>
          <w:b/>
          <w:bCs/>
          <w:szCs w:val="24"/>
        </w:rPr>
      </w:pPr>
    </w:p>
    <w:p w14:paraId="407AF649">
      <w:pPr>
        <w:spacing w:before="72" w:beforeLines="30" w:after="72" w:afterLines="30"/>
        <w:jc w:val="both"/>
        <w:rPr>
          <w:b/>
          <w:bCs/>
          <w:szCs w:val="24"/>
        </w:rPr>
      </w:pPr>
    </w:p>
    <w:p w14:paraId="6ADEBA5F">
      <w:pPr>
        <w:spacing w:before="72" w:beforeLines="30" w:after="72" w:afterLines="30"/>
        <w:jc w:val="both"/>
        <w:rPr>
          <w:b/>
          <w:bCs/>
          <w:szCs w:val="24"/>
        </w:rPr>
      </w:pPr>
    </w:p>
    <w:p w14:paraId="194480FA">
      <w:pPr>
        <w:spacing w:before="72" w:beforeLines="30" w:after="72" w:afterLines="30"/>
        <w:jc w:val="both"/>
        <w:rPr>
          <w:b/>
          <w:bCs/>
          <w:szCs w:val="24"/>
        </w:rPr>
      </w:pPr>
    </w:p>
    <w:p w14:paraId="59CA20C7">
      <w:pPr>
        <w:spacing w:before="72" w:beforeLines="30" w:after="72" w:afterLines="30"/>
        <w:jc w:val="both"/>
        <w:rPr>
          <w:b/>
          <w:bCs/>
          <w:szCs w:val="24"/>
        </w:rPr>
      </w:pPr>
    </w:p>
    <w:p w14:paraId="6A22725D">
      <w:pPr>
        <w:spacing w:before="72" w:beforeLines="30" w:after="72" w:afterLines="30"/>
        <w:jc w:val="both"/>
        <w:rPr>
          <w:b/>
          <w:bCs/>
          <w:szCs w:val="24"/>
        </w:rPr>
      </w:pPr>
    </w:p>
    <w:p w14:paraId="42B6E716">
      <w:pPr>
        <w:spacing w:before="72" w:beforeLines="30" w:after="72" w:afterLines="30"/>
        <w:jc w:val="both"/>
        <w:rPr>
          <w:b/>
          <w:bCs/>
          <w:szCs w:val="24"/>
        </w:rPr>
      </w:pPr>
    </w:p>
    <w:p w14:paraId="16D72243">
      <w:pPr>
        <w:spacing w:before="72" w:beforeLines="30" w:after="72" w:afterLines="30"/>
        <w:jc w:val="both"/>
        <w:rPr>
          <w:b/>
          <w:bCs/>
          <w:szCs w:val="24"/>
        </w:rPr>
      </w:pPr>
    </w:p>
    <w:p w14:paraId="7701563F">
      <w:pPr>
        <w:spacing w:before="72" w:beforeLines="30" w:after="72" w:afterLines="30"/>
        <w:jc w:val="both"/>
        <w:rPr>
          <w:b/>
          <w:bCs/>
          <w:szCs w:val="24"/>
        </w:rPr>
      </w:pPr>
    </w:p>
    <w:p w14:paraId="5A7FBA05">
      <w:pPr>
        <w:spacing w:before="72" w:beforeLines="30" w:after="72" w:afterLines="30"/>
        <w:jc w:val="both"/>
        <w:rPr>
          <w:b/>
          <w:bCs/>
          <w:szCs w:val="24"/>
        </w:rPr>
      </w:pPr>
    </w:p>
    <w:p w14:paraId="15677232">
      <w:pPr>
        <w:spacing w:before="72" w:beforeLines="30" w:after="72" w:afterLines="30"/>
        <w:jc w:val="both"/>
        <w:rPr>
          <w:b/>
          <w:bCs/>
          <w:szCs w:val="24"/>
        </w:rPr>
      </w:pPr>
    </w:p>
    <w:p w14:paraId="2E9C17CD">
      <w:pPr>
        <w:spacing w:before="72" w:beforeLines="30" w:after="72" w:afterLines="30"/>
        <w:jc w:val="both"/>
        <w:rPr>
          <w:b/>
          <w:bCs/>
          <w:szCs w:val="24"/>
        </w:rPr>
      </w:pPr>
    </w:p>
    <w:p w14:paraId="6C6D5269">
      <w:pPr>
        <w:spacing w:before="72" w:beforeLines="30" w:after="72" w:afterLines="30"/>
        <w:jc w:val="both"/>
        <w:rPr>
          <w:b/>
          <w:bCs/>
          <w:szCs w:val="24"/>
        </w:rPr>
      </w:pPr>
    </w:p>
    <w:p w14:paraId="3A95FB53">
      <w:pPr>
        <w:spacing w:before="72" w:beforeLines="30" w:after="72" w:afterLines="30"/>
        <w:jc w:val="both"/>
        <w:rPr>
          <w:b/>
          <w:bCs/>
          <w:szCs w:val="24"/>
        </w:rPr>
      </w:pPr>
    </w:p>
    <w:p w14:paraId="33E792D5">
      <w:pPr>
        <w:spacing w:before="72" w:beforeLines="30" w:after="72" w:afterLines="30"/>
        <w:jc w:val="both"/>
        <w:rPr>
          <w:b/>
          <w:bCs/>
          <w:szCs w:val="24"/>
        </w:rPr>
      </w:pPr>
    </w:p>
    <w:p w14:paraId="45A843B7">
      <w:pPr>
        <w:spacing w:before="72" w:beforeLines="30" w:after="72" w:afterLines="30"/>
        <w:jc w:val="both"/>
        <w:rPr>
          <w:b/>
          <w:bCs/>
          <w:szCs w:val="24"/>
        </w:rPr>
      </w:pPr>
    </w:p>
    <w:p w14:paraId="584DE002">
      <w:pPr>
        <w:spacing w:before="72" w:beforeLines="30" w:after="72" w:afterLines="30"/>
        <w:jc w:val="both"/>
        <w:rPr>
          <w:b/>
          <w:bCs/>
          <w:szCs w:val="24"/>
        </w:rPr>
      </w:pPr>
    </w:p>
    <w:p w14:paraId="5551A303">
      <w:pPr>
        <w:spacing w:before="72" w:beforeLines="30" w:after="72" w:afterLines="30"/>
        <w:jc w:val="both"/>
        <w:rPr>
          <w:b/>
          <w:bCs/>
          <w:szCs w:val="24"/>
        </w:rPr>
      </w:pPr>
    </w:p>
    <w:p w14:paraId="48CE26D9">
      <w:pPr>
        <w:spacing w:before="72" w:beforeLines="30" w:after="72" w:afterLines="30"/>
        <w:jc w:val="both"/>
        <w:rPr>
          <w:b/>
          <w:bCs/>
          <w:szCs w:val="24"/>
        </w:rPr>
      </w:pPr>
    </w:p>
    <w:p w14:paraId="6B408282">
      <w:pPr>
        <w:spacing w:before="72" w:beforeLines="30" w:after="72" w:afterLines="30"/>
        <w:jc w:val="both"/>
        <w:rPr>
          <w:b/>
          <w:bCs/>
          <w:szCs w:val="24"/>
        </w:rPr>
      </w:pPr>
    </w:p>
    <w:p w14:paraId="1B4AB49B">
      <w:pPr>
        <w:spacing w:before="72" w:beforeLines="30" w:after="72" w:afterLines="30"/>
        <w:jc w:val="both"/>
        <w:rPr>
          <w:b/>
          <w:bCs/>
          <w:szCs w:val="24"/>
        </w:rPr>
      </w:pPr>
    </w:p>
    <w:p w14:paraId="2E027168">
      <w:pPr>
        <w:spacing w:before="72" w:beforeLines="30" w:after="72" w:afterLines="30"/>
        <w:jc w:val="both"/>
        <w:rPr>
          <w:b/>
          <w:bCs/>
          <w:szCs w:val="24"/>
        </w:rPr>
      </w:pPr>
    </w:p>
    <w:p w14:paraId="680B9FC9">
      <w:pPr>
        <w:spacing w:before="72" w:beforeLines="30" w:after="72" w:afterLines="30"/>
        <w:jc w:val="both"/>
        <w:rPr>
          <w:b/>
          <w:bCs/>
          <w:szCs w:val="24"/>
        </w:rPr>
      </w:pPr>
    </w:p>
    <w:p w14:paraId="465B1C33">
      <w:pPr>
        <w:spacing w:before="72" w:beforeLines="30" w:after="72" w:afterLines="30"/>
        <w:jc w:val="both"/>
        <w:rPr>
          <w:b/>
          <w:bCs/>
          <w:szCs w:val="24"/>
        </w:rPr>
      </w:pPr>
    </w:p>
    <w:p w14:paraId="65E08EE4">
      <w:pPr>
        <w:spacing w:before="72" w:beforeLines="30" w:after="72" w:afterLines="30"/>
        <w:jc w:val="both"/>
        <w:rPr>
          <w:b/>
          <w:bCs/>
          <w:szCs w:val="24"/>
        </w:rPr>
      </w:pPr>
    </w:p>
    <w:p w14:paraId="72D69E1D">
      <w:pPr>
        <w:spacing w:before="72" w:beforeLines="30" w:after="72" w:afterLines="30"/>
        <w:jc w:val="both"/>
        <w:rPr>
          <w:b/>
          <w:bCs/>
          <w:szCs w:val="24"/>
        </w:rPr>
      </w:pPr>
    </w:p>
    <w:p w14:paraId="2E7CB4D9">
      <w:pPr>
        <w:spacing w:before="72" w:beforeLines="30" w:after="72" w:afterLines="30"/>
        <w:jc w:val="both"/>
        <w:rPr>
          <w:b/>
          <w:bCs/>
          <w:szCs w:val="24"/>
        </w:rPr>
      </w:pPr>
    </w:p>
    <w:p w14:paraId="7F09F987">
      <w:pPr>
        <w:spacing w:before="72" w:beforeLines="30" w:after="72" w:afterLines="30"/>
        <w:jc w:val="both"/>
        <w:rPr>
          <w:b/>
          <w:bCs/>
          <w:szCs w:val="24"/>
        </w:rPr>
      </w:pPr>
    </w:p>
    <w:p w14:paraId="3CB69DD0">
      <w:pPr>
        <w:spacing w:before="72" w:beforeLines="30" w:after="72" w:afterLines="30"/>
        <w:jc w:val="both"/>
        <w:rPr>
          <w:b/>
          <w:bCs/>
          <w:szCs w:val="24"/>
        </w:rPr>
      </w:pPr>
    </w:p>
    <w:p w14:paraId="44D11273">
      <w:pPr>
        <w:spacing w:before="72" w:beforeLines="30" w:after="72" w:afterLines="30"/>
        <w:jc w:val="both"/>
        <w:rPr>
          <w:b/>
          <w:bCs/>
          <w:szCs w:val="24"/>
        </w:rPr>
      </w:pPr>
    </w:p>
    <w:p w14:paraId="23BD901C">
      <w:pPr>
        <w:spacing w:before="72" w:beforeLines="30" w:after="72" w:afterLines="30"/>
        <w:jc w:val="both"/>
        <w:rPr>
          <w:b/>
          <w:bCs/>
          <w:szCs w:val="24"/>
        </w:rPr>
      </w:pPr>
    </w:p>
    <w:p w14:paraId="3A4E3CD7">
      <w:pPr>
        <w:spacing w:before="72" w:beforeLines="30" w:after="72" w:afterLines="30"/>
        <w:jc w:val="both"/>
        <w:rPr>
          <w:b/>
          <w:bCs/>
          <w:szCs w:val="24"/>
        </w:rPr>
      </w:pPr>
    </w:p>
    <w:p w14:paraId="6680E68F">
      <w:pPr>
        <w:spacing w:before="72" w:beforeLines="30" w:after="72" w:afterLines="30"/>
        <w:jc w:val="both"/>
        <w:rPr>
          <w:b/>
          <w:bCs/>
          <w:szCs w:val="24"/>
        </w:rPr>
      </w:pPr>
    </w:p>
    <w:p w14:paraId="5E155F67">
      <w:pPr>
        <w:spacing w:before="72" w:beforeLines="30" w:after="72" w:afterLines="30"/>
        <w:jc w:val="both"/>
        <w:rPr>
          <w:b/>
          <w:bCs/>
          <w:szCs w:val="24"/>
        </w:rPr>
      </w:pPr>
    </w:p>
    <w:p w14:paraId="32C87A0C">
      <w:pPr>
        <w:tabs>
          <w:tab w:val="left" w:pos="284"/>
          <w:tab w:val="left" w:pos="709"/>
        </w:tabs>
        <w:autoSpaceDE w:val="0"/>
        <w:snapToGrid w:val="0"/>
        <w:spacing w:before="72" w:beforeLines="30" w:after="72" w:afterLines="30"/>
        <w:jc w:val="center"/>
        <w:rPr>
          <w:b/>
          <w:szCs w:val="24"/>
        </w:rPr>
      </w:pPr>
      <w:r>
        <w:rPr>
          <w:b/>
          <w:szCs w:val="24"/>
        </w:rPr>
        <w:t>Anexo II</w:t>
      </w:r>
    </w:p>
    <w:p w14:paraId="4FFEF128">
      <w:pPr>
        <w:tabs>
          <w:tab w:val="left" w:pos="284"/>
          <w:tab w:val="left" w:pos="709"/>
        </w:tabs>
        <w:autoSpaceDE w:val="0"/>
        <w:snapToGrid w:val="0"/>
        <w:spacing w:before="72" w:beforeLines="30" w:after="72" w:afterLines="30"/>
        <w:jc w:val="center"/>
        <w:rPr>
          <w:b/>
          <w:szCs w:val="24"/>
        </w:rPr>
      </w:pPr>
      <w:r>
        <w:rPr>
          <w:b/>
          <w:szCs w:val="24"/>
        </w:rPr>
        <w:t>Minuta do Termo de Contrato</w:t>
      </w:r>
    </w:p>
    <w:p w14:paraId="61D08040">
      <w:pPr>
        <w:tabs>
          <w:tab w:val="left" w:pos="284"/>
          <w:tab w:val="left" w:pos="709"/>
        </w:tabs>
        <w:autoSpaceDE w:val="0"/>
        <w:snapToGrid w:val="0"/>
        <w:spacing w:before="72" w:beforeLines="30" w:after="72" w:afterLines="30"/>
        <w:jc w:val="center"/>
        <w:rPr>
          <w:b/>
          <w:szCs w:val="24"/>
        </w:rPr>
      </w:pPr>
      <w:r>
        <w:rPr>
          <w:b/>
          <w:szCs w:val="24"/>
        </w:rPr>
        <w:t>CONTRATO ADMINISTRATIVO N. XXXXXXXXXXX</w:t>
      </w:r>
    </w:p>
    <w:p w14:paraId="02765A5C">
      <w:pPr>
        <w:spacing w:before="72" w:beforeLines="30" w:after="72" w:afterLines="30"/>
        <w:jc w:val="both"/>
        <w:rPr>
          <w:b/>
          <w:bCs/>
          <w:szCs w:val="24"/>
        </w:rPr>
      </w:pPr>
    </w:p>
    <w:p w14:paraId="11753233">
      <w:pPr>
        <w:spacing w:before="72" w:beforeLines="30" w:after="72" w:afterLines="30"/>
        <w:ind w:left="5103"/>
        <w:jc w:val="both"/>
        <w:rPr>
          <w:b/>
          <w:szCs w:val="24"/>
        </w:rPr>
      </w:pPr>
      <w:r>
        <w:rPr>
          <w:b/>
          <w:szCs w:val="24"/>
        </w:rPr>
        <w:t xml:space="preserve">CONTRATO ADMINISTRATIVO QUE FAZEM ENTRE SI O xxxxxxxxxxxxxxxxxxxxxxxxxxxxxxxxxxxx, E A EMPRESA .........................................................  </w:t>
      </w:r>
    </w:p>
    <w:p w14:paraId="5813798A">
      <w:pPr>
        <w:spacing w:before="72" w:beforeLines="30" w:after="72" w:afterLines="30"/>
        <w:jc w:val="both"/>
        <w:rPr>
          <w:b/>
          <w:szCs w:val="24"/>
        </w:rPr>
      </w:pPr>
    </w:p>
    <w:p w14:paraId="7E2A77A6">
      <w:pPr>
        <w:spacing w:before="72" w:beforeLines="30" w:after="72" w:afterLines="30"/>
        <w:jc w:val="both"/>
        <w:rPr>
          <w:b/>
          <w:szCs w:val="24"/>
        </w:rPr>
      </w:pPr>
      <w:r>
        <w:rPr>
          <w:szCs w:val="24"/>
        </w:rPr>
        <w:t xml:space="preserve">O </w:t>
      </w:r>
      <w:r>
        <w:rPr>
          <w:b/>
          <w:szCs w:val="24"/>
        </w:rPr>
        <w:t>Municipio de Caracol Estado de Mato Grosso do Sul</w:t>
      </w:r>
      <w:r>
        <w:rPr>
          <w:b/>
          <w:bCs/>
          <w:szCs w:val="24"/>
        </w:rPr>
        <w:t xml:space="preserve">, </w:t>
      </w:r>
      <w:r>
        <w:rPr>
          <w:bCs/>
          <w:szCs w:val="24"/>
        </w:rPr>
        <w:t>pessoa jurídica de direito público,</w:t>
      </w:r>
      <w:r>
        <w:rPr>
          <w:szCs w:val="24"/>
        </w:rPr>
        <w:t xml:space="preserve"> inscrito no CNPJ/MF sob o nº </w:t>
      </w:r>
      <w:r>
        <w:rPr>
          <w:bCs/>
          <w:szCs w:val="24"/>
        </w:rPr>
        <w:t>03.217.924/00001-32</w:t>
      </w:r>
      <w:r>
        <w:rPr>
          <w:szCs w:val="24"/>
        </w:rPr>
        <w:t xml:space="preserve">, com sede administrativa localizada na Avenida Libindo Ferreira Leite, 251, Centro, CEP 79.2700-000, doravante denominado CONTRATANTE, neste ato representado pelo Prefeito Municipal, , Sr.. Xxxxxxxxxxxxxxxxx, matricula Funcional nº xxxxxx, e a empresa  XXXXXXXXXXXXXXXX, com sede na Rua xxxxxxxxxxxxx n. Xxxxxxxxxx, bairro xxxxxxxxxxxxxx cidade xxxxxxxxxxxxxxxxx, inscrita no CNPJ/MF sob o nº ............................, doravante designado CONTRATADO, neste ato representada por .................................. conforme </w:t>
      </w:r>
      <w:r>
        <w:rPr>
          <w:szCs w:val="24"/>
          <w:highlight w:val="yellow"/>
        </w:rPr>
        <w:t xml:space="preserve">atos constitutivos da empresa </w:t>
      </w:r>
      <w:r>
        <w:rPr>
          <w:b/>
          <w:szCs w:val="24"/>
          <w:highlight w:val="yellow"/>
        </w:rPr>
        <w:t>OU</w:t>
      </w:r>
      <w:r>
        <w:rPr>
          <w:szCs w:val="24"/>
          <w:highlight w:val="yellow"/>
        </w:rPr>
        <w:t xml:space="preserve"> procuração</w:t>
      </w:r>
      <w:r>
        <w:rPr>
          <w:szCs w:val="24"/>
        </w:rPr>
        <w:t xml:space="preserve">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pPr>
        <w:pStyle w:val="65"/>
        <w:numPr>
          <w:ilvl w:val="0"/>
          <w:numId w:val="0"/>
        </w:numPr>
        <w:tabs>
          <w:tab w:val="left" w:pos="284"/>
          <w:tab w:val="clear" w:pos="567"/>
        </w:tabs>
        <w:spacing w:before="72" w:beforeLines="30" w:after="72" w:afterLines="30"/>
        <w:jc w:val="both"/>
        <w:rPr>
          <w:rFonts w:ascii="Times New Roman" w:hAnsi="Times New Roman" w:eastAsia="Times New Roman" w:cs="Times New Roman"/>
          <w:b w:val="0"/>
          <w:bCs w:val="0"/>
          <w:color w:val="auto"/>
          <w:sz w:val="24"/>
          <w:szCs w:val="24"/>
        </w:rPr>
      </w:pPr>
    </w:p>
    <w:p w14:paraId="48B42337">
      <w:pPr>
        <w:pStyle w:val="65"/>
        <w:numPr>
          <w:ilvl w:val="0"/>
          <w:numId w:val="0"/>
        </w:numPr>
        <w:tabs>
          <w:tab w:val="left" w:pos="284"/>
          <w:tab w:val="clear" w:pos="567"/>
        </w:tabs>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41B7D5F0">
      <w:pPr>
        <w:spacing w:before="72" w:beforeLines="30" w:after="72" w:afterLines="30"/>
        <w:jc w:val="both"/>
        <w:rPr>
          <w:color w:val="000000"/>
          <w:szCs w:val="24"/>
          <w:lang w:eastAsia="pt-BR"/>
        </w:rPr>
      </w:pPr>
      <w:r>
        <w:rPr>
          <w:szCs w:val="24"/>
        </w:rPr>
        <w:t>1.1 O objeto do presente instrumento é a</w:t>
      </w:r>
      <w:bookmarkStart w:id="15" w:name="_Hlk190878281"/>
      <w:r>
        <w:rPr>
          <w:szCs w:val="24"/>
        </w:rPr>
        <w:t xml:space="preserve"> </w:t>
      </w:r>
      <w:bookmarkEnd w:id="15"/>
      <w:r>
        <w:rPr>
          <w:b/>
          <w:color w:val="000000" w:themeColor="text1"/>
          <w:szCs w:val="24"/>
          <w14:textFill>
            <w14:solidFill>
              <w14:schemeClr w14:val="tx1"/>
            </w14:solidFill>
          </w14:textFill>
        </w:rPr>
        <w:t xml:space="preserve">AQUISIÇÃO DE COMBUSTÍVEIS (TIPO GASOLINA COMUM, ÓLEO DIESEL S10, DIESEL COMUM E ARLA 32), NO MUNICÍPIO DE SIDROLANDIA-MS, PARA ATENDER OS VEÍCULOS DA FROTA OFICIAL DA PREFEITURA MUNICIPAL DE CARACOL MS, </w:t>
      </w:r>
      <w:r>
        <w:rPr>
          <w:szCs w:val="24"/>
        </w:rPr>
        <w:t>nas condições estabelecidas no Termo de Referência.</w:t>
      </w:r>
    </w:p>
    <w:p w14:paraId="449733AD">
      <w:pPr>
        <w:numPr>
          <w:ilvl w:val="1"/>
          <w:numId w:val="0"/>
        </w:numPr>
        <w:suppressAutoHyphens w:val="0"/>
        <w:spacing w:before="72" w:beforeLines="30" w:after="72" w:afterLines="30"/>
        <w:jc w:val="both"/>
        <w:rPr>
          <w:szCs w:val="24"/>
        </w:rPr>
      </w:pPr>
      <w:r>
        <w:rPr>
          <w:szCs w:val="24"/>
        </w:rPr>
        <w:t>1.2 São anexos a este instrumento e vinculam esta contratação, independentemente de transcrição:</w:t>
      </w:r>
    </w:p>
    <w:p w14:paraId="77A6455E">
      <w:pPr>
        <w:numPr>
          <w:ilvl w:val="2"/>
          <w:numId w:val="0"/>
        </w:numPr>
        <w:suppressAutoHyphens w:val="0"/>
        <w:spacing w:before="72" w:beforeLines="30" w:after="72" w:afterLines="30"/>
        <w:jc w:val="both"/>
        <w:rPr>
          <w:szCs w:val="24"/>
        </w:rPr>
      </w:pPr>
      <w:r>
        <w:rPr>
          <w:szCs w:val="24"/>
        </w:rPr>
        <w:t>a) O Termo de Referência e seus anexos que embasou a contratação;</w:t>
      </w:r>
    </w:p>
    <w:p w14:paraId="40C018F7">
      <w:pPr>
        <w:numPr>
          <w:ilvl w:val="2"/>
          <w:numId w:val="0"/>
        </w:numPr>
        <w:suppressAutoHyphens w:val="0"/>
        <w:spacing w:before="72" w:beforeLines="30" w:after="72" w:afterLines="30"/>
        <w:jc w:val="both"/>
        <w:rPr>
          <w:strike/>
          <w:szCs w:val="24"/>
        </w:rPr>
      </w:pPr>
      <w:r>
        <w:rPr>
          <w:szCs w:val="24"/>
        </w:rPr>
        <w:t>b) O Edital de Licitação;</w:t>
      </w:r>
    </w:p>
    <w:p w14:paraId="248A9246">
      <w:pPr>
        <w:numPr>
          <w:ilvl w:val="2"/>
          <w:numId w:val="0"/>
        </w:numPr>
        <w:suppressAutoHyphens w:val="0"/>
        <w:spacing w:before="72" w:beforeLines="30" w:after="72" w:afterLines="30"/>
        <w:jc w:val="both"/>
        <w:rPr>
          <w:szCs w:val="24"/>
        </w:rPr>
      </w:pPr>
      <w:r>
        <w:rPr>
          <w:szCs w:val="24"/>
        </w:rPr>
        <w:t>c) A Proposta do Contratado;</w:t>
      </w:r>
    </w:p>
    <w:p w14:paraId="731A5966">
      <w:pPr>
        <w:numPr>
          <w:ilvl w:val="2"/>
          <w:numId w:val="0"/>
        </w:numPr>
        <w:suppressAutoHyphens w:val="0"/>
        <w:spacing w:before="72" w:beforeLines="30" w:after="72" w:afterLines="30"/>
        <w:jc w:val="both"/>
        <w:rPr>
          <w:szCs w:val="24"/>
        </w:rPr>
      </w:pPr>
      <w:r>
        <w:rPr>
          <w:szCs w:val="24"/>
        </w:rPr>
        <w:t>d) Eventuais anexos dos documentos supracitados.</w:t>
      </w:r>
    </w:p>
    <w:p w14:paraId="54E49351">
      <w:pPr>
        <w:spacing w:before="72" w:beforeLines="30" w:after="72" w:afterLines="30"/>
        <w:jc w:val="both"/>
        <w:rPr>
          <w:szCs w:val="24"/>
        </w:rPr>
      </w:pPr>
    </w:p>
    <w:p w14:paraId="5FF46E9A">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3F440487">
      <w:pPr>
        <w:numPr>
          <w:ilvl w:val="1"/>
          <w:numId w:val="0"/>
        </w:numPr>
        <w:suppressAutoHyphens w:val="0"/>
        <w:spacing w:before="72" w:beforeLines="30" w:after="72" w:afterLines="30"/>
        <w:jc w:val="both"/>
        <w:rPr>
          <w:bCs/>
          <w:szCs w:val="24"/>
        </w:rPr>
      </w:pPr>
      <w:r>
        <w:rPr>
          <w:bCs/>
          <w:szCs w:val="24"/>
        </w:rPr>
        <w:t xml:space="preserve">2.1 O prazo de vigência do Contrato é de 12 meses, contados </w:t>
      </w:r>
      <w:r>
        <w:rPr>
          <w:color w:val="000000"/>
          <w:szCs w:val="24"/>
        </w:rPr>
        <w:t>do primeiro dia útil subsequente a publicação do extrato do contrato no diário oficial do município</w:t>
      </w:r>
      <w:r>
        <w:rPr>
          <w:bCs/>
          <w:szCs w:val="24"/>
        </w:rPr>
        <w:t xml:space="preserve"> na forma do artigo e 105 da Lei n° 14.133, de 2021.</w:t>
      </w:r>
    </w:p>
    <w:p w14:paraId="1BB9646B">
      <w:pPr>
        <w:numPr>
          <w:ilvl w:val="1"/>
          <w:numId w:val="0"/>
        </w:numPr>
        <w:suppressAutoHyphens w:val="0"/>
        <w:spacing w:before="72" w:beforeLines="30" w:after="72" w:afterLines="30"/>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pPr>
        <w:numPr>
          <w:ilvl w:val="1"/>
          <w:numId w:val="0"/>
        </w:numPr>
        <w:suppressAutoHyphens w:val="0"/>
        <w:spacing w:before="72" w:beforeLines="30" w:after="72" w:afterLines="30"/>
        <w:jc w:val="both"/>
        <w:rPr>
          <w:b/>
          <w:szCs w:val="24"/>
        </w:rPr>
      </w:pPr>
    </w:p>
    <w:p w14:paraId="3F778CE9">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TERCEIRA – MODELOS DE EXECUÇÃO E GESTÃO CONTRATUAIS (art. 92, IV, VII e XVIII)</w:t>
      </w:r>
    </w:p>
    <w:p w14:paraId="68659F22">
      <w:pPr>
        <w:numPr>
          <w:ilvl w:val="1"/>
          <w:numId w:val="0"/>
        </w:numPr>
        <w:suppressAutoHyphens w:val="0"/>
        <w:spacing w:before="72" w:beforeLines="30" w:after="72" w:afterLines="30"/>
        <w:jc w:val="both"/>
        <w:rPr>
          <w:szCs w:val="24"/>
        </w:rPr>
      </w:pPr>
      <w:r>
        <w:rPr>
          <w:szCs w:val="24"/>
        </w:rPr>
        <w:t xml:space="preserve">3.1 O regime de execução contratual, o modelo de gestão, assim como os prazos e condições de conclusão, entrega, observação e recebimento definitivo </w:t>
      </w:r>
      <w:r>
        <w:rPr>
          <w:b/>
          <w:szCs w:val="24"/>
        </w:rPr>
        <w:t>constam no Termo de Referência, anexo a este contrato</w:t>
      </w:r>
      <w:r>
        <w:rPr>
          <w:szCs w:val="24"/>
        </w:rPr>
        <w:t>.</w:t>
      </w:r>
    </w:p>
    <w:p w14:paraId="1D96C90D">
      <w:pPr>
        <w:numPr>
          <w:ilvl w:val="1"/>
          <w:numId w:val="0"/>
        </w:numPr>
        <w:suppressAutoHyphens w:val="0"/>
        <w:spacing w:before="72" w:beforeLines="30" w:after="72" w:afterLines="30"/>
        <w:jc w:val="both"/>
        <w:rPr>
          <w:szCs w:val="24"/>
        </w:rPr>
      </w:pPr>
    </w:p>
    <w:p w14:paraId="3CABA834">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20609A60">
      <w:pPr>
        <w:numPr>
          <w:ilvl w:val="1"/>
          <w:numId w:val="0"/>
        </w:numPr>
        <w:suppressAutoHyphens w:val="0"/>
        <w:spacing w:before="72" w:beforeLines="30" w:after="72" w:afterLines="30"/>
        <w:jc w:val="both"/>
        <w:rPr>
          <w:szCs w:val="24"/>
        </w:rPr>
      </w:pPr>
      <w:r>
        <w:rPr>
          <w:szCs w:val="24"/>
        </w:rPr>
        <w:t>4.1 Não será admitida a subcontratação do objeto contratual.</w:t>
      </w:r>
    </w:p>
    <w:p w14:paraId="350F134B">
      <w:pPr>
        <w:spacing w:before="72" w:beforeLines="30" w:after="72" w:afterLines="30"/>
        <w:jc w:val="both"/>
        <w:rPr>
          <w:szCs w:val="24"/>
        </w:rPr>
      </w:pPr>
    </w:p>
    <w:p w14:paraId="1E63E37D">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QUINTA – PREÇO E PAGAMENTO (art. 92, V e VI)</w:t>
      </w:r>
    </w:p>
    <w:p w14:paraId="791AF192">
      <w:pPr>
        <w:numPr>
          <w:ilvl w:val="1"/>
          <w:numId w:val="0"/>
        </w:numPr>
        <w:suppressAutoHyphens w:val="0"/>
        <w:spacing w:before="72" w:beforeLines="30" w:after="72" w:afterLines="30"/>
        <w:jc w:val="both"/>
        <w:rPr>
          <w:b/>
          <w:szCs w:val="24"/>
        </w:rPr>
      </w:pPr>
      <w:r>
        <w:rPr>
          <w:b/>
          <w:szCs w:val="24"/>
        </w:rPr>
        <w:t>5.1 Do preço</w:t>
      </w:r>
    </w:p>
    <w:p w14:paraId="19B272F7">
      <w:pPr>
        <w:numPr>
          <w:ilvl w:val="2"/>
          <w:numId w:val="0"/>
        </w:numPr>
        <w:suppressAutoHyphens w:val="0"/>
        <w:spacing w:before="72" w:beforeLines="30" w:after="72" w:afterLines="30"/>
        <w:jc w:val="both"/>
        <w:rPr>
          <w:bCs/>
          <w:szCs w:val="24"/>
        </w:rPr>
      </w:pPr>
      <w:r>
        <w:rPr>
          <w:bCs/>
          <w:szCs w:val="24"/>
        </w:rPr>
        <w:t>5.1.1 O valor total da contratação é de R$.......... (.....), conforme especificação abaixo:</w:t>
      </w:r>
    </w:p>
    <w:tbl>
      <w:tblPr>
        <w:tblStyle w:val="12"/>
        <w:tblW w:w="893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2693"/>
        <w:gridCol w:w="1418"/>
        <w:gridCol w:w="992"/>
        <w:gridCol w:w="1134"/>
        <w:gridCol w:w="1134"/>
        <w:gridCol w:w="851"/>
      </w:tblGrid>
      <w:tr w14:paraId="12236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9278DE1">
            <w:pPr>
              <w:widowControl w:val="0"/>
              <w:spacing w:before="72" w:beforeLines="30" w:after="72" w:afterLines="30"/>
              <w:jc w:val="both"/>
              <w:rPr>
                <w:rFonts w:eastAsia="Arial"/>
                <w:b/>
                <w:bCs/>
                <w:color w:val="000000"/>
                <w:szCs w:val="24"/>
              </w:rPr>
            </w:pPr>
            <w:r>
              <w:rPr>
                <w:rFonts w:eastAsia="Arial"/>
                <w:b/>
                <w:bCs/>
                <w:color w:val="000000" w:themeColor="text1"/>
                <w:szCs w:val="24"/>
                <w14:textFill>
                  <w14:solidFill>
                    <w14:schemeClr w14:val="tx1"/>
                  </w14:solidFill>
                </w14:textFill>
              </w:rPr>
              <w:t>item</w:t>
            </w:r>
          </w:p>
          <w:p w14:paraId="5D7AD2AB">
            <w:pPr>
              <w:widowControl w:val="0"/>
              <w:spacing w:before="72" w:beforeLines="30" w:after="72" w:afterLines="30"/>
              <w:jc w:val="both"/>
              <w:rPr>
                <w:rFonts w:eastAsia="Arial"/>
                <w:b/>
                <w:bCs/>
                <w:color w:val="000000" w:themeColor="text1"/>
                <w:szCs w:val="24"/>
                <w14:textFill>
                  <w14:solidFill>
                    <w14:schemeClr w14:val="tx1"/>
                  </w14:solidFill>
                </w14:textFill>
              </w:rPr>
            </w:pP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BF0D378">
            <w:pPr>
              <w:widowControl w:val="0"/>
              <w:spacing w:before="72" w:beforeLines="30" w:after="72" w:afterLines="30"/>
              <w:jc w:val="both"/>
              <w:rPr>
                <w:rFonts w:eastAsia="Arial"/>
                <w:b/>
                <w:bCs/>
                <w:color w:val="000000" w:themeColor="text1"/>
                <w:szCs w:val="24"/>
                <w14:textFill>
                  <w14:solidFill>
                    <w14:schemeClr w14:val="tx1"/>
                  </w14:solidFill>
                </w14:textFill>
              </w:rPr>
            </w:pPr>
            <w:r>
              <w:rPr>
                <w:rFonts w:eastAsia="Arial"/>
                <w:b/>
                <w:bCs/>
                <w:color w:val="000000" w:themeColor="text1"/>
                <w:szCs w:val="24"/>
                <w14:textFill>
                  <w14:solidFill>
                    <w14:schemeClr w14:val="tx1"/>
                  </w14:solidFill>
                </w14:textFill>
              </w:rPr>
              <w:t>especificação</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0ED8B44">
            <w:pPr>
              <w:widowControl w:val="0"/>
              <w:spacing w:before="72" w:beforeLines="30" w:after="72" w:afterLines="30"/>
              <w:jc w:val="both"/>
              <w:rPr>
                <w:rFonts w:eastAsia="Arial"/>
                <w:b/>
                <w:bCs/>
                <w:color w:val="000000" w:themeColor="text1"/>
                <w:szCs w:val="24"/>
                <w14:textFill>
                  <w14:solidFill>
                    <w14:schemeClr w14:val="tx1"/>
                  </w14:solidFill>
                </w14:textFill>
              </w:rPr>
            </w:pPr>
            <w:r>
              <w:rPr>
                <w:rFonts w:eastAsia="Arial"/>
                <w:b/>
                <w:bCs/>
                <w:color w:val="000000" w:themeColor="text1"/>
                <w:szCs w:val="24"/>
                <w14:textFill>
                  <w14:solidFill>
                    <w14:schemeClr w14:val="tx1"/>
                  </w14:solidFill>
                </w14:textFill>
              </w:rPr>
              <w:t>Uni. medida</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404A663">
            <w:pPr>
              <w:widowControl w:val="0"/>
              <w:spacing w:before="72" w:beforeLines="30" w:after="72" w:afterLines="30"/>
              <w:jc w:val="both"/>
              <w:rPr>
                <w:rFonts w:eastAsia="Arial"/>
                <w:b/>
                <w:bCs/>
                <w:szCs w:val="24"/>
              </w:rPr>
            </w:pPr>
            <w:r>
              <w:rPr>
                <w:rFonts w:eastAsia="Arial"/>
                <w:b/>
                <w:bCs/>
                <w:szCs w:val="24"/>
              </w:rPr>
              <w:t>Quant.</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1701961">
            <w:pPr>
              <w:widowControl w:val="0"/>
              <w:spacing w:before="72" w:beforeLines="30" w:after="72" w:afterLines="30"/>
              <w:jc w:val="both"/>
              <w:rPr>
                <w:rFonts w:eastAsia="Arial"/>
                <w:b/>
                <w:bCs/>
                <w:szCs w:val="24"/>
              </w:rPr>
            </w:pPr>
            <w:r>
              <w:rPr>
                <w:rFonts w:eastAsia="Arial"/>
                <w:b/>
                <w:bCs/>
                <w:szCs w:val="24"/>
              </w:rPr>
              <w:t>Marca</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48A69EA">
            <w:pPr>
              <w:widowControl w:val="0"/>
              <w:spacing w:before="72" w:beforeLines="30" w:after="72" w:afterLines="30"/>
              <w:jc w:val="both"/>
              <w:rPr>
                <w:rFonts w:eastAsia="Arial"/>
                <w:b/>
                <w:bCs/>
                <w:szCs w:val="24"/>
              </w:rPr>
            </w:pPr>
            <w:r>
              <w:rPr>
                <w:rFonts w:eastAsia="Arial"/>
                <w:b/>
                <w:bCs/>
                <w:szCs w:val="24"/>
              </w:rPr>
              <w:t>Valor unitário</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D0E2162">
            <w:pPr>
              <w:widowControl w:val="0"/>
              <w:spacing w:before="72" w:beforeLines="30" w:after="72" w:afterLines="30"/>
              <w:jc w:val="both"/>
              <w:rPr>
                <w:rFonts w:eastAsia="Arial"/>
                <w:b/>
                <w:bCs/>
                <w:szCs w:val="24"/>
              </w:rPr>
            </w:pPr>
            <w:r>
              <w:rPr>
                <w:rFonts w:eastAsia="Arial"/>
                <w:b/>
                <w:bCs/>
                <w:szCs w:val="24"/>
              </w:rPr>
              <w:t>Valor total</w:t>
            </w:r>
          </w:p>
        </w:tc>
      </w:tr>
      <w:tr w14:paraId="245B0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3D5FDAA">
            <w:pPr>
              <w:widowControl w:val="0"/>
              <w:spacing w:before="72" w:beforeLines="30" w:after="72" w:afterLines="30"/>
              <w:jc w:val="both"/>
              <w:rPr>
                <w:rFonts w:eastAsia="Arial"/>
                <w:b/>
                <w:bCs/>
                <w:color w:val="000000" w:themeColor="text1"/>
                <w:szCs w:val="24"/>
                <w14:textFill>
                  <w14:solidFill>
                    <w14:schemeClr w14:val="tx1"/>
                  </w14:solidFill>
                </w14:textFill>
              </w:rPr>
            </w:pP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3716248">
            <w:pPr>
              <w:widowControl w:val="0"/>
              <w:spacing w:before="72" w:beforeLines="30" w:after="72" w:afterLines="30"/>
              <w:jc w:val="both"/>
              <w:rPr>
                <w:rFonts w:eastAsia="Arial"/>
                <w:b/>
                <w:bCs/>
                <w:color w:val="000000" w:themeColor="text1"/>
                <w:szCs w:val="24"/>
                <w14:textFill>
                  <w14:solidFill>
                    <w14:schemeClr w14:val="tx1"/>
                  </w14:solidFill>
                </w14:textFill>
              </w:rPr>
            </w:pP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FD46A5A">
            <w:pPr>
              <w:widowControl w:val="0"/>
              <w:spacing w:before="72" w:beforeLines="30" w:after="72" w:afterLines="30"/>
              <w:jc w:val="both"/>
              <w:rPr>
                <w:rFonts w:eastAsia="Arial"/>
                <w:b/>
                <w:bCs/>
                <w:color w:val="000000" w:themeColor="text1"/>
                <w:szCs w:val="24"/>
                <w14:textFill>
                  <w14:solidFill>
                    <w14:schemeClr w14:val="tx1"/>
                  </w14:solidFill>
                </w14:textFill>
              </w:rPr>
            </w:pP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300E4D2">
            <w:pPr>
              <w:widowControl w:val="0"/>
              <w:spacing w:before="72" w:beforeLines="30" w:after="72" w:afterLines="30"/>
              <w:jc w:val="both"/>
              <w:rPr>
                <w:rFonts w:eastAsia="Arial"/>
                <w:b/>
                <w:bCs/>
                <w:szCs w:val="24"/>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4573C3C">
            <w:pPr>
              <w:widowControl w:val="0"/>
              <w:spacing w:before="72" w:beforeLines="30" w:after="72" w:afterLines="30"/>
              <w:jc w:val="both"/>
              <w:rPr>
                <w:rFonts w:eastAsia="Arial"/>
                <w:b/>
                <w:bCs/>
                <w:szCs w:val="24"/>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1AE8BA9">
            <w:pPr>
              <w:widowControl w:val="0"/>
              <w:spacing w:before="72" w:beforeLines="30" w:after="72" w:afterLines="30"/>
              <w:jc w:val="both"/>
              <w:rPr>
                <w:rFonts w:eastAsia="Arial"/>
                <w:b/>
                <w:bCs/>
                <w:szCs w:val="24"/>
              </w:rPr>
            </w:pP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0309F45">
            <w:pPr>
              <w:widowControl w:val="0"/>
              <w:spacing w:before="72" w:beforeLines="30" w:after="72" w:afterLines="30"/>
              <w:jc w:val="both"/>
              <w:rPr>
                <w:rFonts w:eastAsia="Arial"/>
                <w:b/>
                <w:bCs/>
                <w:szCs w:val="24"/>
              </w:rPr>
            </w:pPr>
          </w:p>
        </w:tc>
      </w:tr>
    </w:tbl>
    <w:p w14:paraId="6DF12A32">
      <w:pPr>
        <w:numPr>
          <w:ilvl w:val="2"/>
          <w:numId w:val="0"/>
        </w:numPr>
        <w:suppressAutoHyphens w:val="0"/>
        <w:spacing w:before="72" w:beforeLines="30" w:after="72" w:afterLines="30"/>
        <w:jc w:val="both"/>
        <w:rPr>
          <w:szCs w:val="24"/>
        </w:rPr>
      </w:pPr>
      <w:r>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pPr>
        <w:numPr>
          <w:ilvl w:val="2"/>
          <w:numId w:val="0"/>
        </w:numPr>
        <w:suppressAutoHyphens w:val="0"/>
        <w:spacing w:before="72" w:beforeLines="30" w:after="72" w:afterLines="30"/>
        <w:jc w:val="both"/>
        <w:rPr>
          <w:szCs w:val="24"/>
        </w:rPr>
      </w:pPr>
      <w:r>
        <w:rPr>
          <w:szCs w:val="24"/>
        </w:rPr>
        <w:t>5.1.3 O valor acima é meramente estimativo, de forma que os pagamentos devidos ao contratado dependerão dos quantitativos efetivamente fornecidos.</w:t>
      </w:r>
    </w:p>
    <w:p w14:paraId="57ECB068">
      <w:pPr>
        <w:numPr>
          <w:ilvl w:val="1"/>
          <w:numId w:val="0"/>
        </w:numPr>
        <w:suppressAutoHyphens w:val="0"/>
        <w:spacing w:before="72" w:beforeLines="30" w:after="72" w:afterLines="30"/>
        <w:jc w:val="both"/>
        <w:rPr>
          <w:b/>
          <w:szCs w:val="24"/>
        </w:rPr>
      </w:pPr>
      <w:r>
        <w:rPr>
          <w:b/>
          <w:szCs w:val="24"/>
        </w:rPr>
        <w:t>5.2 Da forma de pagamento</w:t>
      </w:r>
    </w:p>
    <w:p w14:paraId="2E386385">
      <w:pPr>
        <w:numPr>
          <w:ilvl w:val="2"/>
          <w:numId w:val="0"/>
        </w:numPr>
        <w:suppressAutoHyphens w:val="0"/>
        <w:spacing w:before="72" w:beforeLines="30" w:after="72" w:afterLines="30"/>
        <w:jc w:val="both"/>
        <w:rPr>
          <w:szCs w:val="24"/>
        </w:rPr>
      </w:pPr>
      <w:r>
        <w:rPr>
          <w:szCs w:val="24"/>
        </w:rPr>
        <w:t>5.2.1 O pagamento será realizado através de ordem bancária, para crédito em banco, agência e conta corrente indicados pelo contratado.</w:t>
      </w:r>
    </w:p>
    <w:p w14:paraId="444EA1B5">
      <w:pPr>
        <w:numPr>
          <w:ilvl w:val="2"/>
          <w:numId w:val="0"/>
        </w:numPr>
        <w:suppressAutoHyphens w:val="0"/>
        <w:spacing w:before="72" w:beforeLines="30" w:after="72" w:afterLines="30"/>
        <w:jc w:val="both"/>
        <w:rPr>
          <w:szCs w:val="24"/>
        </w:rPr>
      </w:pPr>
      <w:r>
        <w:rPr>
          <w:szCs w:val="24"/>
        </w:rPr>
        <w:t>5.2.2 Será considerada data do pagamento o dia em que constar como emitida a ordem bancária para pagamento.</w:t>
      </w:r>
    </w:p>
    <w:p w14:paraId="179E8608">
      <w:pPr>
        <w:numPr>
          <w:ilvl w:val="1"/>
          <w:numId w:val="0"/>
        </w:numPr>
        <w:suppressAutoHyphens w:val="0"/>
        <w:spacing w:before="72" w:beforeLines="30" w:after="72" w:afterLines="30"/>
        <w:jc w:val="both"/>
        <w:rPr>
          <w:b/>
          <w:szCs w:val="24"/>
        </w:rPr>
      </w:pPr>
      <w:r>
        <w:rPr>
          <w:b/>
          <w:szCs w:val="24"/>
        </w:rPr>
        <w:t>5.3 prazo de pagamento</w:t>
      </w:r>
    </w:p>
    <w:p w14:paraId="37889C40">
      <w:pPr>
        <w:numPr>
          <w:ilvl w:val="2"/>
          <w:numId w:val="0"/>
        </w:numPr>
        <w:suppressAutoHyphens w:val="0"/>
        <w:spacing w:before="72" w:beforeLines="30" w:after="72" w:afterLines="30"/>
        <w:jc w:val="both"/>
        <w:rPr>
          <w:szCs w:val="24"/>
        </w:rPr>
      </w:pPr>
      <w:r>
        <w:rPr>
          <w:szCs w:val="24"/>
        </w:rPr>
        <w:t>5.3.1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0EDF17B3">
      <w:pPr>
        <w:numPr>
          <w:ilvl w:val="2"/>
          <w:numId w:val="0"/>
        </w:numPr>
        <w:suppressAutoHyphens w:val="0"/>
        <w:spacing w:before="72" w:beforeLines="30" w:after="72" w:afterLines="30"/>
        <w:jc w:val="both"/>
        <w:rPr>
          <w:szCs w:val="24"/>
        </w:rPr>
      </w:pPr>
      <w:r>
        <w:rPr>
          <w:szCs w:val="24"/>
        </w:rPr>
        <w:t>5.3.2 Considera-se ocorrido o recebimento da nota fiscal ou fatura quando o órgão contratante atestar a execução do objeto do contrato.</w:t>
      </w:r>
    </w:p>
    <w:p w14:paraId="1F9CD657">
      <w:pPr>
        <w:numPr>
          <w:ilvl w:val="2"/>
          <w:numId w:val="0"/>
        </w:numPr>
        <w:suppressAutoHyphens w:val="0"/>
        <w:spacing w:before="72" w:beforeLines="30" w:after="72" w:afterLines="30"/>
        <w:jc w:val="both"/>
        <w:rPr>
          <w:szCs w:val="24"/>
        </w:rPr>
      </w:pPr>
      <w:r>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5ED796CE">
      <w:pPr>
        <w:numPr>
          <w:ilvl w:val="1"/>
          <w:numId w:val="0"/>
        </w:numPr>
        <w:suppressAutoHyphens w:val="0"/>
        <w:spacing w:before="72" w:beforeLines="30" w:after="72" w:afterLines="30"/>
        <w:jc w:val="both"/>
        <w:rPr>
          <w:b/>
          <w:szCs w:val="24"/>
        </w:rPr>
      </w:pPr>
      <w:r>
        <w:rPr>
          <w:b/>
          <w:szCs w:val="24"/>
        </w:rPr>
        <w:t>5.4 condições de pagamento</w:t>
      </w:r>
    </w:p>
    <w:p w14:paraId="0FC13674">
      <w:pPr>
        <w:numPr>
          <w:ilvl w:val="2"/>
          <w:numId w:val="0"/>
        </w:numPr>
        <w:suppressAutoHyphens w:val="0"/>
        <w:spacing w:before="72" w:beforeLines="30" w:after="72" w:afterLines="30"/>
        <w:jc w:val="both"/>
        <w:rPr>
          <w:szCs w:val="24"/>
        </w:rPr>
      </w:pPr>
      <w:r>
        <w:rPr>
          <w:szCs w:val="24"/>
        </w:rPr>
        <w:t>5.4.1 A emissão da Nota Fiscal/Fatura será precedida do recebimento definitivo do objeto da contratação, conforme disposto neste instrumento e/ou no Termo de Referência.</w:t>
      </w:r>
    </w:p>
    <w:p w14:paraId="0252BCE9">
      <w:pPr>
        <w:numPr>
          <w:ilvl w:val="2"/>
          <w:numId w:val="0"/>
        </w:numPr>
        <w:suppressAutoHyphens w:val="0"/>
        <w:spacing w:before="72" w:beforeLines="30" w:after="72" w:afterLines="30"/>
        <w:jc w:val="both"/>
        <w:rPr>
          <w:szCs w:val="24"/>
        </w:rPr>
      </w:pPr>
      <w:r>
        <w:rPr>
          <w:szCs w:val="24"/>
        </w:rPr>
        <w:t>5.4.2 Quando houver glosa parcial do objeto, o contratante deverá comunicar a empresa para que emita a nota fiscal ou fatura com o valor exato dimensionado.</w:t>
      </w:r>
    </w:p>
    <w:p w14:paraId="3B25F609">
      <w:pPr>
        <w:numPr>
          <w:ilvl w:val="2"/>
          <w:numId w:val="0"/>
        </w:numPr>
        <w:suppressAutoHyphens w:val="0"/>
        <w:spacing w:before="72" w:beforeLines="30" w:after="72" w:afterLines="30"/>
        <w:jc w:val="both"/>
        <w:rPr>
          <w:szCs w:val="24"/>
        </w:rPr>
      </w:pPr>
      <w:r>
        <w:rPr>
          <w:szCs w:val="24"/>
        </w:rPr>
        <w:t xml:space="preserve">5.4.3 O setor competente para proceder o pagamento deve verificar se a Nota Fiscal ou Fatura apresentada expressa os elementos necessários e essenciais do documento, tais como: </w:t>
      </w:r>
    </w:p>
    <w:p w14:paraId="022C6415">
      <w:pPr>
        <w:pStyle w:val="49"/>
        <w:suppressAutoHyphens w:val="0"/>
        <w:spacing w:before="72" w:beforeLines="30" w:after="72" w:afterLines="30"/>
        <w:ind w:left="0"/>
        <w:jc w:val="both"/>
        <w:rPr>
          <w:szCs w:val="24"/>
        </w:rPr>
      </w:pPr>
      <w:r>
        <w:rPr>
          <w:szCs w:val="24"/>
        </w:rPr>
        <w:t xml:space="preserve"> a) o prazo de validade; </w:t>
      </w:r>
    </w:p>
    <w:p w14:paraId="0A4F1DD6">
      <w:pPr>
        <w:pStyle w:val="49"/>
        <w:suppressAutoHyphens w:val="0"/>
        <w:spacing w:before="72" w:beforeLines="30" w:after="72" w:afterLines="30"/>
        <w:ind w:left="0"/>
        <w:jc w:val="both"/>
        <w:rPr>
          <w:szCs w:val="24"/>
        </w:rPr>
      </w:pPr>
      <w:r>
        <w:rPr>
          <w:szCs w:val="24"/>
        </w:rPr>
        <w:t xml:space="preserve"> b) a data da emissão; </w:t>
      </w:r>
    </w:p>
    <w:p w14:paraId="18384EBF">
      <w:pPr>
        <w:pStyle w:val="49"/>
        <w:suppressAutoHyphens w:val="0"/>
        <w:spacing w:before="72" w:beforeLines="30" w:after="72" w:afterLines="30"/>
        <w:ind w:left="0"/>
        <w:jc w:val="both"/>
        <w:rPr>
          <w:szCs w:val="24"/>
        </w:rPr>
      </w:pPr>
      <w:r>
        <w:rPr>
          <w:szCs w:val="24"/>
        </w:rPr>
        <w:t xml:space="preserve"> c) os dados do contrato e do órgão contratante; </w:t>
      </w:r>
    </w:p>
    <w:p w14:paraId="4331AB1C">
      <w:pPr>
        <w:pStyle w:val="49"/>
        <w:suppressAutoHyphens w:val="0"/>
        <w:spacing w:before="72" w:beforeLines="30" w:after="72" w:afterLines="30"/>
        <w:ind w:left="0"/>
        <w:jc w:val="both"/>
        <w:rPr>
          <w:szCs w:val="24"/>
        </w:rPr>
      </w:pPr>
      <w:r>
        <w:rPr>
          <w:szCs w:val="24"/>
        </w:rPr>
        <w:t xml:space="preserve"> d) o período respectivo de execução do contrato;</w:t>
      </w:r>
    </w:p>
    <w:p w14:paraId="637E3413">
      <w:pPr>
        <w:pStyle w:val="49"/>
        <w:suppressAutoHyphens w:val="0"/>
        <w:spacing w:before="72" w:beforeLines="30" w:after="72" w:afterLines="30"/>
        <w:ind w:left="0"/>
        <w:jc w:val="both"/>
        <w:rPr>
          <w:szCs w:val="24"/>
        </w:rPr>
      </w:pPr>
      <w:r>
        <w:rPr>
          <w:szCs w:val="24"/>
        </w:rPr>
        <w:t xml:space="preserve"> e) o valor a pagar; e </w:t>
      </w:r>
    </w:p>
    <w:p w14:paraId="7BA0B41C">
      <w:pPr>
        <w:pStyle w:val="49"/>
        <w:suppressAutoHyphens w:val="0"/>
        <w:spacing w:before="72" w:beforeLines="30" w:after="72" w:afterLines="30"/>
        <w:ind w:left="0"/>
        <w:jc w:val="both"/>
        <w:rPr>
          <w:szCs w:val="24"/>
        </w:rPr>
      </w:pPr>
      <w:r>
        <w:rPr>
          <w:szCs w:val="24"/>
        </w:rPr>
        <w:t xml:space="preserve"> f) eventual destaque do valor de retenções tributárias cabíveis.</w:t>
      </w:r>
    </w:p>
    <w:p w14:paraId="5F2A95FF">
      <w:pPr>
        <w:numPr>
          <w:ilvl w:val="2"/>
          <w:numId w:val="0"/>
        </w:numPr>
        <w:suppressAutoHyphens w:val="0"/>
        <w:spacing w:before="72" w:beforeLines="30" w:after="72" w:afterLines="30"/>
        <w:jc w:val="both"/>
        <w:rPr>
          <w:szCs w:val="24"/>
        </w:rPr>
      </w:pPr>
      <w:r>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pPr>
        <w:numPr>
          <w:ilvl w:val="2"/>
          <w:numId w:val="0"/>
        </w:numPr>
        <w:suppressAutoHyphens w:val="0"/>
        <w:spacing w:before="72" w:beforeLines="30" w:after="72" w:afterLines="30"/>
        <w:jc w:val="both"/>
        <w:rPr>
          <w:szCs w:val="24"/>
        </w:rPr>
      </w:pPr>
      <w:r>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pPr>
        <w:numPr>
          <w:ilvl w:val="2"/>
          <w:numId w:val="0"/>
        </w:numPr>
        <w:suppressAutoHyphens w:val="0"/>
        <w:spacing w:before="72" w:beforeLines="30" w:after="72" w:afterLines="30"/>
        <w:jc w:val="both"/>
        <w:rPr>
          <w:szCs w:val="24"/>
        </w:rPr>
      </w:pPr>
      <w:r>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pPr>
        <w:numPr>
          <w:ilvl w:val="2"/>
          <w:numId w:val="0"/>
        </w:numPr>
        <w:suppressAutoHyphens w:val="0"/>
        <w:spacing w:before="72" w:beforeLines="30" w:after="72" w:afterLines="30"/>
        <w:jc w:val="both"/>
        <w:rPr>
          <w:szCs w:val="24"/>
        </w:rPr>
      </w:pPr>
      <w:r>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pPr>
        <w:numPr>
          <w:ilvl w:val="2"/>
          <w:numId w:val="0"/>
        </w:numPr>
        <w:suppressAutoHyphens w:val="0"/>
        <w:spacing w:before="72" w:beforeLines="30" w:after="72" w:afterLines="30"/>
        <w:jc w:val="both"/>
        <w:rPr>
          <w:szCs w:val="24"/>
        </w:rPr>
      </w:pPr>
      <w:r>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pPr>
        <w:numPr>
          <w:ilvl w:val="2"/>
          <w:numId w:val="0"/>
        </w:numPr>
        <w:suppressAutoHyphens w:val="0"/>
        <w:spacing w:before="72" w:beforeLines="30" w:after="72" w:afterLines="30"/>
        <w:jc w:val="both"/>
        <w:rPr>
          <w:szCs w:val="24"/>
        </w:rPr>
      </w:pPr>
      <w:r>
        <w:rPr>
          <w:szCs w:val="24"/>
        </w:rPr>
        <w:t xml:space="preserve">5.4.9 Persistindo a irregularidade, o contratante deverá adotar as medidas necessárias à rescisão contratual nos autos do processo administrativo correspondente, assegurada ao contratado a ampla defesa. </w:t>
      </w:r>
    </w:p>
    <w:p w14:paraId="61071D11">
      <w:pPr>
        <w:numPr>
          <w:ilvl w:val="2"/>
          <w:numId w:val="0"/>
        </w:numPr>
        <w:suppressAutoHyphens w:val="0"/>
        <w:spacing w:before="72" w:beforeLines="30" w:after="72" w:afterLines="30"/>
        <w:jc w:val="both"/>
        <w:rPr>
          <w:szCs w:val="24"/>
        </w:rPr>
      </w:pPr>
      <w:r>
        <w:rPr>
          <w:szCs w:val="24"/>
        </w:rPr>
        <w:t xml:space="preserve">5.4.10 Havendo a efetiva execução do objeto, os pagamentos serão realizados normalmente, até que se decida pela rescisão do contrato, caso o contratado não regularize sua situação junto ao SICAF.  </w:t>
      </w:r>
    </w:p>
    <w:p w14:paraId="68F2F1B6">
      <w:pPr>
        <w:numPr>
          <w:ilvl w:val="2"/>
          <w:numId w:val="0"/>
        </w:numPr>
        <w:suppressAutoHyphens w:val="0"/>
        <w:spacing w:before="72" w:beforeLines="30" w:after="72" w:afterLines="30"/>
        <w:jc w:val="both"/>
        <w:rPr>
          <w:szCs w:val="24"/>
        </w:rPr>
      </w:pPr>
      <w:r>
        <w:rPr>
          <w:szCs w:val="24"/>
        </w:rPr>
        <w:t>5.4.11 Quando do pagamento, será efetuada a retenção tributária prevista na legislação aplicável.</w:t>
      </w:r>
    </w:p>
    <w:p w14:paraId="4B2FB978">
      <w:pPr>
        <w:numPr>
          <w:ilvl w:val="3"/>
          <w:numId w:val="0"/>
        </w:numPr>
        <w:suppressAutoHyphens w:val="0"/>
        <w:spacing w:before="72" w:beforeLines="30" w:after="72" w:afterLines="30"/>
        <w:jc w:val="both"/>
        <w:rPr>
          <w:szCs w:val="24"/>
        </w:rPr>
      </w:pPr>
      <w:r>
        <w:rPr>
          <w:szCs w:val="24"/>
        </w:rPr>
        <w:t>5.4.12 Independentemente do percentual de tributo inserido na planilha, no pagamento serão retidos na fonte os percentuais estabelecidos na legislação vigente.</w:t>
      </w:r>
    </w:p>
    <w:p w14:paraId="00EB0F15">
      <w:pPr>
        <w:numPr>
          <w:ilvl w:val="2"/>
          <w:numId w:val="0"/>
        </w:numPr>
        <w:suppressAutoHyphens w:val="0"/>
        <w:spacing w:before="72" w:beforeLines="30" w:after="72" w:afterLines="30"/>
        <w:jc w:val="both"/>
        <w:rPr>
          <w:szCs w:val="24"/>
        </w:rPr>
      </w:pPr>
      <w:r>
        <w:rPr>
          <w:szCs w:val="24"/>
        </w:rP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pPr>
        <w:spacing w:before="72" w:beforeLines="30" w:after="72" w:afterLines="30"/>
        <w:jc w:val="both"/>
        <w:rPr>
          <w:szCs w:val="24"/>
        </w:rPr>
      </w:pPr>
    </w:p>
    <w:p w14:paraId="3DF25640">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 V)</w:t>
      </w:r>
    </w:p>
    <w:p w14:paraId="14E39FCE">
      <w:pPr>
        <w:pStyle w:val="65"/>
        <w:numPr>
          <w:ilvl w:val="0"/>
          <w:numId w:val="0"/>
        </w:numPr>
        <w:spacing w:before="72" w:beforeLines="30" w:after="72" w:afterLines="30"/>
        <w:jc w:val="both"/>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7B767168">
      <w:pPr>
        <w:numPr>
          <w:ilvl w:val="1"/>
          <w:numId w:val="0"/>
        </w:numPr>
        <w:suppressAutoHyphens w:val="0"/>
        <w:spacing w:before="72" w:beforeLines="30" w:after="72" w:afterLines="30"/>
        <w:jc w:val="both"/>
        <w:rPr>
          <w:szCs w:val="24"/>
        </w:rPr>
      </w:pPr>
      <w:r>
        <w:rPr>
          <w:szCs w:val="24"/>
        </w:rPr>
        <w:t>6.1.1 Os preços inicialmente contratados são fixos e irreajustáveis no prazo de um ano contado da data de aceite da proposta pela Administração.</w:t>
      </w:r>
    </w:p>
    <w:p w14:paraId="09E99F3E">
      <w:pPr>
        <w:numPr>
          <w:ilvl w:val="1"/>
          <w:numId w:val="0"/>
        </w:numPr>
        <w:suppressAutoHyphens w:val="0"/>
        <w:spacing w:before="72" w:beforeLines="30" w:after="72" w:afterLines="30"/>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pPr>
        <w:numPr>
          <w:ilvl w:val="1"/>
          <w:numId w:val="0"/>
        </w:numPr>
        <w:suppressAutoHyphens w:val="0"/>
        <w:spacing w:before="72" w:beforeLines="30" w:after="72" w:afterLines="30"/>
        <w:jc w:val="both"/>
        <w:rPr>
          <w:szCs w:val="24"/>
        </w:rPr>
      </w:pPr>
      <w:r>
        <w:rPr>
          <w:szCs w:val="24"/>
        </w:rPr>
        <w:t>6.1.3 Nos reajustes subsequentes ao primeiro, o interregno mínimo de um ano será contado a partir dos efeitos financeiros do último reajuste.</w:t>
      </w:r>
    </w:p>
    <w:p w14:paraId="17DFC213">
      <w:pPr>
        <w:numPr>
          <w:ilvl w:val="1"/>
          <w:numId w:val="0"/>
        </w:numPr>
        <w:suppressAutoHyphens w:val="0"/>
        <w:spacing w:before="72" w:beforeLines="30" w:after="72" w:afterLines="30"/>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pPr>
        <w:numPr>
          <w:ilvl w:val="1"/>
          <w:numId w:val="0"/>
        </w:numPr>
        <w:suppressAutoHyphens w:val="0"/>
        <w:spacing w:before="72" w:beforeLines="30" w:after="72" w:afterLines="30"/>
        <w:jc w:val="both"/>
        <w:rPr>
          <w:szCs w:val="24"/>
        </w:rPr>
      </w:pPr>
      <w:r>
        <w:rPr>
          <w:szCs w:val="24"/>
        </w:rPr>
        <w:t>6.1.5 Nas aferições finais, o(s) índice(s) utilizado(s) para reajuste será(ão), obrigatoriamente, o(s) definitivo(s).</w:t>
      </w:r>
    </w:p>
    <w:p w14:paraId="6E08022F">
      <w:pPr>
        <w:numPr>
          <w:ilvl w:val="1"/>
          <w:numId w:val="0"/>
        </w:numPr>
        <w:suppressAutoHyphens w:val="0"/>
        <w:spacing w:before="72" w:beforeLines="30" w:after="72" w:afterLines="30"/>
        <w:jc w:val="both"/>
        <w:rPr>
          <w:szCs w:val="24"/>
        </w:rPr>
      </w:pPr>
      <w:r>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pPr>
        <w:numPr>
          <w:ilvl w:val="1"/>
          <w:numId w:val="0"/>
        </w:numPr>
        <w:suppressAutoHyphens w:val="0"/>
        <w:spacing w:before="72" w:beforeLines="30" w:after="72" w:afterLines="30"/>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335B2DDB">
      <w:pPr>
        <w:suppressAutoHyphens w:val="0"/>
        <w:spacing w:before="72" w:beforeLines="30" w:after="72" w:afterLines="30"/>
        <w:jc w:val="both"/>
        <w:rPr>
          <w:szCs w:val="24"/>
          <w:lang w:eastAsia="pt-BR"/>
        </w:rPr>
      </w:pPr>
      <w:r>
        <w:rPr>
          <w:szCs w:val="24"/>
        </w:rPr>
        <w:t>6.1.8 O reajuste será realizado por apostilamento.</w:t>
      </w:r>
    </w:p>
    <w:p w14:paraId="13CF1EE5">
      <w:pPr>
        <w:pStyle w:val="49"/>
        <w:suppressAutoHyphens w:val="0"/>
        <w:spacing w:before="72" w:beforeLines="30" w:after="72" w:afterLines="30"/>
        <w:ind w:left="0"/>
        <w:jc w:val="both"/>
        <w:rPr>
          <w:b/>
          <w:szCs w:val="24"/>
        </w:rPr>
      </w:pPr>
      <w:r>
        <w:rPr>
          <w:b/>
          <w:szCs w:val="24"/>
        </w:rPr>
        <w:t>6.2 Da revisão de preços (realinhamento).</w:t>
      </w:r>
    </w:p>
    <w:p w14:paraId="0BE0EAF8">
      <w:pPr>
        <w:pStyle w:val="49"/>
        <w:suppressAutoHyphens w:val="0"/>
        <w:spacing w:before="72" w:beforeLines="30" w:after="72" w:afterLines="30"/>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pPr>
        <w:spacing w:before="72" w:beforeLines="30" w:after="72" w:afterLines="30"/>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Pr>
          <w:b/>
          <w:szCs w:val="24"/>
        </w:rPr>
        <w:t>exclusivamente</w:t>
      </w:r>
      <w:r>
        <w:rPr>
          <w:szCs w:val="24"/>
        </w:rPr>
        <w:t xml:space="preserve"> no email: </w:t>
      </w:r>
      <w:r>
        <w:rPr>
          <w:b/>
          <w:szCs w:val="24"/>
        </w:rPr>
        <w:t>licitacao@pmcaracol.ms.gov.br</w:t>
      </w:r>
      <w:r>
        <w:rPr>
          <w:szCs w:val="24"/>
        </w:rPr>
        <w:t>).</w:t>
      </w:r>
    </w:p>
    <w:p w14:paraId="5C5BB3B2">
      <w:pPr>
        <w:spacing w:before="72" w:beforeLines="30" w:after="72" w:afterLines="30"/>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pPr>
        <w:spacing w:before="72" w:beforeLines="30" w:after="72" w:afterLines="30"/>
        <w:jc w:val="both"/>
        <w:rPr>
          <w:szCs w:val="24"/>
        </w:rPr>
      </w:pPr>
      <w:r>
        <w:rPr>
          <w:szCs w:val="24"/>
        </w:rPr>
        <w:t xml:space="preserve">6.2.4 O realinhamento de preços será analisado em até </w:t>
      </w:r>
      <w:r>
        <w:rPr>
          <w:b/>
          <w:szCs w:val="24"/>
        </w:rPr>
        <w:t>10 (dez) dias úteis</w:t>
      </w:r>
      <w:r>
        <w:rPr>
          <w:szCs w:val="24"/>
        </w:rPr>
        <w:t xml:space="preserve">, contados da data de seu protocolo (físico ou digital-email: </w:t>
      </w:r>
      <w:r>
        <w:rPr>
          <w:b/>
          <w:szCs w:val="24"/>
        </w:rPr>
        <w:t>licitacao@pmcaracol.ms.gov.br</w:t>
      </w:r>
      <w:r>
        <w:rPr>
          <w:szCs w:val="24"/>
        </w:rPr>
        <w:t>).</w:t>
      </w:r>
    </w:p>
    <w:p w14:paraId="1EC20EC8">
      <w:pPr>
        <w:numPr>
          <w:ilvl w:val="2"/>
          <w:numId w:val="0"/>
        </w:numPr>
        <w:suppressAutoHyphens w:val="0"/>
        <w:spacing w:before="72" w:beforeLines="30" w:after="72" w:afterLines="30"/>
        <w:jc w:val="both"/>
        <w:rPr>
          <w:szCs w:val="24"/>
        </w:rPr>
      </w:pPr>
      <w:r>
        <w:rPr>
          <w:szCs w:val="24"/>
        </w:rPr>
        <w:t>6.2.4.1 Havendo equívoco/erro na apresentação da Nota Fiscal/documento, que impeça a análise do realinhamento, ou o pedido seja enviado a outro email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pPr>
        <w:spacing w:before="72" w:beforeLines="30" w:after="72" w:afterLines="30"/>
        <w:jc w:val="both"/>
        <w:rPr>
          <w:szCs w:val="24"/>
        </w:rPr>
      </w:pPr>
      <w:r>
        <w:rPr>
          <w:szCs w:val="24"/>
        </w:rPr>
        <w:t>6.2.4.2 o prazo de análise do realinhamento previsto no subitem anterior poderá ser prorrogado em casos de objeto com índices de análise complexos.</w:t>
      </w:r>
    </w:p>
    <w:p w14:paraId="2E9EE390">
      <w:pPr>
        <w:spacing w:before="72" w:beforeLines="30" w:after="72" w:afterLines="30"/>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pPr>
        <w:spacing w:before="72" w:beforeLines="30" w:after="72" w:afterLines="30"/>
        <w:jc w:val="both"/>
        <w:rPr>
          <w:szCs w:val="24"/>
          <w:lang w:eastAsia="pt-BR"/>
        </w:rPr>
      </w:pPr>
    </w:p>
    <w:p w14:paraId="0DC3F452">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SÉTIMA- OBRIGAÇÕES DO CONTRATANTE (art. 92, X, XI e XIV)</w:t>
      </w:r>
    </w:p>
    <w:p w14:paraId="3180B8F1">
      <w:pPr>
        <w:numPr>
          <w:ilvl w:val="1"/>
          <w:numId w:val="0"/>
        </w:numPr>
        <w:suppressAutoHyphens w:val="0"/>
        <w:spacing w:before="72" w:beforeLines="30" w:after="72" w:afterLines="30"/>
        <w:jc w:val="both"/>
        <w:rPr>
          <w:b/>
          <w:szCs w:val="24"/>
        </w:rPr>
      </w:pPr>
      <w:r>
        <w:rPr>
          <w:szCs w:val="24"/>
        </w:rPr>
        <w:t>7.1 São obrigações do Contratante:</w:t>
      </w:r>
    </w:p>
    <w:p w14:paraId="3243D682">
      <w:pPr>
        <w:numPr>
          <w:ilvl w:val="2"/>
          <w:numId w:val="0"/>
        </w:numPr>
        <w:suppressAutoHyphens w:val="0"/>
        <w:spacing w:before="72" w:beforeLines="30" w:after="72" w:afterLines="30"/>
        <w:jc w:val="both"/>
        <w:rPr>
          <w:b/>
          <w:szCs w:val="24"/>
        </w:rPr>
      </w:pPr>
      <w:r>
        <w:rPr>
          <w:szCs w:val="24"/>
        </w:rPr>
        <w:t>7.1.1 Exigir o cumprimento de todas as obrigações assumidas pelo Contratado, de acordo com o contrato e seus anexos;</w:t>
      </w:r>
    </w:p>
    <w:p w14:paraId="6F8914B6">
      <w:pPr>
        <w:numPr>
          <w:ilvl w:val="2"/>
          <w:numId w:val="0"/>
        </w:numPr>
        <w:suppressAutoHyphens w:val="0"/>
        <w:spacing w:before="72" w:beforeLines="30" w:after="72" w:afterLines="30"/>
        <w:jc w:val="both"/>
        <w:rPr>
          <w:b/>
          <w:szCs w:val="24"/>
        </w:rPr>
      </w:pPr>
      <w:r>
        <w:rPr>
          <w:szCs w:val="24"/>
        </w:rPr>
        <w:t>7.1.2 Receber o objeto no prazo e condições estabelecidas no Termo de Referência;</w:t>
      </w:r>
    </w:p>
    <w:p w14:paraId="78EC8200">
      <w:pPr>
        <w:numPr>
          <w:ilvl w:val="2"/>
          <w:numId w:val="0"/>
        </w:numPr>
        <w:suppressAutoHyphens w:val="0"/>
        <w:spacing w:before="72" w:beforeLines="30" w:after="72" w:afterLines="30"/>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24442BD1">
      <w:pPr>
        <w:numPr>
          <w:ilvl w:val="2"/>
          <w:numId w:val="0"/>
        </w:numPr>
        <w:suppressAutoHyphens w:val="0"/>
        <w:spacing w:before="72" w:beforeLines="30" w:after="72" w:afterLines="30"/>
        <w:jc w:val="both"/>
        <w:rPr>
          <w:b/>
          <w:szCs w:val="24"/>
        </w:rPr>
      </w:pPr>
      <w:r>
        <w:rPr>
          <w:szCs w:val="24"/>
        </w:rPr>
        <w:t>7.1.4 Acompanhar e fiscalizar a execução do contrato e o cumprimento das obrigações pelo Contratado;</w:t>
      </w:r>
    </w:p>
    <w:p w14:paraId="6651C777">
      <w:pPr>
        <w:numPr>
          <w:ilvl w:val="2"/>
          <w:numId w:val="0"/>
        </w:numPr>
        <w:suppressAutoHyphens w:val="0"/>
        <w:spacing w:before="72" w:beforeLines="30" w:after="72" w:afterLines="30"/>
        <w:jc w:val="both"/>
        <w:rPr>
          <w:b/>
          <w:szCs w:val="24"/>
        </w:rPr>
      </w:pPr>
      <w:r>
        <w:rPr>
          <w:szCs w:val="24"/>
        </w:rPr>
        <w:t>7.1.5 Efetuar o pagamento ao Contratado do valor correspondente ao fornecimento do objeto, no prazo, forma e condições estabelecidos no presente Contrato;</w:t>
      </w:r>
    </w:p>
    <w:p w14:paraId="6A5E1890">
      <w:pPr>
        <w:numPr>
          <w:ilvl w:val="2"/>
          <w:numId w:val="0"/>
        </w:numPr>
        <w:suppressAutoHyphens w:val="0"/>
        <w:spacing w:before="72" w:beforeLines="30" w:after="72" w:afterLines="30"/>
        <w:jc w:val="both"/>
        <w:rPr>
          <w:b/>
          <w:szCs w:val="24"/>
        </w:rPr>
      </w:pPr>
      <w:r>
        <w:rPr>
          <w:bCs/>
          <w:szCs w:val="24"/>
        </w:rPr>
        <w:t>7.1.6 Aplicar ao Contratado sanções motivadas pela inexecução total ou parcial do Contrato;</w:t>
      </w:r>
    </w:p>
    <w:p w14:paraId="36E14193">
      <w:pPr>
        <w:numPr>
          <w:ilvl w:val="2"/>
          <w:numId w:val="0"/>
        </w:numPr>
        <w:suppressAutoHyphens w:val="0"/>
        <w:spacing w:before="72" w:beforeLines="30" w:after="72" w:afterLines="30"/>
        <w:jc w:val="both"/>
        <w:rPr>
          <w:szCs w:val="24"/>
        </w:rPr>
      </w:pPr>
      <w:r>
        <w:rPr>
          <w:szCs w:val="24"/>
        </w:rPr>
        <w:t xml:space="preserve">7.1.7 Cientificar o </w:t>
      </w:r>
      <w:r>
        <w:rPr>
          <w:bCs/>
          <w:szCs w:val="24"/>
        </w:rPr>
        <w:t>órgão</w:t>
      </w:r>
      <w:r>
        <w:rPr>
          <w:szCs w:val="24"/>
        </w:rPr>
        <w:t xml:space="preserve"> de representação judicial da Procuradoria Municipal para adoção das medidas cabíveis quando do descumprimento de obrigações pelo Contratado;</w:t>
      </w:r>
    </w:p>
    <w:p w14:paraId="3E5DF80F">
      <w:pPr>
        <w:numPr>
          <w:ilvl w:val="2"/>
          <w:numId w:val="0"/>
        </w:numPr>
        <w:suppressAutoHyphens w:val="0"/>
        <w:spacing w:before="72" w:beforeLines="30" w:after="72" w:afterLines="30"/>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pPr>
        <w:numPr>
          <w:ilvl w:val="3"/>
          <w:numId w:val="0"/>
        </w:numPr>
        <w:suppressAutoHyphens w:val="0"/>
        <w:spacing w:before="72" w:beforeLines="30" w:after="72" w:afterLines="30"/>
        <w:jc w:val="both"/>
        <w:rPr>
          <w:b/>
          <w:szCs w:val="24"/>
        </w:rPr>
      </w:pPr>
      <w:r>
        <w:rPr>
          <w:bCs/>
          <w:szCs w:val="24"/>
        </w:rPr>
        <w:t>7.1.9 A Administração terá o prazo de 01 (um) mês, a contar da data do protocolo do requerimento para decidir, admitida a prorrogação motivada, por igual período.</w:t>
      </w:r>
    </w:p>
    <w:p w14:paraId="4BA11CA6">
      <w:pPr>
        <w:numPr>
          <w:ilvl w:val="2"/>
          <w:numId w:val="0"/>
        </w:numPr>
        <w:suppressAutoHyphens w:val="0"/>
        <w:spacing w:before="72" w:beforeLines="30" w:after="72" w:afterLines="30"/>
        <w:jc w:val="both"/>
        <w:rPr>
          <w:bCs/>
          <w:szCs w:val="24"/>
        </w:rPr>
      </w:pPr>
      <w:r>
        <w:rPr>
          <w:bCs/>
          <w:szCs w:val="24"/>
        </w:rPr>
        <w:t>7.1.10 Notificar os emitentes das garantias quanto ao início de processo administrativo para apuração de descumprimento de cláusulas contratuais.</w:t>
      </w:r>
    </w:p>
    <w:p w14:paraId="7ED4EE75">
      <w:pPr>
        <w:numPr>
          <w:ilvl w:val="1"/>
          <w:numId w:val="0"/>
        </w:numPr>
        <w:suppressAutoHyphens w:val="0"/>
        <w:spacing w:before="72" w:beforeLines="30" w:after="72" w:afterLines="30"/>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pPr>
        <w:spacing w:before="72" w:beforeLines="30" w:after="72" w:afterLines="30"/>
        <w:jc w:val="both"/>
        <w:rPr>
          <w:szCs w:val="24"/>
        </w:rPr>
      </w:pPr>
    </w:p>
    <w:p w14:paraId="58097ADD">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7EBB48B2">
      <w:pPr>
        <w:numPr>
          <w:ilvl w:val="1"/>
          <w:numId w:val="0"/>
        </w:numPr>
        <w:suppressAutoHyphens w:val="0"/>
        <w:spacing w:before="72" w:beforeLines="30" w:after="72" w:afterLines="30"/>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pPr>
        <w:numPr>
          <w:ilvl w:val="1"/>
          <w:numId w:val="0"/>
        </w:numPr>
        <w:suppressAutoHyphens w:val="0"/>
        <w:spacing w:before="72" w:beforeLines="30" w:after="72" w:afterLines="30"/>
        <w:jc w:val="both"/>
        <w:rPr>
          <w:szCs w:val="24"/>
        </w:rPr>
      </w:pPr>
      <w:r>
        <w:rPr>
          <w:szCs w:val="24"/>
        </w:rPr>
        <w:t>8.1.1 Entregar o objeto acompanhado do manual do usuário, com uma versão em português, e da relação da rede de assistência técnica autorizada (em se tratando de equipamentos, eletrodomésticos, eletrônicos, etc conforme o caso);</w:t>
      </w:r>
    </w:p>
    <w:p w14:paraId="71E0E1C0">
      <w:pPr>
        <w:numPr>
          <w:ilvl w:val="2"/>
          <w:numId w:val="0"/>
        </w:numPr>
        <w:suppressAutoHyphens w:val="0"/>
        <w:spacing w:before="72" w:beforeLines="30" w:after="72" w:afterLines="30"/>
        <w:jc w:val="both"/>
        <w:rPr>
          <w:szCs w:val="24"/>
        </w:rPr>
      </w:pPr>
      <w:r>
        <w:rPr>
          <w:szCs w:val="24"/>
        </w:rPr>
        <w:t>8.1.2 responsabilizar-se pelos vícios e danos decorrentes do objeto, de acordo com os artigos 12, 13 e 17 a 27, do Código de Defesa do Consumidor (Lei nº 8.078, de 1990);</w:t>
      </w:r>
    </w:p>
    <w:p w14:paraId="5B418426">
      <w:pPr>
        <w:numPr>
          <w:ilvl w:val="2"/>
          <w:numId w:val="0"/>
        </w:numPr>
        <w:suppressAutoHyphens w:val="0"/>
        <w:spacing w:before="72" w:beforeLines="30" w:after="72" w:afterLines="30"/>
        <w:jc w:val="both"/>
        <w:rPr>
          <w:szCs w:val="24"/>
        </w:rPr>
      </w:pPr>
      <w:r>
        <w:rPr>
          <w:szCs w:val="24"/>
        </w:rPr>
        <w:t>8.1.3 comunicar ao Contratante, no prazo máximo de 24 (vinte e quatro) horas que antecede a data da entrega, os motivos que impossibilitem o cumprimento do prazo previsto, com a devida comprovação;</w:t>
      </w:r>
    </w:p>
    <w:p w14:paraId="7B779A51">
      <w:pPr>
        <w:numPr>
          <w:ilvl w:val="2"/>
          <w:numId w:val="0"/>
        </w:numPr>
        <w:suppressAutoHyphens w:val="0"/>
        <w:spacing w:before="72" w:beforeLines="30" w:after="72" w:afterLines="30"/>
        <w:jc w:val="both"/>
        <w:rPr>
          <w:szCs w:val="24"/>
        </w:rPr>
      </w:pPr>
      <w:r>
        <w:rPr>
          <w:szCs w:val="24"/>
        </w:rPr>
        <w:t>8.1.4 Atender às determinações regulares emitidas pelo fiscal ou gestor do contrato ou autoridade superior (art. 137, II) e prestar todo esclarecimento ou informação por eles solicitados;</w:t>
      </w:r>
    </w:p>
    <w:p w14:paraId="36680093">
      <w:pPr>
        <w:numPr>
          <w:ilvl w:val="2"/>
          <w:numId w:val="0"/>
        </w:numPr>
        <w:suppressAutoHyphens w:val="0"/>
        <w:spacing w:before="72" w:beforeLines="30" w:after="72" w:afterLines="30"/>
        <w:jc w:val="both"/>
        <w:rPr>
          <w:szCs w:val="24"/>
        </w:rPr>
      </w:pPr>
      <w:r>
        <w:rPr>
          <w:szCs w:val="24"/>
        </w:rPr>
        <w:t>8.1.5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pPr>
        <w:numPr>
          <w:ilvl w:val="2"/>
          <w:numId w:val="0"/>
        </w:numPr>
        <w:suppressAutoHyphens w:val="0"/>
        <w:spacing w:before="72" w:beforeLines="30" w:after="72" w:afterLines="30"/>
        <w:jc w:val="both"/>
        <w:rPr>
          <w:szCs w:val="24"/>
        </w:rPr>
      </w:pPr>
      <w:r>
        <w:rPr>
          <w:szCs w:val="24"/>
        </w:rPr>
        <w:t>8.1.6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pPr>
        <w:numPr>
          <w:ilvl w:val="2"/>
          <w:numId w:val="0"/>
        </w:numPr>
        <w:suppressAutoHyphens w:val="0"/>
        <w:spacing w:before="72" w:beforeLines="30" w:after="72" w:afterLines="30"/>
        <w:jc w:val="both"/>
        <w:rPr>
          <w:szCs w:val="24"/>
        </w:rPr>
      </w:pPr>
      <w:r>
        <w:rPr>
          <w:szCs w:val="24"/>
        </w:rPr>
        <w:t xml:space="preserve">8.1.6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 </w:t>
      </w:r>
    </w:p>
    <w:p w14:paraId="54973A8C">
      <w:pPr>
        <w:numPr>
          <w:ilvl w:val="2"/>
          <w:numId w:val="0"/>
        </w:numPr>
        <w:suppressAutoHyphens w:val="0"/>
        <w:spacing w:before="72" w:beforeLines="30" w:after="72" w:afterLines="30"/>
        <w:jc w:val="both"/>
        <w:rPr>
          <w:szCs w:val="24"/>
        </w:rPr>
      </w:pPr>
      <w:r>
        <w:rPr>
          <w:szCs w:val="24"/>
        </w:rPr>
        <w:t xml:space="preserve">8.1.7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48ADF7DB">
      <w:pPr>
        <w:numPr>
          <w:ilvl w:val="2"/>
          <w:numId w:val="0"/>
        </w:numPr>
        <w:suppressAutoHyphens w:val="0"/>
        <w:spacing w:before="72" w:beforeLines="30" w:after="72" w:afterLines="30"/>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550A7515">
      <w:pPr>
        <w:numPr>
          <w:ilvl w:val="2"/>
          <w:numId w:val="0"/>
        </w:numPr>
        <w:suppressAutoHyphens w:val="0"/>
        <w:spacing w:before="72" w:beforeLines="30" w:after="72" w:afterLines="30"/>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0D3A8F62">
      <w:pPr>
        <w:numPr>
          <w:ilvl w:val="2"/>
          <w:numId w:val="0"/>
        </w:numPr>
        <w:suppressAutoHyphens w:val="0"/>
        <w:spacing w:before="72" w:beforeLines="30" w:after="72" w:afterLines="30"/>
        <w:jc w:val="both"/>
        <w:rPr>
          <w:strike/>
          <w:szCs w:val="24"/>
        </w:rPr>
      </w:pPr>
      <w:r>
        <w:rPr>
          <w:szCs w:val="24"/>
        </w:rPr>
        <w:t xml:space="preserve">8.1.10 Manter durante toda a vigência do contrato, em compatibilidade com as obrigações assumidas, todas as condições exigidas para habilitação na licitação. </w:t>
      </w:r>
    </w:p>
    <w:p w14:paraId="1A9B5388">
      <w:pPr>
        <w:numPr>
          <w:ilvl w:val="2"/>
          <w:numId w:val="0"/>
        </w:numPr>
        <w:suppressAutoHyphens w:val="0"/>
        <w:spacing w:before="72" w:beforeLines="30" w:after="72" w:afterLines="30"/>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53E05355">
      <w:pPr>
        <w:numPr>
          <w:ilvl w:val="2"/>
          <w:numId w:val="0"/>
        </w:numPr>
        <w:suppressAutoHyphens w:val="0"/>
        <w:spacing w:before="72" w:beforeLines="30" w:after="72" w:afterLines="30"/>
        <w:jc w:val="both"/>
        <w:rPr>
          <w:szCs w:val="24"/>
        </w:rPr>
      </w:pPr>
      <w:r>
        <w:rPr>
          <w:szCs w:val="24"/>
        </w:rPr>
        <w:t>8.1.12 Comprovar a reserva de cargos a que se refere a cláusula acima, no prazo fixado pelo fiscal do contrato, com a indicação dos empregados que preencheram as referidas vagas (art. 116, parágrafo único da Lei Federal n. 14.133/2021);</w:t>
      </w:r>
    </w:p>
    <w:p w14:paraId="5FE9D64B">
      <w:pPr>
        <w:numPr>
          <w:ilvl w:val="2"/>
          <w:numId w:val="0"/>
        </w:numPr>
        <w:suppressAutoHyphens w:val="0"/>
        <w:spacing w:before="72" w:beforeLines="30" w:after="72" w:afterLines="30"/>
        <w:jc w:val="both"/>
        <w:rPr>
          <w:szCs w:val="24"/>
        </w:rPr>
      </w:pPr>
      <w:r>
        <w:rPr>
          <w:szCs w:val="24"/>
        </w:rPr>
        <w:t xml:space="preserve"> 8.1.13 Guardar sigilo sobre todas as informações obtidas em decorrência do cumprimento do contrato; </w:t>
      </w:r>
    </w:p>
    <w:p w14:paraId="28CEE319">
      <w:pPr>
        <w:numPr>
          <w:ilvl w:val="2"/>
          <w:numId w:val="0"/>
        </w:numPr>
        <w:suppressAutoHyphens w:val="0"/>
        <w:spacing w:before="72" w:beforeLines="30" w:after="72" w:afterLines="30"/>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pPr>
        <w:numPr>
          <w:ilvl w:val="2"/>
          <w:numId w:val="0"/>
        </w:numPr>
        <w:suppressAutoHyphens w:val="0"/>
        <w:spacing w:before="72" w:beforeLines="30" w:after="72" w:afterLines="30"/>
        <w:jc w:val="both"/>
        <w:rPr>
          <w:szCs w:val="24"/>
        </w:rPr>
      </w:pPr>
      <w:r>
        <w:rPr>
          <w:szCs w:val="24"/>
        </w:rPr>
        <w:t>8.1.15 Cumprir, além dos postulados legais vigentes de âmbito federal, estadual ou municipal, as normas de segurança do Contratante;</w:t>
      </w:r>
    </w:p>
    <w:p w14:paraId="0A6472B4">
      <w:pPr>
        <w:numPr>
          <w:ilvl w:val="2"/>
          <w:numId w:val="0"/>
        </w:numPr>
        <w:suppressAutoHyphens w:val="0"/>
        <w:spacing w:before="72" w:beforeLines="30" w:after="72" w:afterLines="30"/>
        <w:jc w:val="both"/>
        <w:rPr>
          <w:szCs w:val="24"/>
        </w:rPr>
      </w:pPr>
      <w:r>
        <w:rPr>
          <w:szCs w:val="24"/>
        </w:rPr>
        <w:t>8.1.16 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pPr>
        <w:spacing w:before="72" w:beforeLines="30" w:after="72" w:afterLines="30"/>
        <w:jc w:val="both"/>
        <w:rPr>
          <w:szCs w:val="24"/>
        </w:rPr>
      </w:pPr>
    </w:p>
    <w:p w14:paraId="3E2971A9">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56FA41E0">
      <w:pPr>
        <w:numPr>
          <w:ilvl w:val="1"/>
          <w:numId w:val="0"/>
        </w:numPr>
        <w:suppressAutoHyphens w:val="0"/>
        <w:spacing w:before="72" w:beforeLines="30" w:after="72" w:afterLines="30"/>
        <w:jc w:val="both"/>
        <w:rPr>
          <w:szCs w:val="24"/>
        </w:rPr>
      </w:pPr>
      <w:r>
        <w:rPr>
          <w:szCs w:val="24"/>
        </w:rPr>
        <w:t>9.1 Não haverá exigência de garantia contratual da execução.</w:t>
      </w:r>
    </w:p>
    <w:p w14:paraId="59BE1447">
      <w:pPr>
        <w:spacing w:before="72" w:beforeLines="30" w:after="72" w:afterLines="30"/>
        <w:jc w:val="both"/>
        <w:rPr>
          <w:szCs w:val="24"/>
        </w:rPr>
      </w:pPr>
    </w:p>
    <w:p w14:paraId="6C1CC2D4">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00D92CFB">
      <w:pPr>
        <w:pStyle w:val="64"/>
        <w:numPr>
          <w:ilvl w:val="0"/>
          <w:numId w:val="0"/>
        </w:numPr>
        <w:spacing w:before="72" w:beforeLines="30" w:after="72" w:afterLines="30"/>
        <w:rPr>
          <w:rFonts w:ascii="Times New Roman" w:hAnsi="Times New Roman"/>
          <w:b w:val="0"/>
          <w:bCs w:val="0"/>
          <w:sz w:val="24"/>
          <w:szCs w:val="24"/>
        </w:rPr>
      </w:pPr>
      <w:r>
        <w:rPr>
          <w:rFonts w:ascii="Times New Roman" w:hAnsi="Times New Roman"/>
          <w:b w:val="0"/>
          <w:bCs w:val="0"/>
          <w:sz w:val="24"/>
          <w:szCs w:val="24"/>
        </w:rPr>
        <w:t xml:space="preserve">10.1 Comete infração administrativa, nos termos da </w:t>
      </w:r>
      <w:r>
        <w:fldChar w:fldCharType="begin"/>
      </w:r>
      <w:r>
        <w:instrText xml:space="preserve"> HYPERLINK "http://www.planalto.gov.br/ccivil_03/_ato2019-2022/2021/lei/L14133.htm" </w:instrText>
      </w:r>
      <w:r>
        <w:fldChar w:fldCharType="separate"/>
      </w:r>
      <w:r>
        <w:rPr>
          <w:rStyle w:val="17"/>
          <w:rFonts w:ascii="Times New Roman" w:hAnsi="Times New Roman"/>
          <w:b w:val="0"/>
          <w:bCs w:val="0"/>
          <w:sz w:val="24"/>
          <w:szCs w:val="24"/>
        </w:rPr>
        <w:t>Lei nº 14.133, de 2021</w:t>
      </w:r>
      <w:r>
        <w:rPr>
          <w:rStyle w:val="17"/>
          <w:rFonts w:ascii="Times New Roman" w:hAnsi="Times New Roman"/>
          <w:b w:val="0"/>
          <w:bCs w:val="0"/>
          <w:sz w:val="24"/>
          <w:szCs w:val="24"/>
        </w:rPr>
        <w:fldChar w:fldCharType="end"/>
      </w:r>
      <w:r>
        <w:rPr>
          <w:rFonts w:ascii="Times New Roman" w:hAnsi="Times New Roman"/>
          <w:b w:val="0"/>
          <w:bCs w:val="0"/>
          <w:sz w:val="24"/>
          <w:szCs w:val="24"/>
        </w:rPr>
        <w:t>, o contratado que:</w:t>
      </w:r>
    </w:p>
    <w:p w14:paraId="269F5667">
      <w:pPr>
        <w:numPr>
          <w:ilvl w:val="2"/>
          <w:numId w:val="14"/>
        </w:numPr>
        <w:tabs>
          <w:tab w:val="left" w:pos="284"/>
        </w:tabs>
        <w:spacing w:before="72" w:beforeLines="30" w:after="72" w:afterLines="30"/>
        <w:ind w:left="0" w:firstLine="0"/>
        <w:jc w:val="both"/>
        <w:rPr>
          <w:rFonts w:eastAsia="Arial"/>
          <w:szCs w:val="24"/>
        </w:rPr>
      </w:pPr>
      <w:r>
        <w:rPr>
          <w:rFonts w:eastAsia="Arial"/>
          <w:szCs w:val="24"/>
        </w:rPr>
        <w:t>der causa à inexecução parcial do contrato;</w:t>
      </w:r>
    </w:p>
    <w:p w14:paraId="49C27041">
      <w:pPr>
        <w:numPr>
          <w:ilvl w:val="2"/>
          <w:numId w:val="14"/>
        </w:numPr>
        <w:tabs>
          <w:tab w:val="left" w:pos="284"/>
        </w:tabs>
        <w:spacing w:before="72" w:beforeLines="30" w:after="72" w:afterLines="30"/>
        <w:ind w:left="0" w:firstLine="0"/>
        <w:jc w:val="both"/>
        <w:rPr>
          <w:rFonts w:eastAsia="Arial"/>
          <w:szCs w:val="24"/>
        </w:rPr>
      </w:pPr>
      <w:r>
        <w:rPr>
          <w:rFonts w:eastAsia="Arial"/>
          <w:szCs w:val="24"/>
        </w:rPr>
        <w:t>der causa à inexecução parcial do contrato que cause grave dano à Administração ou ao funcionamento dos serviços públicos ou ao interesse coletivo;</w:t>
      </w:r>
    </w:p>
    <w:p w14:paraId="435953DA">
      <w:pPr>
        <w:numPr>
          <w:ilvl w:val="2"/>
          <w:numId w:val="14"/>
        </w:numPr>
        <w:tabs>
          <w:tab w:val="left" w:pos="284"/>
        </w:tabs>
        <w:spacing w:before="72" w:beforeLines="30" w:after="72" w:afterLines="30"/>
        <w:ind w:left="0" w:firstLine="0"/>
        <w:jc w:val="both"/>
        <w:rPr>
          <w:rFonts w:eastAsia="Arial"/>
          <w:szCs w:val="24"/>
        </w:rPr>
      </w:pPr>
      <w:r>
        <w:rPr>
          <w:rFonts w:eastAsia="Arial"/>
          <w:szCs w:val="24"/>
        </w:rPr>
        <w:t>der causa à inexecução total do contrato;</w:t>
      </w:r>
    </w:p>
    <w:p w14:paraId="54F2B972">
      <w:pPr>
        <w:numPr>
          <w:ilvl w:val="2"/>
          <w:numId w:val="14"/>
        </w:numPr>
        <w:tabs>
          <w:tab w:val="left" w:pos="284"/>
        </w:tabs>
        <w:spacing w:before="72" w:beforeLines="30" w:after="72" w:afterLines="30"/>
        <w:ind w:left="0" w:firstLine="0"/>
        <w:jc w:val="both"/>
        <w:rPr>
          <w:rFonts w:eastAsia="Arial"/>
          <w:szCs w:val="24"/>
        </w:rPr>
      </w:pPr>
      <w:r>
        <w:rPr>
          <w:rFonts w:eastAsia="Arial"/>
          <w:szCs w:val="24"/>
        </w:rPr>
        <w:t>ensejar o retardamento da execução ou da entrega do objeto da contratação sem motivo justificado;</w:t>
      </w:r>
    </w:p>
    <w:p w14:paraId="7EC12FCA">
      <w:pPr>
        <w:numPr>
          <w:ilvl w:val="2"/>
          <w:numId w:val="14"/>
        </w:numPr>
        <w:tabs>
          <w:tab w:val="left" w:pos="284"/>
        </w:tabs>
        <w:spacing w:before="72" w:beforeLines="30" w:after="72" w:afterLines="30"/>
        <w:ind w:left="0" w:firstLine="0"/>
        <w:jc w:val="both"/>
        <w:rPr>
          <w:rFonts w:eastAsia="Arial"/>
          <w:szCs w:val="24"/>
        </w:rPr>
      </w:pPr>
      <w:r>
        <w:rPr>
          <w:rFonts w:eastAsia="Arial"/>
          <w:szCs w:val="24"/>
        </w:rPr>
        <w:t>apresentar documentação falsa ou prestar declaração falsa durante a execução do contrato;</w:t>
      </w:r>
    </w:p>
    <w:p w14:paraId="54534F5E">
      <w:pPr>
        <w:numPr>
          <w:ilvl w:val="2"/>
          <w:numId w:val="14"/>
        </w:numPr>
        <w:tabs>
          <w:tab w:val="left" w:pos="284"/>
        </w:tabs>
        <w:spacing w:before="72" w:beforeLines="30" w:after="72" w:afterLines="30"/>
        <w:ind w:left="0" w:firstLine="0"/>
        <w:jc w:val="both"/>
        <w:rPr>
          <w:rFonts w:eastAsia="Arial"/>
          <w:szCs w:val="24"/>
        </w:rPr>
      </w:pPr>
      <w:r>
        <w:rPr>
          <w:rFonts w:eastAsia="Arial"/>
          <w:szCs w:val="24"/>
        </w:rPr>
        <w:t>praticar ato fraudulento na execução do contrato;</w:t>
      </w:r>
    </w:p>
    <w:p w14:paraId="1B18B413">
      <w:pPr>
        <w:numPr>
          <w:ilvl w:val="2"/>
          <w:numId w:val="14"/>
        </w:numPr>
        <w:tabs>
          <w:tab w:val="left" w:pos="142"/>
          <w:tab w:val="left" w:pos="284"/>
        </w:tabs>
        <w:spacing w:before="72" w:beforeLines="30" w:after="72" w:afterLines="30"/>
        <w:ind w:left="0" w:firstLine="0"/>
        <w:jc w:val="both"/>
        <w:rPr>
          <w:rFonts w:eastAsia="Arial"/>
          <w:szCs w:val="24"/>
        </w:rPr>
      </w:pPr>
      <w:r>
        <w:rPr>
          <w:rFonts w:eastAsia="Arial"/>
          <w:szCs w:val="24"/>
        </w:rPr>
        <w:t>comportar-se de modo inidôneo ou cometer fraude de qualquer natureza;</w:t>
      </w:r>
    </w:p>
    <w:p w14:paraId="1DC0F819">
      <w:pPr>
        <w:numPr>
          <w:ilvl w:val="2"/>
          <w:numId w:val="14"/>
        </w:numPr>
        <w:tabs>
          <w:tab w:val="left" w:pos="284"/>
        </w:tabs>
        <w:spacing w:before="72" w:beforeLines="30" w:after="72" w:afterLines="30"/>
        <w:ind w:left="0" w:firstLine="0"/>
        <w:jc w:val="both"/>
        <w:rPr>
          <w:rFonts w:eastAsia="Arial"/>
          <w:szCs w:val="24"/>
        </w:rPr>
      </w:pPr>
      <w:r>
        <w:rPr>
          <w:rFonts w:eastAsia="Arial"/>
          <w:szCs w:val="24"/>
        </w:rPr>
        <w:t xml:space="preserve">praticar ato lesivo previsto no </w:t>
      </w:r>
      <w:r>
        <w:fldChar w:fldCharType="begin"/>
      </w:r>
      <w:r>
        <w:instrText xml:space="preserve"> HYPERLINK "https://www.planalto.gov.br/ccivil_03/_ato2011-2014/2013/lei/l12846.htm" \l "art5" </w:instrText>
      </w:r>
      <w:r>
        <w:fldChar w:fldCharType="separate"/>
      </w:r>
      <w:r>
        <w:rPr>
          <w:rStyle w:val="17"/>
          <w:rFonts w:eastAsia="Arial"/>
          <w:szCs w:val="24"/>
        </w:rPr>
        <w:t>art. 5º da Lei nº 12.846, de 1º de agosto de 2013</w:t>
      </w:r>
      <w:r>
        <w:rPr>
          <w:rStyle w:val="17"/>
          <w:rFonts w:eastAsia="Arial"/>
          <w:szCs w:val="24"/>
        </w:rPr>
        <w:fldChar w:fldCharType="end"/>
      </w:r>
      <w:r>
        <w:rPr>
          <w:rFonts w:eastAsia="Arial"/>
          <w:szCs w:val="24"/>
        </w:rPr>
        <w:t>.</w:t>
      </w:r>
    </w:p>
    <w:p w14:paraId="0EFA9D98">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10.2 Serão aplicadas ao contratado que incorrer nas infrações acima descritas as seguintes sanções:</w:t>
      </w:r>
    </w:p>
    <w:p w14:paraId="3F7C80C6">
      <w:pPr>
        <w:spacing w:before="72" w:beforeLines="30" w:after="72" w:afterLines="30"/>
        <w:jc w:val="both"/>
        <w:rPr>
          <w:rFonts w:eastAsia="Arial"/>
          <w:szCs w:val="24"/>
        </w:rPr>
      </w:pPr>
      <w:r>
        <w:rPr>
          <w:rFonts w:eastAsia="Arial"/>
          <w:szCs w:val="24"/>
        </w:rPr>
        <w:t>10.2.1 Advertência, quando o contratado der causa à inexecução parcial do contrato, sempre que não se justificar a imposição de penalidade mais grave (</w:t>
      </w:r>
      <w:r>
        <w:fldChar w:fldCharType="begin"/>
      </w:r>
      <w:r>
        <w:instrText xml:space="preserve"> HYPERLINK "http://www.planalto.gov.br/ccivil_03/_ato2019-2022/2021/lei/L14133.htm" \l "art156§2" </w:instrText>
      </w:r>
      <w:r>
        <w:fldChar w:fldCharType="separate"/>
      </w:r>
      <w:r>
        <w:rPr>
          <w:rStyle w:val="17"/>
          <w:rFonts w:eastAsia="Arial"/>
          <w:szCs w:val="24"/>
        </w:rPr>
        <w:t xml:space="preserve">art. 156, §2º, da </w:t>
      </w:r>
      <w:bookmarkStart w:id="16" w:name="_Hlk114504069"/>
      <w:r>
        <w:rPr>
          <w:rStyle w:val="17"/>
          <w:rFonts w:eastAsia="Arial"/>
          <w:szCs w:val="24"/>
        </w:rPr>
        <w:t>Lei nº 14.133, de 2021</w:t>
      </w:r>
      <w:bookmarkEnd w:id="16"/>
      <w:r>
        <w:rPr>
          <w:rStyle w:val="17"/>
          <w:rFonts w:eastAsia="Arial"/>
          <w:szCs w:val="24"/>
        </w:rPr>
        <w:fldChar w:fldCharType="end"/>
      </w:r>
      <w:r>
        <w:rPr>
          <w:rFonts w:eastAsia="Arial"/>
          <w:szCs w:val="24"/>
        </w:rPr>
        <w:t>);</w:t>
      </w:r>
    </w:p>
    <w:p w14:paraId="2664FA62">
      <w:pPr>
        <w:spacing w:before="72" w:beforeLines="30" w:after="72" w:afterLines="30"/>
        <w:jc w:val="both"/>
        <w:rPr>
          <w:rFonts w:eastAsia="Arial"/>
          <w:szCs w:val="24"/>
        </w:rPr>
      </w:pPr>
      <w:r>
        <w:rPr>
          <w:rFonts w:eastAsia="Arial"/>
          <w:szCs w:val="24"/>
        </w:rPr>
        <w:t>10.2.2. Impedimento de licitar e contratar, quando praticadas as condutas descritas nas alíneas “b”, “c” e “d” do subitem acima deste Contrato, sempre que não se justificar a imposição de penalidade mais grave (</w:t>
      </w:r>
      <w:r>
        <w:fldChar w:fldCharType="begin"/>
      </w:r>
      <w:r>
        <w:instrText xml:space="preserve"> HYPERLINK "http://www.planalto.gov.br/ccivil_03/_ato2019-2022/2021/lei/L14133.htm" \l "art156§4" </w:instrText>
      </w:r>
      <w:r>
        <w:fldChar w:fldCharType="separate"/>
      </w:r>
      <w:r>
        <w:rPr>
          <w:rStyle w:val="17"/>
          <w:rFonts w:eastAsia="Arial"/>
          <w:szCs w:val="24"/>
        </w:rPr>
        <w:t>art. 156, § 4º, da Lei nº 14.133, de 2021</w:t>
      </w:r>
      <w:r>
        <w:rPr>
          <w:rStyle w:val="17"/>
          <w:rFonts w:eastAsia="Arial"/>
          <w:szCs w:val="24"/>
        </w:rPr>
        <w:fldChar w:fldCharType="end"/>
      </w:r>
      <w:r>
        <w:rPr>
          <w:rFonts w:eastAsia="Arial"/>
          <w:szCs w:val="24"/>
        </w:rPr>
        <w:t>);</w:t>
      </w:r>
    </w:p>
    <w:p w14:paraId="0AE63BE6">
      <w:pPr>
        <w:spacing w:before="72" w:beforeLines="30" w:after="72" w:afterLines="30"/>
        <w:jc w:val="both"/>
        <w:rPr>
          <w:rFonts w:eastAsia="Arial"/>
          <w:szCs w:val="24"/>
        </w:rPr>
      </w:pPr>
      <w:r>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r>
        <w:fldChar w:fldCharType="begin"/>
      </w:r>
      <w:r>
        <w:instrText xml:space="preserve"> HYPERLINK "http://www.planalto.gov.br/ccivil_03/_ato2019-2022/2021/lei/L14133.htm" \l "art156§5" </w:instrText>
      </w:r>
      <w:r>
        <w:fldChar w:fldCharType="separate"/>
      </w:r>
      <w:r>
        <w:rPr>
          <w:rStyle w:val="17"/>
          <w:rFonts w:eastAsia="Arial"/>
          <w:szCs w:val="24"/>
        </w:rPr>
        <w:t>art. 156, §5º, da Lei nº 14.133, de 2021</w:t>
      </w:r>
      <w:r>
        <w:rPr>
          <w:rStyle w:val="17"/>
          <w:rFonts w:eastAsia="Arial"/>
          <w:szCs w:val="24"/>
        </w:rPr>
        <w:fldChar w:fldCharType="end"/>
      </w:r>
      <w:r>
        <w:rPr>
          <w:rFonts w:eastAsia="Arial"/>
          <w:szCs w:val="24"/>
        </w:rPr>
        <w:t>).</w:t>
      </w:r>
    </w:p>
    <w:p w14:paraId="3D94A62B">
      <w:pPr>
        <w:pStyle w:val="82"/>
        <w:numPr>
          <w:ilvl w:val="0"/>
          <w:numId w:val="0"/>
        </w:numPr>
        <w:suppressAutoHyphens/>
        <w:spacing w:before="72" w:beforeLines="30" w:after="72" w:afterLines="30" w:line="240" w:lineRule="auto"/>
        <w:rPr>
          <w:rFonts w:ascii="Times New Roman" w:hAnsi="Times New Roman" w:eastAsia="Arial" w:cs="Times New Roman"/>
          <w:sz w:val="24"/>
          <w:szCs w:val="24"/>
        </w:rPr>
      </w:pPr>
      <w:r>
        <w:rPr>
          <w:rFonts w:ascii="Times New Roman" w:hAnsi="Times New Roman" w:eastAsia="Arial" w:cs="Times New Roman"/>
          <w:sz w:val="24"/>
          <w:szCs w:val="24"/>
        </w:rPr>
        <w:t>10.3 Multa:</w:t>
      </w:r>
    </w:p>
    <w:p w14:paraId="0AB7A1A2">
      <w:pPr>
        <w:pStyle w:val="83"/>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10.3.1 Moratória de 5% (cinco por cento) por dia de atraso injustificado sobre o valor da parcela inadimplida, até o limite de 30</w:t>
      </w:r>
      <w:r>
        <w:rPr>
          <w:rFonts w:ascii="Times New Roman" w:hAnsi="Times New Roman" w:cs="Times New Roman"/>
          <w:color w:val="FF0000"/>
          <w:sz w:val="24"/>
          <w:szCs w:val="24"/>
        </w:rPr>
        <w:t xml:space="preserve"> </w:t>
      </w:r>
      <w:r>
        <w:rPr>
          <w:rFonts w:ascii="Times New Roman" w:hAnsi="Times New Roman" w:cs="Times New Roman"/>
          <w:sz w:val="24"/>
          <w:szCs w:val="24"/>
        </w:rPr>
        <w:t>(trinta) dias;</w:t>
      </w:r>
    </w:p>
    <w:p w14:paraId="41C06771">
      <w:pPr>
        <w:pStyle w:val="82"/>
        <w:numPr>
          <w:ilvl w:val="0"/>
          <w:numId w:val="0"/>
        </w:numPr>
        <w:spacing w:before="72" w:beforeLines="30" w:after="72" w:afterLines="30" w:line="240" w:lineRule="auto"/>
        <w:rPr>
          <w:rFonts w:ascii="Times New Roman" w:hAnsi="Times New Roman" w:eastAsia="Arial" w:cs="Times New Roman"/>
          <w:color w:val="auto"/>
          <w:sz w:val="24"/>
          <w:szCs w:val="24"/>
        </w:rPr>
      </w:pPr>
      <w:r>
        <w:rPr>
          <w:rFonts w:ascii="Times New Roman" w:hAnsi="Times New Roman" w:eastAsia="Arial"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6EB31449">
      <w:pPr>
        <w:pStyle w:val="80"/>
        <w:numPr>
          <w:ilvl w:val="0"/>
          <w:numId w:val="0"/>
        </w:numPr>
        <w:spacing w:before="72" w:beforeLines="30" w:after="72" w:afterLines="30" w:line="240" w:lineRule="auto"/>
        <w:rPr>
          <w:rFonts w:ascii="Times New Roman" w:hAnsi="Times New Roman" w:eastAsia="Arial"/>
          <w:sz w:val="24"/>
          <w:szCs w:val="24"/>
        </w:rPr>
      </w:pPr>
      <w:r>
        <w:rPr>
          <w:rFonts w:ascii="Times New Roman" w:hAnsi="Times New Roman" w:eastAsia="Arial"/>
          <w:sz w:val="24"/>
          <w:szCs w:val="24"/>
        </w:rPr>
        <w:t xml:space="preserve">10.3.2 Compensatória de 10% (dez por cento) do valor do contrato. </w:t>
      </w:r>
    </w:p>
    <w:p w14:paraId="67679101">
      <w:pPr>
        <w:pStyle w:val="80"/>
        <w:numPr>
          <w:ilvl w:val="0"/>
          <w:numId w:val="0"/>
        </w:numPr>
        <w:spacing w:before="72" w:beforeLines="30" w:after="72" w:afterLines="30" w:line="240" w:lineRule="auto"/>
        <w:rPr>
          <w:rFonts w:ascii="Times New Roman" w:hAnsi="Times New Roman" w:eastAsia="Arial"/>
          <w:sz w:val="24"/>
          <w:szCs w:val="24"/>
        </w:rPr>
      </w:pPr>
      <w:r>
        <w:rPr>
          <w:rFonts w:ascii="Times New Roman" w:hAnsi="Times New Roman" w:eastAsia="Arial"/>
          <w:sz w:val="24"/>
          <w:szCs w:val="24"/>
        </w:rPr>
        <w:t xml:space="preserve">10.4 </w:t>
      </w:r>
      <w:r>
        <w:rPr>
          <w:rFonts w:ascii="Times New Roman" w:hAnsi="Times New Roman"/>
          <w:sz w:val="24"/>
          <w:szCs w:val="24"/>
        </w:rPr>
        <w:t>A aplicação das sanções previstas neste Contrato não exclui, em hipótese alguma, a obrigação de reparação integral do dano causado ao Contratante (</w:t>
      </w:r>
      <w:r>
        <w:fldChar w:fldCharType="begin"/>
      </w:r>
      <w:r>
        <w:instrText xml:space="preserve"> HYPERLINK "http://www.planalto.gov.br/ccivil_03/_ato2019-2022/2021/lei/L14133.htm" \l "art156§9" </w:instrText>
      </w:r>
      <w:r>
        <w:fldChar w:fldCharType="separate"/>
      </w:r>
      <w:r>
        <w:rPr>
          <w:rStyle w:val="17"/>
          <w:rFonts w:ascii="Times New Roman" w:hAnsi="Times New Roman"/>
          <w:sz w:val="24"/>
          <w:szCs w:val="24"/>
        </w:rPr>
        <w:t>art. 156, §9º, da Lei nº 14.133, de 2021</w:t>
      </w:r>
      <w:r>
        <w:rPr>
          <w:rStyle w:val="17"/>
          <w:rFonts w:ascii="Times New Roman" w:hAnsi="Times New Roman"/>
          <w:sz w:val="24"/>
          <w:szCs w:val="24"/>
        </w:rPr>
        <w:fldChar w:fldCharType="end"/>
      </w:r>
      <w:r>
        <w:rPr>
          <w:rFonts w:ascii="Times New Roman" w:hAnsi="Times New Roman"/>
          <w:sz w:val="24"/>
          <w:szCs w:val="24"/>
        </w:rPr>
        <w:t>)</w:t>
      </w:r>
    </w:p>
    <w:p w14:paraId="0B32C542">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10.5 Todas as sanções previstas neste Contrato poderão ser aplicadas cumulativamente com a multa (</w:t>
      </w:r>
      <w:r>
        <w:fldChar w:fldCharType="begin"/>
      </w:r>
      <w:r>
        <w:instrText xml:space="preserve"> HYPERLINK "http://www.planalto.gov.br/ccivil_03/_ato2019-2022/2021/lei/L14133.htm" \l "art156§7" </w:instrText>
      </w:r>
      <w:r>
        <w:fldChar w:fldCharType="separate"/>
      </w:r>
      <w:r>
        <w:rPr>
          <w:rStyle w:val="17"/>
          <w:rFonts w:ascii="Times New Roman" w:hAnsi="Times New Roman" w:cs="Times New Roman"/>
          <w:sz w:val="24"/>
          <w:szCs w:val="24"/>
        </w:rPr>
        <w:t>art. 156, §7º, da Lei nº 14.133, de 2021</w:t>
      </w:r>
      <w:r>
        <w:rPr>
          <w:rStyle w:val="17"/>
          <w:rFonts w:ascii="Times New Roman" w:hAnsi="Times New Roman" w:cs="Times New Roman"/>
          <w:sz w:val="24"/>
          <w:szCs w:val="24"/>
        </w:rPr>
        <w:fldChar w:fldCharType="end"/>
      </w:r>
      <w:r>
        <w:rPr>
          <w:rFonts w:ascii="Times New Roman" w:hAnsi="Times New Roman" w:cs="Times New Roman"/>
          <w:sz w:val="24"/>
          <w:szCs w:val="24"/>
        </w:rPr>
        <w:t>).</w:t>
      </w:r>
    </w:p>
    <w:p w14:paraId="35C62C0D">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10.6 Antes da aplicação da multa será facultada a defesa do interessado no prazo de 15 (quinze) dias úteis, contado da data de sua intimação (</w:t>
      </w:r>
      <w:r>
        <w:fldChar w:fldCharType="begin"/>
      </w:r>
      <w:r>
        <w:instrText xml:space="preserve"> HYPERLINK "http://www.planalto.gov.br/ccivil_03/_ato2019-2022/2021/lei/L14133.htm" \l "art157" </w:instrText>
      </w:r>
      <w:r>
        <w:fldChar w:fldCharType="separate"/>
      </w:r>
      <w:r>
        <w:rPr>
          <w:rStyle w:val="17"/>
          <w:rFonts w:ascii="Times New Roman" w:hAnsi="Times New Roman" w:cs="Times New Roman"/>
          <w:sz w:val="24"/>
          <w:szCs w:val="24"/>
        </w:rPr>
        <w:t>art. 157, da Lei nº 14.133, de 2021</w:t>
      </w:r>
      <w:r>
        <w:rPr>
          <w:rStyle w:val="17"/>
          <w:rFonts w:ascii="Times New Roman" w:hAnsi="Times New Roman" w:cs="Times New Roman"/>
          <w:sz w:val="24"/>
          <w:szCs w:val="24"/>
        </w:rPr>
        <w:fldChar w:fldCharType="end"/>
      </w:r>
      <w:r>
        <w:rPr>
          <w:rFonts w:ascii="Times New Roman" w:hAnsi="Times New Roman" w:cs="Times New Roman"/>
          <w:sz w:val="24"/>
          <w:szCs w:val="24"/>
        </w:rPr>
        <w:t>)</w:t>
      </w:r>
    </w:p>
    <w:p w14:paraId="0E94B59C">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instrText xml:space="preserve"> HYPERLINK "http://www.planalto.gov.br/ccivil_03/_ato2019-2022/2021/lei/L14133.htm" \l "art156§8" </w:instrText>
      </w:r>
      <w:r>
        <w:fldChar w:fldCharType="separate"/>
      </w:r>
      <w:r>
        <w:rPr>
          <w:rStyle w:val="17"/>
          <w:rFonts w:ascii="Times New Roman" w:hAnsi="Times New Roman" w:cs="Times New Roman"/>
          <w:sz w:val="24"/>
          <w:szCs w:val="24"/>
        </w:rPr>
        <w:t>art. 156, §8º, da Lei nº 14.133, de 2021</w:t>
      </w:r>
      <w:r>
        <w:rPr>
          <w:rStyle w:val="17"/>
          <w:rFonts w:ascii="Times New Roman" w:hAnsi="Times New Roman" w:cs="Times New Roman"/>
          <w:sz w:val="24"/>
          <w:szCs w:val="24"/>
        </w:rPr>
        <w:fldChar w:fldCharType="end"/>
      </w:r>
      <w:r>
        <w:rPr>
          <w:rFonts w:ascii="Times New Roman" w:hAnsi="Times New Roman" w:cs="Times New Roman"/>
          <w:sz w:val="24"/>
          <w:szCs w:val="24"/>
        </w:rPr>
        <w:t>).</w:t>
      </w:r>
    </w:p>
    <w:p w14:paraId="7A07CEB3">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10.7.1 Previamente ao encaminhamento à cobrança judicial, a multa poderá ser recolhida administrativamente no prazo máximo de 30 (trinta) dias, a contar da data do recebimento da comunicação enviada pela autoridade competente.</w:t>
      </w:r>
      <w:bookmarkStart w:id="17" w:name="_Hlk78351618"/>
      <w:bookmarkEnd w:id="17"/>
    </w:p>
    <w:p w14:paraId="1891AF9A">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Pr>
          <w:rFonts w:ascii="Times New Roman" w:hAnsi="Times New Roman"/>
          <w:b/>
          <w:bCs/>
          <w:sz w:val="24"/>
          <w:szCs w:val="24"/>
        </w:rPr>
        <w:t xml:space="preserve">caput </w:t>
      </w:r>
      <w:r>
        <w:rPr>
          <w:rFonts w:ascii="Times New Roman" w:hAnsi="Times New Roman"/>
          <w:sz w:val="24"/>
          <w:szCs w:val="24"/>
        </w:rPr>
        <w:t xml:space="preserve">e parágrafos do </w:t>
      </w:r>
      <w:r>
        <w:fldChar w:fldCharType="begin"/>
      </w:r>
      <w:r>
        <w:instrText xml:space="preserve"> HYPERLINK "http://www.planalto.gov.br/ccivil_03/_ato2019-2022/2021/lei/L14133.htm" \l "art158" </w:instrText>
      </w:r>
      <w:r>
        <w:fldChar w:fldCharType="separate"/>
      </w:r>
      <w:r>
        <w:rPr>
          <w:rStyle w:val="17"/>
          <w:rFonts w:ascii="Times New Roman" w:hAnsi="Times New Roman"/>
          <w:sz w:val="24"/>
          <w:szCs w:val="24"/>
        </w:rPr>
        <w:t>art. 158 da Lei nº 14.133, de 2021</w:t>
      </w:r>
      <w:r>
        <w:rPr>
          <w:rStyle w:val="17"/>
          <w:rFonts w:ascii="Times New Roman" w:hAnsi="Times New Roman"/>
          <w:sz w:val="24"/>
          <w:szCs w:val="24"/>
        </w:rPr>
        <w:fldChar w:fldCharType="end"/>
      </w:r>
      <w:r>
        <w:rPr>
          <w:rStyle w:val="17"/>
          <w:rFonts w:ascii="Times New Roman" w:hAnsi="Times New Roman"/>
          <w:sz w:val="24"/>
          <w:szCs w:val="24"/>
        </w:rPr>
        <w:t xml:space="preserve"> e Decreto Municipal n. 133/2024)</w:t>
      </w:r>
      <w:r>
        <w:rPr>
          <w:rFonts w:ascii="Times New Roman" w:hAnsi="Times New Roman"/>
          <w:sz w:val="24"/>
          <w:szCs w:val="24"/>
        </w:rPr>
        <w:t>, para as penalidades de impedimento de licitar e contratar e de declaração de inidoneidade para licitar ou contratar.</w:t>
      </w:r>
    </w:p>
    <w:p w14:paraId="280A631D">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10.9 Na aplicação das sanções serão considerados (</w:t>
      </w:r>
      <w:r>
        <w:fldChar w:fldCharType="begin"/>
      </w:r>
      <w:r>
        <w:instrText xml:space="preserve"> HYPERLINK "http://www.planalto.gov.br/ccivil_03/_ato2019-2022/2021/lei/L14133.htm" \l "art156§1" </w:instrText>
      </w:r>
      <w:r>
        <w:fldChar w:fldCharType="separate"/>
      </w:r>
      <w:r>
        <w:rPr>
          <w:rStyle w:val="17"/>
          <w:rFonts w:ascii="Times New Roman" w:hAnsi="Times New Roman"/>
          <w:sz w:val="24"/>
          <w:szCs w:val="24"/>
        </w:rPr>
        <w:t>art. 156, §1º, da Lei nº 14.133, de 2021</w:t>
      </w:r>
      <w:r>
        <w:rPr>
          <w:rStyle w:val="17"/>
          <w:rFonts w:ascii="Times New Roman" w:hAnsi="Times New Roman"/>
          <w:sz w:val="24"/>
          <w:szCs w:val="24"/>
        </w:rPr>
        <w:fldChar w:fldCharType="end"/>
      </w:r>
      <w:r>
        <w:rPr>
          <w:rFonts w:ascii="Times New Roman" w:hAnsi="Times New Roman"/>
          <w:sz w:val="24"/>
          <w:szCs w:val="24"/>
        </w:rPr>
        <w:t>):</w:t>
      </w:r>
    </w:p>
    <w:p w14:paraId="318923E8">
      <w:pPr>
        <w:numPr>
          <w:ilvl w:val="0"/>
          <w:numId w:val="15"/>
        </w:numPr>
        <w:tabs>
          <w:tab w:val="left" w:pos="284"/>
        </w:tabs>
        <w:spacing w:before="72" w:beforeLines="30" w:after="72" w:afterLines="30"/>
        <w:ind w:left="0" w:firstLine="0"/>
        <w:contextualSpacing/>
        <w:jc w:val="both"/>
        <w:rPr>
          <w:rFonts w:eastAsia="Arial"/>
          <w:szCs w:val="24"/>
        </w:rPr>
      </w:pPr>
      <w:r>
        <w:rPr>
          <w:rFonts w:eastAsia="Arial"/>
          <w:szCs w:val="24"/>
        </w:rPr>
        <w:t>a natureza e a gravidade da infração cometida;</w:t>
      </w:r>
    </w:p>
    <w:p w14:paraId="753342FC">
      <w:pPr>
        <w:numPr>
          <w:ilvl w:val="0"/>
          <w:numId w:val="15"/>
        </w:numPr>
        <w:tabs>
          <w:tab w:val="left" w:pos="284"/>
        </w:tabs>
        <w:spacing w:before="72" w:beforeLines="30" w:after="72" w:afterLines="30"/>
        <w:ind w:left="0" w:firstLine="0"/>
        <w:contextualSpacing/>
        <w:jc w:val="both"/>
        <w:rPr>
          <w:rFonts w:eastAsia="Arial"/>
          <w:szCs w:val="24"/>
        </w:rPr>
      </w:pPr>
      <w:r>
        <w:rPr>
          <w:rFonts w:eastAsia="Arial"/>
          <w:szCs w:val="24"/>
        </w:rPr>
        <w:t>as peculiaridades do caso concreto;</w:t>
      </w:r>
    </w:p>
    <w:p w14:paraId="4A9DB73B">
      <w:pPr>
        <w:numPr>
          <w:ilvl w:val="0"/>
          <w:numId w:val="15"/>
        </w:numPr>
        <w:tabs>
          <w:tab w:val="left" w:pos="284"/>
        </w:tabs>
        <w:spacing w:before="72" w:beforeLines="30" w:after="72" w:afterLines="30"/>
        <w:ind w:left="0" w:firstLine="0"/>
        <w:contextualSpacing/>
        <w:jc w:val="both"/>
        <w:rPr>
          <w:rFonts w:eastAsia="Arial"/>
          <w:szCs w:val="24"/>
        </w:rPr>
      </w:pPr>
      <w:r>
        <w:rPr>
          <w:rFonts w:eastAsia="Arial"/>
          <w:szCs w:val="24"/>
        </w:rPr>
        <w:t>as circunstâncias agravantes ou atenuantes;</w:t>
      </w:r>
    </w:p>
    <w:p w14:paraId="1F8B2BAD">
      <w:pPr>
        <w:numPr>
          <w:ilvl w:val="0"/>
          <w:numId w:val="15"/>
        </w:numPr>
        <w:tabs>
          <w:tab w:val="left" w:pos="284"/>
        </w:tabs>
        <w:spacing w:before="72" w:beforeLines="30" w:after="72" w:afterLines="30"/>
        <w:ind w:left="0" w:firstLine="0"/>
        <w:contextualSpacing/>
        <w:jc w:val="both"/>
        <w:rPr>
          <w:rFonts w:eastAsia="Arial"/>
          <w:szCs w:val="24"/>
        </w:rPr>
      </w:pPr>
      <w:r>
        <w:rPr>
          <w:rFonts w:eastAsia="Arial"/>
          <w:szCs w:val="24"/>
        </w:rPr>
        <w:t>os danos que dela provierem para o Contratante;</w:t>
      </w:r>
    </w:p>
    <w:p w14:paraId="39174C23">
      <w:pPr>
        <w:numPr>
          <w:ilvl w:val="0"/>
          <w:numId w:val="15"/>
        </w:numPr>
        <w:tabs>
          <w:tab w:val="left" w:pos="284"/>
        </w:tabs>
        <w:spacing w:before="72" w:beforeLines="30" w:after="72" w:afterLines="30"/>
        <w:ind w:left="0" w:firstLine="0"/>
        <w:contextualSpacing/>
        <w:jc w:val="both"/>
        <w:rPr>
          <w:rFonts w:eastAsia="Arial"/>
          <w:szCs w:val="24"/>
        </w:rPr>
      </w:pPr>
      <w:r>
        <w:rPr>
          <w:rFonts w:eastAsia="Arial"/>
          <w:szCs w:val="24"/>
        </w:rPr>
        <w:t>a implantação ou o aperfeiçoamento de programa de integridade, conforme normas e orientações dos órgãos de controle.</w:t>
      </w:r>
    </w:p>
    <w:p w14:paraId="4DD0AEB5">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10.10 Os atos previstos como infrações administrativas na </w:t>
      </w:r>
      <w:r>
        <w:fldChar w:fldCharType="begin"/>
      </w:r>
      <w:r>
        <w:instrText xml:space="preserve"> HYPERLINK "http://www.planalto.gov.br/ccivil_03/_ato2019-2022/2021/lei/L14133.htm" </w:instrText>
      </w:r>
      <w:r>
        <w:fldChar w:fldCharType="separate"/>
      </w:r>
      <w:r>
        <w:rPr>
          <w:rStyle w:val="17"/>
          <w:rFonts w:ascii="Times New Roman" w:hAnsi="Times New Roman"/>
          <w:sz w:val="24"/>
          <w:szCs w:val="24"/>
        </w:rPr>
        <w:t>Lei nº 14.133, de 2021</w:t>
      </w:r>
      <w:r>
        <w:rPr>
          <w:rStyle w:val="17"/>
          <w:rFonts w:ascii="Times New Roman" w:hAnsi="Times New Roman"/>
          <w:sz w:val="24"/>
          <w:szCs w:val="24"/>
        </w:rPr>
        <w:fldChar w:fldCharType="end"/>
      </w:r>
      <w:r>
        <w:rPr>
          <w:rFonts w:ascii="Times New Roman" w:hAnsi="Times New Roman"/>
          <w:sz w:val="24"/>
          <w:szCs w:val="24"/>
        </w:rPr>
        <w:t xml:space="preserve">, ou em outras leis de licitações e contratos da Administração Pública que também sejam tipificados como atos lesivos na </w:t>
      </w:r>
      <w:r>
        <w:fldChar w:fldCharType="begin"/>
      </w:r>
      <w:r>
        <w:instrText xml:space="preserve"> HYPERLINK "https://www.planalto.gov.br/ccivil_03/_ato2011-2014/2013/lei/l12846.htm" </w:instrText>
      </w:r>
      <w:r>
        <w:fldChar w:fldCharType="separate"/>
      </w:r>
      <w:r>
        <w:rPr>
          <w:rStyle w:val="17"/>
          <w:rFonts w:ascii="Times New Roman" w:hAnsi="Times New Roman"/>
          <w:sz w:val="24"/>
          <w:szCs w:val="24"/>
        </w:rPr>
        <w:t>Lei nº 12.846, de 2013</w:t>
      </w:r>
      <w:r>
        <w:rPr>
          <w:rStyle w:val="17"/>
          <w:rFonts w:ascii="Times New Roman" w:hAnsi="Times New Roman"/>
          <w:sz w:val="24"/>
          <w:szCs w:val="24"/>
        </w:rPr>
        <w:fldChar w:fldCharType="end"/>
      </w:r>
      <w:r>
        <w:rPr>
          <w:rFonts w:ascii="Times New Roman" w:hAnsi="Times New Roman"/>
          <w:sz w:val="24"/>
          <w:szCs w:val="24"/>
        </w:rPr>
        <w:t>, serão apurados e julgados conjuntamente, nos mesmos autos, observados o rito procedimental e autoridade competente definidos na referida Lei (</w:t>
      </w:r>
      <w:r>
        <w:fldChar w:fldCharType="begin"/>
      </w:r>
      <w:r>
        <w:instrText xml:space="preserve"> HYPERLINK "http://www.planalto.gov.br/ccivil_03/_ato2019-2022/2021/lei/L14133.htm%25art159" </w:instrText>
      </w:r>
      <w:r>
        <w:fldChar w:fldCharType="separate"/>
      </w:r>
      <w:r>
        <w:rPr>
          <w:rStyle w:val="17"/>
          <w:rFonts w:ascii="Times New Roman" w:hAnsi="Times New Roman"/>
          <w:sz w:val="24"/>
          <w:szCs w:val="24"/>
        </w:rPr>
        <w:t>art. 159</w:t>
      </w:r>
      <w:r>
        <w:rPr>
          <w:rStyle w:val="17"/>
          <w:rFonts w:ascii="Times New Roman" w:hAnsi="Times New Roman"/>
          <w:sz w:val="24"/>
          <w:szCs w:val="24"/>
        </w:rPr>
        <w:fldChar w:fldCharType="end"/>
      </w:r>
      <w:r>
        <w:rPr>
          <w:rFonts w:ascii="Times New Roman" w:hAnsi="Times New Roman"/>
          <w:sz w:val="24"/>
          <w:szCs w:val="24"/>
        </w:rPr>
        <w:t>).</w:t>
      </w:r>
    </w:p>
    <w:p w14:paraId="59CB4758">
      <w:pPr>
        <w:pStyle w:val="80"/>
        <w:numPr>
          <w:ilvl w:val="0"/>
          <w:numId w:val="0"/>
        </w:numPr>
        <w:spacing w:before="72" w:beforeLines="30" w:after="72" w:afterLines="30" w:line="240" w:lineRule="auto"/>
        <w:rPr>
          <w:rFonts w:ascii="Times New Roman" w:hAnsi="Times New Roman"/>
          <w:i/>
          <w:iCs/>
          <w:sz w:val="24"/>
          <w:szCs w:val="24"/>
        </w:rPr>
      </w:pPr>
      <w:r>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instrText xml:space="preserve"> HYPERLINK "http://www.planalto.gov.br/ccivil_03/_ato2019-2022/2021/lei/L14133.htm" \l "art160" </w:instrText>
      </w:r>
      <w:r>
        <w:fldChar w:fldCharType="separate"/>
      </w:r>
      <w:r>
        <w:rPr>
          <w:rStyle w:val="17"/>
          <w:rFonts w:ascii="Times New Roman" w:hAnsi="Times New Roman"/>
          <w:sz w:val="24"/>
          <w:szCs w:val="24"/>
        </w:rPr>
        <w:t>art. 160, da Lei nº 14.133, de 2021</w:t>
      </w:r>
      <w:r>
        <w:rPr>
          <w:rStyle w:val="17"/>
          <w:rFonts w:ascii="Times New Roman" w:hAnsi="Times New Roman"/>
          <w:sz w:val="24"/>
          <w:szCs w:val="24"/>
        </w:rPr>
        <w:fldChar w:fldCharType="end"/>
      </w:r>
      <w:r>
        <w:rPr>
          <w:rFonts w:ascii="Times New Roman" w:hAnsi="Times New Roman"/>
          <w:sz w:val="24"/>
          <w:szCs w:val="24"/>
        </w:rPr>
        <w:t>).</w:t>
      </w:r>
    </w:p>
    <w:p w14:paraId="667CE2E4">
      <w:pPr>
        <w:pStyle w:val="80"/>
        <w:numPr>
          <w:ilvl w:val="0"/>
          <w:numId w:val="0"/>
        </w:numPr>
        <w:spacing w:before="72" w:beforeLines="30" w:after="72" w:afterLines="30" w:line="240" w:lineRule="auto"/>
        <w:rPr>
          <w:rFonts w:ascii="Times New Roman" w:hAnsi="Times New Roman"/>
          <w:i/>
          <w:iCs/>
          <w:sz w:val="24"/>
          <w:szCs w:val="24"/>
        </w:rPr>
      </w:pPr>
      <w:r>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instrText xml:space="preserve"> HYPERLINK "http://www.planalto.gov.br/ccivil_03/_ato2019-2022/2021/lei/L14133.htm" \l "art161" </w:instrText>
      </w:r>
      <w:r>
        <w:fldChar w:fldCharType="separate"/>
      </w:r>
      <w:r>
        <w:rPr>
          <w:rStyle w:val="17"/>
          <w:rFonts w:ascii="Times New Roman" w:hAnsi="Times New Roman"/>
          <w:sz w:val="24"/>
          <w:szCs w:val="24"/>
        </w:rPr>
        <w:t>Art. 161, da Lei nº 14.133, de 2021</w:t>
      </w:r>
      <w:r>
        <w:rPr>
          <w:rStyle w:val="17"/>
          <w:rFonts w:ascii="Times New Roman" w:hAnsi="Times New Roman"/>
          <w:sz w:val="24"/>
          <w:szCs w:val="24"/>
        </w:rPr>
        <w:fldChar w:fldCharType="end"/>
      </w:r>
      <w:r>
        <w:rPr>
          <w:rFonts w:ascii="Times New Roman" w:hAnsi="Times New Roman"/>
          <w:sz w:val="24"/>
          <w:szCs w:val="24"/>
        </w:rPr>
        <w:t>).</w:t>
      </w:r>
    </w:p>
    <w:p w14:paraId="6019428E">
      <w:pPr>
        <w:pStyle w:val="80"/>
        <w:numPr>
          <w:ilvl w:val="0"/>
          <w:numId w:val="0"/>
        </w:numPr>
        <w:spacing w:before="72" w:beforeLines="30" w:after="72" w:afterLines="30" w:line="240" w:lineRule="auto"/>
        <w:rPr>
          <w:rFonts w:ascii="Times New Roman" w:hAnsi="Times New Roman"/>
          <w:i/>
          <w:iCs/>
          <w:sz w:val="24"/>
          <w:szCs w:val="24"/>
        </w:rPr>
      </w:pPr>
      <w:r>
        <w:rPr>
          <w:rFonts w:ascii="Times New Roman" w:hAnsi="Times New Roman"/>
          <w:sz w:val="24"/>
          <w:szCs w:val="24"/>
        </w:rPr>
        <w:t xml:space="preserve">10.13 As sanções de impedimento de licitar e contratar e declaração de inidoneidade para licitar ou contratar são passíveis de reabilitação na forma do </w:t>
      </w:r>
      <w:r>
        <w:fldChar w:fldCharType="begin"/>
      </w:r>
      <w:r>
        <w:instrText xml:space="preserve"> HYPERLINK "http://www.planalto.gov.br/ccivil_03/_ato2019-2022/2021/lei/L14133.htm" \l "163" </w:instrText>
      </w:r>
      <w:r>
        <w:fldChar w:fldCharType="separate"/>
      </w:r>
      <w:r>
        <w:rPr>
          <w:rStyle w:val="17"/>
          <w:rFonts w:ascii="Times New Roman" w:hAnsi="Times New Roman"/>
          <w:sz w:val="24"/>
          <w:szCs w:val="24"/>
        </w:rPr>
        <w:t>art. 163 da Lei nº 14.133/21</w:t>
      </w:r>
      <w:r>
        <w:rPr>
          <w:rStyle w:val="17"/>
          <w:rFonts w:ascii="Times New Roman" w:hAnsi="Times New Roman"/>
          <w:sz w:val="24"/>
          <w:szCs w:val="24"/>
        </w:rPr>
        <w:fldChar w:fldCharType="end"/>
      </w:r>
      <w:r>
        <w:rPr>
          <w:rFonts w:ascii="Times New Roman" w:hAnsi="Times New Roman"/>
          <w:sz w:val="24"/>
          <w:szCs w:val="24"/>
        </w:rPr>
        <w:t>.</w:t>
      </w:r>
    </w:p>
    <w:p w14:paraId="441B39D9">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r>
        <w:fldChar w:fldCharType="begin"/>
      </w:r>
      <w:r>
        <w:instrText xml:space="preserve"> HYPERLINK "https://www.gov.br/compras/pt-br/acesso-a-informacao/legislacao/instrucoes-normativas/instrucao-normativa-seges-me-no-26-de-13-de-abril-de-2022" </w:instrText>
      </w:r>
      <w:r>
        <w:fldChar w:fldCharType="separate"/>
      </w:r>
      <w:r>
        <w:rPr>
          <w:rStyle w:val="17"/>
          <w:rFonts w:ascii="Times New Roman" w:hAnsi="Times New Roman"/>
          <w:sz w:val="24"/>
          <w:szCs w:val="24"/>
        </w:rPr>
        <w:t>Normativa SEGES/ME nº 26, de 13 de abril de 2022</w:t>
      </w:r>
      <w:r>
        <w:rPr>
          <w:rStyle w:val="17"/>
          <w:rFonts w:ascii="Times New Roman" w:hAnsi="Times New Roman"/>
          <w:sz w:val="24"/>
          <w:szCs w:val="24"/>
        </w:rPr>
        <w:fldChar w:fldCharType="end"/>
      </w:r>
      <w:r>
        <w:rPr>
          <w:rFonts w:ascii="Times New Roman" w:hAnsi="Times New Roman"/>
          <w:sz w:val="24"/>
          <w:szCs w:val="24"/>
        </w:rPr>
        <w:t xml:space="preserve">. </w:t>
      </w:r>
    </w:p>
    <w:p w14:paraId="6D7D0D71">
      <w:pPr>
        <w:spacing w:before="72" w:beforeLines="30" w:after="72" w:afterLines="30"/>
        <w:jc w:val="both"/>
        <w:rPr>
          <w:szCs w:val="24"/>
        </w:rPr>
      </w:pPr>
    </w:p>
    <w:p w14:paraId="71799226">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7B57335B">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5B5A349A">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2EA0CC3E">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11.3 Quando a não conclusão do contrato referida no item anterior decorrer de culpa do contratado:</w:t>
      </w:r>
    </w:p>
    <w:p w14:paraId="69C82742">
      <w:pPr>
        <w:pStyle w:val="49"/>
        <w:numPr>
          <w:ilvl w:val="0"/>
          <w:numId w:val="16"/>
        </w:numPr>
        <w:spacing w:before="72" w:beforeLines="30" w:after="72" w:afterLines="30"/>
        <w:ind w:left="0" w:firstLine="0"/>
        <w:jc w:val="both"/>
        <w:rPr>
          <w:rFonts w:eastAsia="Arial"/>
          <w:iCs/>
          <w:szCs w:val="24"/>
        </w:rPr>
      </w:pPr>
      <w:r>
        <w:rPr>
          <w:rFonts w:eastAsia="Arial"/>
          <w:iCs/>
          <w:szCs w:val="24"/>
        </w:rPr>
        <w:t xml:space="preserve">ficará ele constituído em mora, sendo-lhe aplicáveis as respectivas sanções administrativas; e  </w:t>
      </w:r>
    </w:p>
    <w:p w14:paraId="3E970CC8">
      <w:pPr>
        <w:pStyle w:val="49"/>
        <w:numPr>
          <w:ilvl w:val="0"/>
          <w:numId w:val="16"/>
        </w:numPr>
        <w:tabs>
          <w:tab w:val="left" w:pos="142"/>
          <w:tab w:val="clear" w:pos="0"/>
        </w:tabs>
        <w:spacing w:before="72" w:beforeLines="30" w:after="72" w:afterLines="30"/>
        <w:ind w:left="0" w:firstLine="0"/>
        <w:jc w:val="both"/>
        <w:rPr>
          <w:rFonts w:eastAsia="Arial"/>
          <w:iCs/>
          <w:szCs w:val="24"/>
        </w:rPr>
      </w:pPr>
      <w:r>
        <w:rPr>
          <w:rFonts w:eastAsia="Arial"/>
          <w:iCs/>
          <w:szCs w:val="24"/>
        </w:rPr>
        <w:t>poderá a Administração optar pela extinção do contrato e, nesse caso, adotará as medidas admitidas em lei para a continuidade da execução contratual.</w:t>
      </w:r>
    </w:p>
    <w:p w14:paraId="04A05CFA">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11.4 O contrato poderá ser extinto antes de cumpridas as obrigações nele estipuladas, ou antes do prazo nele fixado, por algum dos motivos previstos no </w:t>
      </w:r>
      <w:r>
        <w:fldChar w:fldCharType="begin"/>
      </w:r>
      <w:r>
        <w:instrText xml:space="preserve"> HYPERLINK "http://www.planalto.gov.br/ccivil_03/_ato2019-2022/2021/lei/L14133.htm" \l "art137" </w:instrText>
      </w:r>
      <w:r>
        <w:fldChar w:fldCharType="separate"/>
      </w:r>
      <w:r>
        <w:rPr>
          <w:rStyle w:val="17"/>
          <w:rFonts w:ascii="Times New Roman" w:hAnsi="Times New Roman"/>
          <w:sz w:val="24"/>
          <w:szCs w:val="24"/>
        </w:rPr>
        <w:t>artigo 137 da Lei nº 14.133/21</w:t>
      </w:r>
      <w:r>
        <w:rPr>
          <w:rStyle w:val="17"/>
          <w:rFonts w:ascii="Times New Roman" w:hAnsi="Times New Roman"/>
          <w:sz w:val="24"/>
          <w:szCs w:val="24"/>
        </w:rPr>
        <w:fldChar w:fldCharType="end"/>
      </w:r>
      <w:r>
        <w:rPr>
          <w:rFonts w:ascii="Times New Roman" w:hAnsi="Times New Roman"/>
          <w:sz w:val="24"/>
          <w:szCs w:val="24"/>
        </w:rPr>
        <w:t xml:space="preserve">, bem como amigavelmente, </w:t>
      </w:r>
      <w:r>
        <w:rPr>
          <w:rFonts w:ascii="Times New Roman" w:hAnsi="Times New Roman"/>
          <w:color w:val="000000" w:themeColor="text1"/>
          <w:sz w:val="24"/>
          <w:szCs w:val="24"/>
          <w14:textFill>
            <w14:solidFill>
              <w14:schemeClr w14:val="tx1"/>
            </w14:solidFill>
          </w14:textFill>
        </w:rPr>
        <w:t>assegurados o contraditório e a ampla defesa</w:t>
      </w:r>
      <w:r>
        <w:rPr>
          <w:rFonts w:ascii="Times New Roman" w:hAnsi="Times New Roman"/>
          <w:sz w:val="24"/>
          <w:szCs w:val="24"/>
        </w:rPr>
        <w:t>.</w:t>
      </w:r>
    </w:p>
    <w:p w14:paraId="5CE87E4E">
      <w:pPr>
        <w:pStyle w:val="80"/>
        <w:numPr>
          <w:ilvl w:val="2"/>
          <w:numId w:val="17"/>
        </w:numPr>
        <w:spacing w:before="72" w:beforeLines="30" w:after="72" w:afterLines="30" w:line="240" w:lineRule="auto"/>
        <w:ind w:left="0" w:firstLine="0"/>
        <w:rPr>
          <w:rFonts w:ascii="Times New Roman" w:hAnsi="Times New Roman"/>
          <w:sz w:val="24"/>
          <w:szCs w:val="24"/>
        </w:rPr>
      </w:pPr>
      <w:r>
        <w:rPr>
          <w:rFonts w:ascii="Times New Roman" w:hAnsi="Times New Roman"/>
          <w:sz w:val="24"/>
          <w:szCs w:val="24"/>
        </w:rPr>
        <w:t xml:space="preserve">Nesta hipótese, aplicam-se também os </w:t>
      </w:r>
      <w:r>
        <w:fldChar w:fldCharType="begin"/>
      </w:r>
      <w:r>
        <w:instrText xml:space="preserve"> HYPERLINK "http://www.planalto.gov.br/ccivil_03/_ato2019-2022/2021/lei/L14133.htm" \l "art138" </w:instrText>
      </w:r>
      <w:r>
        <w:fldChar w:fldCharType="separate"/>
      </w:r>
      <w:r>
        <w:rPr>
          <w:rStyle w:val="17"/>
          <w:rFonts w:ascii="Times New Roman" w:hAnsi="Times New Roman"/>
          <w:sz w:val="24"/>
          <w:szCs w:val="24"/>
        </w:rPr>
        <w:t>artigos 138 e 139 da mesma Lei</w:t>
      </w:r>
      <w:r>
        <w:rPr>
          <w:rStyle w:val="17"/>
          <w:rFonts w:ascii="Times New Roman" w:hAnsi="Times New Roman"/>
          <w:sz w:val="24"/>
          <w:szCs w:val="24"/>
        </w:rPr>
        <w:fldChar w:fldCharType="end"/>
      </w:r>
      <w:r>
        <w:rPr>
          <w:rFonts w:ascii="Times New Roman" w:hAnsi="Times New Roman"/>
          <w:sz w:val="24"/>
          <w:szCs w:val="24"/>
        </w:rPr>
        <w:t>.</w:t>
      </w:r>
    </w:p>
    <w:p w14:paraId="5E42641B">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34073D9F">
      <w:pPr>
        <w:pStyle w:val="83"/>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color w:val="000000" w:themeColor="text1"/>
          <w:sz w:val="24"/>
          <w:szCs w:val="24"/>
          <w14:textFill>
            <w14:solidFill>
              <w14:schemeClr w14:val="tx1"/>
            </w14:solidFill>
          </w14:textFill>
        </w:rPr>
        <w:t xml:space="preserve">11.4.2.1 Se a </w:t>
      </w:r>
      <w:r>
        <w:rPr>
          <w:rFonts w:ascii="Times New Roman" w:hAnsi="Times New Roman" w:cs="Times New Roman"/>
          <w:sz w:val="24"/>
          <w:szCs w:val="24"/>
        </w:rPr>
        <w:t>operação</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sz w:val="24"/>
          <w:szCs w:val="24"/>
        </w:rPr>
        <w:t>implicar mudança da pessoa jurídica contratada, deverá ser formalizado termo aditivo para alteração subjetiva.</w:t>
      </w:r>
    </w:p>
    <w:p w14:paraId="14D3C020">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11.5 O termo de extinção, sempre que possível, será precedido:</w:t>
      </w:r>
    </w:p>
    <w:p w14:paraId="1A7E4A6B">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a) Balanço dos eventos contratuais já cumpridos ou parcialmente cumpridos;</w:t>
      </w:r>
    </w:p>
    <w:p w14:paraId="79F9A696">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b) Relação dos pagamentos já efetuados e ainda devidos;</w:t>
      </w:r>
    </w:p>
    <w:p w14:paraId="7978BFC6">
      <w:pPr>
        <w:pStyle w:val="82"/>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c) Indenizações e multas.</w:t>
      </w:r>
    </w:p>
    <w:p w14:paraId="286215BA">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r>
        <w:fldChar w:fldCharType="begin"/>
      </w:r>
      <w:r>
        <w:instrText xml:space="preserve"> HYPERLINK "http://www.planalto.gov.br/ccivil_03/_ato2019-2022/2021/lei/L14133.htm" \l "art131" \h </w:instrText>
      </w:r>
      <w:r>
        <w:fldChar w:fldCharType="separate"/>
      </w:r>
      <w:r>
        <w:rPr>
          <w:rStyle w:val="17"/>
          <w:rFonts w:ascii="Times New Roman" w:hAnsi="Times New Roman"/>
          <w:sz w:val="24"/>
          <w:szCs w:val="24"/>
        </w:rPr>
        <w:t xml:space="preserve">art. 131, </w:t>
      </w:r>
      <w:r>
        <w:rPr>
          <w:rStyle w:val="17"/>
          <w:rFonts w:ascii="Times New Roman" w:hAnsi="Times New Roman"/>
          <w:i/>
          <w:iCs/>
          <w:sz w:val="24"/>
          <w:szCs w:val="24"/>
        </w:rPr>
        <w:t xml:space="preserve">caput, </w:t>
      </w:r>
      <w:r>
        <w:rPr>
          <w:rStyle w:val="17"/>
          <w:rFonts w:ascii="Times New Roman" w:hAnsi="Times New Roman"/>
          <w:sz w:val="24"/>
          <w:szCs w:val="24"/>
        </w:rPr>
        <w:t>da Lei n.º 14.133, de 2021</w:t>
      </w:r>
      <w:r>
        <w:rPr>
          <w:rStyle w:val="17"/>
          <w:rFonts w:ascii="Times New Roman" w:hAnsi="Times New Roman"/>
          <w:sz w:val="24"/>
          <w:szCs w:val="24"/>
        </w:rPr>
        <w:fldChar w:fldCharType="end"/>
      </w:r>
      <w:r>
        <w:rPr>
          <w:rFonts w:ascii="Times New Roman" w:hAnsi="Times New Roman"/>
          <w:sz w:val="24"/>
          <w:szCs w:val="24"/>
        </w:rPr>
        <w:t xml:space="preserve">). </w:t>
      </w:r>
    </w:p>
    <w:p w14:paraId="55E851B7">
      <w:pPr>
        <w:pStyle w:val="80"/>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pPr>
        <w:spacing w:before="72" w:beforeLines="30" w:after="72" w:afterLines="30"/>
        <w:jc w:val="both"/>
        <w:rPr>
          <w:szCs w:val="24"/>
          <w:lang w:eastAsia="pt-BR"/>
        </w:rPr>
      </w:pPr>
    </w:p>
    <w:p w14:paraId="653EB8FD">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324BB959">
      <w:pPr>
        <w:numPr>
          <w:ilvl w:val="1"/>
          <w:numId w:val="0"/>
        </w:numPr>
        <w:suppressAutoHyphens w:val="0"/>
        <w:spacing w:before="72" w:beforeLines="30" w:after="72" w:afterLines="30"/>
        <w:jc w:val="both"/>
        <w:rPr>
          <w:szCs w:val="24"/>
        </w:rPr>
      </w:pPr>
      <w:r>
        <w:rPr>
          <w:szCs w:val="24"/>
        </w:rPr>
        <w:t>12.1 As despesas decorrentes da presente contratação correrão à conta de recursos específicos consignados no Orçamento municipal deste exercício, na dotação abaixo discriminada:</w:t>
      </w:r>
    </w:p>
    <w:p w14:paraId="1E125357">
      <w:pPr>
        <w:spacing w:before="72" w:beforeLines="30" w:after="72" w:afterLines="30"/>
        <w:jc w:val="both"/>
        <w:rPr>
          <w:szCs w:val="24"/>
          <w:highlight w:val="yellow"/>
        </w:rPr>
      </w:pPr>
      <w:r>
        <w:rPr>
          <w:szCs w:val="24"/>
          <w:highlight w:val="yellow"/>
        </w:rPr>
        <w:t xml:space="preserve">I - Gestão/Unidade: </w:t>
      </w:r>
    </w:p>
    <w:p w14:paraId="4013F970">
      <w:pPr>
        <w:spacing w:before="72" w:beforeLines="30" w:after="72" w:afterLines="30"/>
        <w:jc w:val="both"/>
        <w:rPr>
          <w:szCs w:val="24"/>
          <w:highlight w:val="yellow"/>
        </w:rPr>
      </w:pPr>
      <w:r>
        <w:rPr>
          <w:szCs w:val="24"/>
          <w:highlight w:val="yellow"/>
        </w:rPr>
        <w:t xml:space="preserve">II - Fonte de Recursos:  </w:t>
      </w:r>
    </w:p>
    <w:p w14:paraId="59550671">
      <w:pPr>
        <w:spacing w:before="72" w:beforeLines="30" w:after="72" w:afterLines="30"/>
        <w:jc w:val="both"/>
        <w:rPr>
          <w:szCs w:val="24"/>
          <w:highlight w:val="yellow"/>
        </w:rPr>
      </w:pPr>
      <w:r>
        <w:rPr>
          <w:szCs w:val="24"/>
          <w:highlight w:val="yellow"/>
        </w:rPr>
        <w:t xml:space="preserve">III - Programa de Trabalho: </w:t>
      </w:r>
    </w:p>
    <w:p w14:paraId="2DE50534">
      <w:pPr>
        <w:spacing w:before="72" w:beforeLines="30" w:after="72" w:afterLines="30"/>
        <w:jc w:val="both"/>
        <w:rPr>
          <w:szCs w:val="24"/>
        </w:rPr>
      </w:pPr>
      <w:r>
        <w:rPr>
          <w:szCs w:val="24"/>
          <w:highlight w:val="yellow"/>
        </w:rPr>
        <w:t>IV - Elemento de Despesa:</w:t>
      </w:r>
    </w:p>
    <w:p w14:paraId="460561CC">
      <w:pPr>
        <w:numPr>
          <w:ilvl w:val="1"/>
          <w:numId w:val="0"/>
        </w:numPr>
        <w:suppressAutoHyphens w:val="0"/>
        <w:spacing w:before="72" w:beforeLines="30" w:after="72" w:afterLines="30"/>
        <w:jc w:val="both"/>
        <w:rPr>
          <w:bCs/>
          <w:szCs w:val="24"/>
        </w:rPr>
      </w:pPr>
      <w:r>
        <w:rPr>
          <w:szCs w:val="24"/>
        </w:rPr>
        <w:t>12.2 A dotação relativa aos exercícios financeiros subsequentes será indicada após aprovação da Lei Orçamentária respectiva e liberação dos créditos correspondentes, mediante apostilamento.</w:t>
      </w:r>
    </w:p>
    <w:p w14:paraId="5785BB01">
      <w:pPr>
        <w:spacing w:before="72" w:beforeLines="30" w:after="72" w:afterLines="30"/>
        <w:jc w:val="both"/>
        <w:rPr>
          <w:bCs/>
          <w:szCs w:val="24"/>
        </w:rPr>
      </w:pPr>
    </w:p>
    <w:p w14:paraId="36CF6CF1">
      <w:pPr>
        <w:pStyle w:val="64"/>
        <w:numPr>
          <w:ilvl w:val="0"/>
          <w:numId w:val="0"/>
        </w:numPr>
        <w:spacing w:before="72" w:beforeLines="30" w:after="72" w:afterLines="30"/>
        <w:rPr>
          <w:rFonts w:ascii="Times New Roman" w:hAnsi="Times New Roman"/>
          <w:color w:val="FFFFFF"/>
          <w:sz w:val="24"/>
          <w:szCs w:val="24"/>
        </w:rPr>
      </w:pPr>
      <w:r>
        <w:rPr>
          <w:rFonts w:ascii="Times New Roman" w:hAnsi="Times New Roman"/>
          <w:sz w:val="24"/>
          <w:szCs w:val="24"/>
        </w:rPr>
        <w:t>CLÁUSULA DÉCIMA TERCEIRA - OBRIGAÇÕES PERTINENTES À LGPD</w:t>
      </w:r>
    </w:p>
    <w:p w14:paraId="4E933CE8">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13.1 As partes deverão cumprir a </w:t>
      </w:r>
      <w:r>
        <w:fldChar w:fldCharType="begin"/>
      </w:r>
      <w:r>
        <w:instrText xml:space="preserve"> HYPERLINK "https://www.planalto.gov.br/ccivil_03/_ato2015-2018/2018/lei/l13709.htm" </w:instrText>
      </w:r>
      <w:r>
        <w:fldChar w:fldCharType="separate"/>
      </w:r>
      <w:r>
        <w:rPr>
          <w:rStyle w:val="17"/>
          <w:rFonts w:ascii="Times New Roman" w:hAnsi="Times New Roman" w:cs="Times New Roman"/>
          <w:i w:val="0"/>
          <w:color w:val="auto"/>
          <w:sz w:val="24"/>
          <w:szCs w:val="24"/>
        </w:rPr>
        <w:t>Lei nº 13.709, de 14 de agosto de 2018 (LGPD)</w:t>
      </w:r>
      <w:r>
        <w:rPr>
          <w:rStyle w:val="17"/>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r>
        <w:fldChar w:fldCharType="begin"/>
      </w:r>
      <w:r>
        <w:instrText xml:space="preserve"> HYPERLINK "https://www.planalto.gov.br/ccivil_03/_ato2015-2018/2018/lei/l13709.htm" \l "art6" </w:instrText>
      </w:r>
      <w:r>
        <w:fldChar w:fldCharType="separate"/>
      </w:r>
      <w:r>
        <w:rPr>
          <w:rStyle w:val="17"/>
          <w:rFonts w:ascii="Times New Roman" w:hAnsi="Times New Roman" w:cs="Times New Roman"/>
          <w:i w:val="0"/>
          <w:color w:val="auto"/>
          <w:sz w:val="24"/>
          <w:szCs w:val="24"/>
        </w:rPr>
        <w:t>art. 6º da LGPD</w:t>
      </w:r>
      <w:r>
        <w:rPr>
          <w:rStyle w:val="17"/>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w:t>
      </w:r>
    </w:p>
    <w:p w14:paraId="34E34281">
      <w:pPr>
        <w:pStyle w:val="217"/>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13.3 É vedado o compartilhamento com terceiros dos dados obtidos fora das hipóteses permitidas em Lei.</w:t>
      </w:r>
    </w:p>
    <w:p w14:paraId="0D7B264F">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13.4 A Administração deverá ser informada no prazo de 5 (cinco) dias úteis sobre todos os contratos de suboperação firmados ou que venham a ser celebrados pelo Contratado. </w:t>
      </w:r>
    </w:p>
    <w:p w14:paraId="487962B4">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13.5 Terminado o tratamento dos dados nos termos do </w:t>
      </w:r>
      <w:r>
        <w:fldChar w:fldCharType="begin"/>
      </w:r>
      <w:r>
        <w:instrText xml:space="preserve"> HYPERLINK "https://www.planalto.gov.br/ccivil_03/_ato2015-2018/2018/lei/l13709.htm" \l "art15" </w:instrText>
      </w:r>
      <w:r>
        <w:fldChar w:fldCharType="separate"/>
      </w:r>
      <w:r>
        <w:rPr>
          <w:rStyle w:val="17"/>
          <w:rFonts w:ascii="Times New Roman" w:hAnsi="Times New Roman" w:cs="Times New Roman"/>
          <w:i w:val="0"/>
          <w:color w:val="auto"/>
          <w:sz w:val="24"/>
          <w:szCs w:val="24"/>
        </w:rPr>
        <w:t>art. 15 da LGPD</w:t>
      </w:r>
      <w:r>
        <w:rPr>
          <w:rStyle w:val="17"/>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é dever do contratado eliminá-los, com exceção das hipóteses do </w:t>
      </w:r>
      <w:r>
        <w:fldChar w:fldCharType="begin"/>
      </w:r>
      <w:r>
        <w:instrText xml:space="preserve"> HYPERLINK "https://www.planalto.gov.br/ccivil_03/_ato2015-2018/2018/lei/l13709.htm" \l "art16" </w:instrText>
      </w:r>
      <w:r>
        <w:fldChar w:fldCharType="separate"/>
      </w:r>
      <w:r>
        <w:rPr>
          <w:rStyle w:val="17"/>
          <w:rFonts w:ascii="Times New Roman" w:hAnsi="Times New Roman" w:cs="Times New Roman"/>
          <w:i w:val="0"/>
          <w:color w:val="auto"/>
          <w:sz w:val="24"/>
          <w:szCs w:val="24"/>
        </w:rPr>
        <w:t>art. 16 da LGPD</w:t>
      </w:r>
      <w:r>
        <w:rPr>
          <w:rStyle w:val="17"/>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036C1EE3">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13.7 O Contratado deverá exigir de suboperadores e subcontratados o cumprimento dos deveres da presente cláusula, permanecendo integralmente responsável por garantir sua observância.</w:t>
      </w:r>
    </w:p>
    <w:p w14:paraId="65E9910D">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4C6E8E77">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485C56E7">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r>
        <w:fldChar w:fldCharType="begin"/>
      </w:r>
      <w:r>
        <w:instrText xml:space="preserve"> HYPERLINK "https://www.planalto.gov.br/ccivil_03/_ato2015-2018/2018/lei/l13709.htm" </w:instrText>
      </w:r>
      <w:r>
        <w:fldChar w:fldCharType="separate"/>
      </w:r>
      <w:r>
        <w:rPr>
          <w:rStyle w:val="17"/>
          <w:rFonts w:ascii="Times New Roman" w:hAnsi="Times New Roman" w:cs="Times New Roman"/>
          <w:i w:val="0"/>
          <w:color w:val="auto"/>
          <w:sz w:val="24"/>
          <w:szCs w:val="24"/>
        </w:rPr>
        <w:t>LGPD, art. 37</w:t>
      </w:r>
      <w:r>
        <w:rPr>
          <w:rStyle w:val="17"/>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pPr>
        <w:pStyle w:val="218"/>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2D2983FC">
      <w:pPr>
        <w:pStyle w:val="217"/>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2CB93536">
      <w:pPr>
        <w:spacing w:before="72" w:beforeLines="30" w:after="72" w:afterLines="30"/>
        <w:jc w:val="both"/>
        <w:rPr>
          <w:bCs/>
          <w:szCs w:val="24"/>
        </w:rPr>
      </w:pPr>
    </w:p>
    <w:p w14:paraId="583B2A37">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pPr>
        <w:numPr>
          <w:ilvl w:val="1"/>
          <w:numId w:val="0"/>
        </w:numPr>
        <w:suppressAutoHyphens w:val="0"/>
        <w:spacing w:before="72" w:beforeLines="30" w:after="72" w:afterLines="30"/>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pPr>
        <w:spacing w:before="72" w:beforeLines="30" w:after="72" w:afterLines="30"/>
        <w:jc w:val="both"/>
        <w:rPr>
          <w:szCs w:val="24"/>
        </w:rPr>
      </w:pPr>
    </w:p>
    <w:p w14:paraId="766529A7">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pPr>
        <w:numPr>
          <w:ilvl w:val="1"/>
          <w:numId w:val="0"/>
        </w:numPr>
        <w:suppressAutoHyphens w:val="0"/>
        <w:spacing w:before="72" w:beforeLines="30" w:after="72" w:afterLines="30"/>
        <w:jc w:val="both"/>
        <w:rPr>
          <w:szCs w:val="24"/>
        </w:rPr>
      </w:pPr>
      <w:r>
        <w:rPr>
          <w:szCs w:val="24"/>
        </w:rPr>
        <w:t>15.2 Eventuais alterações contratuais reger-se-ão pela disciplina dos arts. 124 e seguintes da Lei nº 14.133, de 2021.</w:t>
      </w:r>
    </w:p>
    <w:p w14:paraId="581341A7">
      <w:pPr>
        <w:numPr>
          <w:ilvl w:val="1"/>
          <w:numId w:val="0"/>
        </w:numPr>
        <w:suppressAutoHyphens w:val="0"/>
        <w:spacing w:before="72" w:beforeLines="30" w:after="72" w:afterLines="30"/>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pPr>
        <w:numPr>
          <w:ilvl w:val="1"/>
          <w:numId w:val="0"/>
        </w:numPr>
        <w:suppressAutoHyphens w:val="0"/>
        <w:spacing w:before="72" w:beforeLines="30" w:after="72" w:afterLines="30"/>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pPr>
        <w:numPr>
          <w:ilvl w:val="1"/>
          <w:numId w:val="0"/>
        </w:numPr>
        <w:suppressAutoHyphens w:val="0"/>
        <w:spacing w:before="72" w:beforeLines="30" w:after="72" w:afterLines="30"/>
        <w:jc w:val="both"/>
        <w:rPr>
          <w:szCs w:val="24"/>
        </w:rPr>
      </w:pPr>
      <w:r>
        <w:rPr>
          <w:szCs w:val="24"/>
        </w:rPr>
        <w:t>15.4 Registros que não caracterizam alteração do contrato podem ser realizados por simples apostila, dispensada a celebração de termo aditivo, na forma do art. 136 da Lei nº 14.133, de 2021.</w:t>
      </w:r>
    </w:p>
    <w:p w14:paraId="754EC99C">
      <w:pPr>
        <w:spacing w:before="72" w:beforeLines="30" w:after="72" w:afterLines="30"/>
        <w:jc w:val="both"/>
        <w:rPr>
          <w:szCs w:val="24"/>
        </w:rPr>
      </w:pPr>
    </w:p>
    <w:p w14:paraId="6A995DA1">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pPr>
        <w:numPr>
          <w:ilvl w:val="1"/>
          <w:numId w:val="0"/>
        </w:numPr>
        <w:suppressAutoHyphens w:val="0"/>
        <w:spacing w:before="72" w:beforeLines="30" w:after="72" w:afterLines="30"/>
        <w:jc w:val="both"/>
        <w:rPr>
          <w:szCs w:val="24"/>
        </w:rPr>
      </w:pPr>
      <w:r>
        <w:rPr>
          <w:szCs w:val="24"/>
        </w:rPr>
        <w:t>16.1 Incumbirá ao Contratante providenciar a publicação deste instrumento nos termos e condições previstas na Lei nº 14.133/21.</w:t>
      </w:r>
    </w:p>
    <w:p w14:paraId="485D49A5">
      <w:pPr>
        <w:spacing w:before="72" w:beforeLines="30" w:after="72" w:afterLines="30"/>
        <w:jc w:val="both"/>
        <w:rPr>
          <w:szCs w:val="24"/>
        </w:rPr>
      </w:pPr>
    </w:p>
    <w:p w14:paraId="3DDF2C90">
      <w:pPr>
        <w:pStyle w:val="65"/>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pPr>
        <w:numPr>
          <w:ilvl w:val="1"/>
          <w:numId w:val="0"/>
        </w:numPr>
        <w:suppressAutoHyphens w:val="0"/>
        <w:spacing w:before="72" w:beforeLines="30" w:after="72" w:afterLines="30"/>
        <w:jc w:val="both"/>
        <w:rPr>
          <w:szCs w:val="24"/>
        </w:rPr>
      </w:pPr>
      <w:r>
        <w:rPr>
          <w:szCs w:val="24"/>
        </w:rPr>
        <w:t xml:space="preserve">17.1 É eleito o Foro da Comarca de Bela Vista-MS para dirimir os litígios que decorrerem da execução deste Termo de Contrato que não possam ser compostos pela conciliação, conforme art. 92, §1º da Lei nº 14.133/21. </w:t>
      </w:r>
    </w:p>
    <w:p w14:paraId="60C6B0C9">
      <w:pPr>
        <w:numPr>
          <w:ilvl w:val="1"/>
          <w:numId w:val="0"/>
        </w:numPr>
        <w:suppressAutoHyphens w:val="0"/>
        <w:spacing w:before="72" w:beforeLines="30" w:after="72" w:afterLines="30"/>
        <w:jc w:val="both"/>
        <w:rPr>
          <w:szCs w:val="24"/>
        </w:rPr>
      </w:pPr>
    </w:p>
    <w:p w14:paraId="3D1FDD0A">
      <w:pPr>
        <w:spacing w:before="72" w:beforeLines="30" w:after="72" w:afterLines="30"/>
        <w:jc w:val="both"/>
        <w:rPr>
          <w:szCs w:val="24"/>
        </w:rPr>
      </w:pPr>
      <w:r>
        <w:rPr>
          <w:szCs w:val="24"/>
        </w:rPr>
        <w:t>...........................................,  .......... de.......................................... de 20.....</w:t>
      </w:r>
    </w:p>
    <w:p w14:paraId="0A6FAD0A">
      <w:pPr>
        <w:spacing w:before="72" w:beforeLines="30" w:after="72" w:afterLines="30"/>
        <w:jc w:val="both"/>
        <w:rPr>
          <w:bCs/>
          <w:szCs w:val="24"/>
        </w:rPr>
      </w:pPr>
      <w:r>
        <w:rPr>
          <w:bCs/>
          <w:szCs w:val="24"/>
        </w:rPr>
        <w:t>Representante legal do CONTRATANTE</w:t>
      </w:r>
    </w:p>
    <w:p w14:paraId="19933A2B">
      <w:pPr>
        <w:spacing w:before="72" w:beforeLines="30" w:after="72" w:afterLines="30"/>
        <w:jc w:val="both"/>
        <w:rPr>
          <w:bCs/>
          <w:szCs w:val="24"/>
        </w:rPr>
      </w:pPr>
    </w:p>
    <w:p w14:paraId="794E1B64">
      <w:pPr>
        <w:spacing w:before="72" w:beforeLines="30" w:after="72" w:afterLines="30"/>
        <w:jc w:val="both"/>
        <w:rPr>
          <w:szCs w:val="24"/>
        </w:rPr>
      </w:pPr>
      <w:r>
        <w:rPr>
          <w:bCs/>
          <w:szCs w:val="24"/>
        </w:rPr>
        <w:t>Representante</w:t>
      </w:r>
      <w:r>
        <w:rPr>
          <w:szCs w:val="24"/>
        </w:rPr>
        <w:t xml:space="preserve"> legal do CONTRATADO</w:t>
      </w:r>
    </w:p>
    <w:p w14:paraId="41790BB3">
      <w:pPr>
        <w:spacing w:before="72" w:beforeLines="30" w:after="72" w:afterLines="30"/>
        <w:jc w:val="both"/>
        <w:rPr>
          <w:szCs w:val="24"/>
        </w:rPr>
      </w:pPr>
    </w:p>
    <w:p w14:paraId="0696CFD9">
      <w:pPr>
        <w:spacing w:before="72" w:beforeLines="30" w:after="72" w:afterLines="30"/>
        <w:jc w:val="both"/>
        <w:rPr>
          <w:szCs w:val="24"/>
        </w:rPr>
      </w:pPr>
      <w:r>
        <w:rPr>
          <w:szCs w:val="24"/>
        </w:rPr>
        <w:t xml:space="preserve">TESTEMUNHAS: </w:t>
      </w:r>
    </w:p>
    <w:p w14:paraId="572F51C2">
      <w:pPr>
        <w:spacing w:before="72" w:beforeLines="30" w:after="72" w:afterLines="30"/>
        <w:jc w:val="both"/>
        <w:rPr>
          <w:szCs w:val="24"/>
        </w:rPr>
      </w:pPr>
      <w:r>
        <w:rPr>
          <w:szCs w:val="24"/>
        </w:rPr>
        <w:t xml:space="preserve">1)   </w:t>
      </w:r>
    </w:p>
    <w:p w14:paraId="447DC576">
      <w:pPr>
        <w:spacing w:before="72" w:beforeLines="30" w:after="72" w:afterLines="30"/>
        <w:jc w:val="both"/>
        <w:rPr>
          <w:szCs w:val="24"/>
        </w:rPr>
      </w:pPr>
      <w:r>
        <w:rPr>
          <w:szCs w:val="24"/>
        </w:rPr>
        <w:t xml:space="preserve"> 2) </w:t>
      </w:r>
    </w:p>
    <w:p w14:paraId="71F5BCAC">
      <w:pPr>
        <w:tabs>
          <w:tab w:val="left" w:pos="284"/>
          <w:tab w:val="left" w:pos="709"/>
        </w:tabs>
        <w:autoSpaceDE w:val="0"/>
        <w:snapToGrid w:val="0"/>
        <w:spacing w:before="72" w:beforeLines="30" w:after="72" w:afterLines="30"/>
        <w:jc w:val="both"/>
        <w:rPr>
          <w:b/>
          <w:szCs w:val="24"/>
        </w:rPr>
      </w:pPr>
    </w:p>
    <w:p w14:paraId="7B53FC6E">
      <w:pPr>
        <w:tabs>
          <w:tab w:val="left" w:pos="284"/>
          <w:tab w:val="left" w:pos="709"/>
        </w:tabs>
        <w:autoSpaceDE w:val="0"/>
        <w:snapToGrid w:val="0"/>
        <w:spacing w:before="72" w:beforeLines="30" w:after="72" w:afterLines="30"/>
        <w:jc w:val="both"/>
        <w:rPr>
          <w:b/>
          <w:szCs w:val="24"/>
        </w:rPr>
      </w:pPr>
    </w:p>
    <w:p w14:paraId="6008022B">
      <w:pPr>
        <w:tabs>
          <w:tab w:val="left" w:pos="284"/>
          <w:tab w:val="left" w:pos="709"/>
        </w:tabs>
        <w:autoSpaceDE w:val="0"/>
        <w:snapToGrid w:val="0"/>
        <w:spacing w:before="72" w:beforeLines="30" w:after="72" w:afterLines="30"/>
        <w:jc w:val="both"/>
        <w:rPr>
          <w:b/>
          <w:szCs w:val="24"/>
        </w:rPr>
      </w:pPr>
    </w:p>
    <w:p w14:paraId="3AB91EBC">
      <w:pPr>
        <w:tabs>
          <w:tab w:val="left" w:pos="284"/>
          <w:tab w:val="left" w:pos="709"/>
        </w:tabs>
        <w:autoSpaceDE w:val="0"/>
        <w:snapToGrid w:val="0"/>
        <w:spacing w:before="72" w:beforeLines="30" w:after="72" w:afterLines="30"/>
        <w:jc w:val="center"/>
        <w:rPr>
          <w:b/>
          <w:color w:val="000000"/>
          <w:szCs w:val="24"/>
        </w:rPr>
      </w:pPr>
      <w:r>
        <w:rPr>
          <w:b/>
          <w:szCs w:val="24"/>
        </w:rPr>
        <w:br w:type="page"/>
      </w:r>
      <w:r>
        <w:rPr>
          <w:b/>
          <w:color w:val="000000"/>
          <w:szCs w:val="24"/>
        </w:rPr>
        <w:t>ANEXO III</w:t>
      </w:r>
    </w:p>
    <w:p w14:paraId="39DA1B30">
      <w:pPr>
        <w:spacing w:before="72" w:beforeLines="30" w:after="72" w:afterLines="30"/>
        <w:jc w:val="center"/>
        <w:rPr>
          <w:bCs/>
          <w:szCs w:val="24"/>
        </w:rPr>
      </w:pPr>
      <w:r>
        <w:rPr>
          <w:b/>
          <w:bCs/>
          <w:iCs/>
          <w:color w:val="000000"/>
          <w:szCs w:val="24"/>
        </w:rPr>
        <w:t xml:space="preserve">ATA DE REGISTRO DE PREÇOS </w:t>
      </w:r>
      <w:r>
        <w:rPr>
          <w:bCs/>
          <w:szCs w:val="24"/>
        </w:rPr>
        <w:t>N.º .........</w:t>
      </w:r>
    </w:p>
    <w:p w14:paraId="3B511F21">
      <w:pPr>
        <w:spacing w:before="72" w:beforeLines="30" w:after="72" w:afterLines="30"/>
        <w:jc w:val="both"/>
        <w:rPr>
          <w:b/>
          <w:bCs/>
          <w:iCs/>
          <w:color w:val="000000"/>
          <w:szCs w:val="24"/>
        </w:rPr>
      </w:pPr>
    </w:p>
    <w:p w14:paraId="7F51CEE2">
      <w:pPr>
        <w:suppressAutoHyphens w:val="0"/>
        <w:spacing w:before="72" w:beforeLines="30" w:after="72" w:afterLines="30"/>
        <w:jc w:val="both"/>
        <w:rPr>
          <w:szCs w:val="24"/>
          <w:lang w:eastAsia="pt-BR"/>
        </w:rPr>
      </w:pPr>
      <w:r>
        <w:rPr>
          <w:color w:val="000000"/>
          <w:szCs w:val="24"/>
          <w:lang w:eastAsia="pt-BR"/>
        </w:rPr>
        <w:t xml:space="preserve">O </w:t>
      </w:r>
      <w:r>
        <w:rPr>
          <w:b/>
          <w:color w:val="000000"/>
          <w:szCs w:val="24"/>
          <w:lang w:eastAsia="pt-BR"/>
        </w:rPr>
        <w:t>Município de Caracol -Estado de Mato Grosso do Sul</w:t>
      </w:r>
      <w:r>
        <w:rPr>
          <w:b/>
          <w:bCs/>
          <w:color w:val="000000"/>
          <w:szCs w:val="24"/>
          <w:lang w:eastAsia="pt-BR"/>
        </w:rPr>
        <w:t xml:space="preserve">, </w:t>
      </w:r>
      <w:r>
        <w:rPr>
          <w:bCs/>
          <w:color w:val="000000"/>
          <w:szCs w:val="24"/>
          <w:lang w:eastAsia="pt-BR"/>
        </w:rPr>
        <w:t>pessoa jurídica de direito público,</w:t>
      </w:r>
      <w:r>
        <w:rPr>
          <w:b/>
          <w:bCs/>
          <w:color w:val="000000"/>
          <w:szCs w:val="24"/>
          <w:lang w:eastAsia="pt-BR"/>
        </w:rPr>
        <w:t xml:space="preserve"> </w:t>
      </w:r>
      <w:r>
        <w:rPr>
          <w:color w:val="000000"/>
          <w:szCs w:val="24"/>
          <w:lang w:eastAsia="pt-BR"/>
        </w:rPr>
        <w:t xml:space="preserve"> inscrito no CNPJ/MF sob o nº</w:t>
      </w:r>
      <w:r>
        <w:rPr>
          <w:szCs w:val="24"/>
          <w:lang w:eastAsia="pt-BR"/>
        </w:rPr>
        <w:t xml:space="preserve"> </w:t>
      </w:r>
      <w:r>
        <w:rPr>
          <w:bCs/>
          <w:szCs w:val="24"/>
          <w:lang w:eastAsia="pt-BR"/>
        </w:rPr>
        <w:t>xxxxxxxxxxxxxxxxxxxx</w:t>
      </w:r>
      <w:r>
        <w:rPr>
          <w:color w:val="000000"/>
          <w:szCs w:val="24"/>
          <w:lang w:eastAsia="pt-BR"/>
        </w:rPr>
        <w:t xml:space="preserve">, com sede administrativa localizada na Avenida Libindo Ferreira Leite, 251, Centro, CEP 79.2700-063, neste ato representado pelo Prefeito Municipal, Sr. Xxxxxxxxxxxxxxxxx, Matricula Funcional nº         </w:t>
      </w:r>
      <w:r>
        <w:rPr>
          <w:rFonts w:eastAsia="Arial"/>
          <w:szCs w:val="24"/>
          <w:lang w:eastAsia="pt-BR"/>
        </w:rPr>
        <w:t xml:space="preserve">, </w:t>
      </w:r>
      <w:r>
        <w:rPr>
          <w:szCs w:val="24"/>
          <w:lang w:eastAsia="pt-BR"/>
        </w:rPr>
        <w:t xml:space="preserve">considerando o julgamento da licitação na modalidade de pregão, na forma eletrônica, para REGISTRO DE PREÇOS nº </w:t>
      </w:r>
      <w:r>
        <w:rPr>
          <w:color w:val="FF0000"/>
          <w:szCs w:val="24"/>
          <w:lang w:eastAsia="pt-BR"/>
        </w:rPr>
        <w:t xml:space="preserve">..../202..., </w:t>
      </w:r>
      <w:r>
        <w:rPr>
          <w:szCs w:val="24"/>
          <w:lang w:eastAsia="pt-BR"/>
        </w:rPr>
        <w:t xml:space="preserve">publicada no </w:t>
      </w:r>
      <w:r>
        <w:rPr>
          <w:color w:val="FF0000"/>
          <w:szCs w:val="24"/>
          <w:lang w:eastAsia="pt-BR"/>
        </w:rPr>
        <w:t xml:space="preserve">...... de ...../...../202....., </w:t>
      </w:r>
      <w:r>
        <w:rPr>
          <w:szCs w:val="24"/>
          <w:lang w:eastAsia="pt-BR"/>
        </w:rPr>
        <w:t xml:space="preserve">processo administrativo n.º xx/2026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b/>
          <w:bCs/>
          <w:szCs w:val="24"/>
          <w:lang w:eastAsia="pt-BR"/>
        </w:rPr>
        <w:t>63/2025,</w:t>
      </w:r>
      <w:r>
        <w:rPr>
          <w:szCs w:val="24"/>
          <w:lang w:eastAsia="pt-BR"/>
        </w:rPr>
        <w:t xml:space="preserve"> e em conformidade com as disposições a seguir:</w:t>
      </w:r>
    </w:p>
    <w:p w14:paraId="007ABB20">
      <w:pPr>
        <w:suppressAutoHyphens w:val="0"/>
        <w:spacing w:before="72" w:beforeLines="30" w:after="72" w:afterLines="30"/>
        <w:jc w:val="both"/>
        <w:rPr>
          <w:szCs w:val="24"/>
          <w:lang w:eastAsia="pt-BR"/>
        </w:rPr>
      </w:pPr>
    </w:p>
    <w:p w14:paraId="7F697A63">
      <w:pPr>
        <w:keepNext/>
        <w:keepLines/>
        <w:tabs>
          <w:tab w:val="left" w:pos="567"/>
        </w:tabs>
        <w:suppressAutoHyphens w:val="0"/>
        <w:spacing w:before="72" w:beforeLines="30" w:after="72" w:afterLines="30"/>
        <w:jc w:val="both"/>
        <w:outlineLvl w:val="0"/>
        <w:rPr>
          <w:rFonts w:eastAsia="Noto Sans CJK SC"/>
          <w:b/>
          <w:bCs/>
          <w:color w:val="000000"/>
          <w:szCs w:val="24"/>
        </w:rPr>
      </w:pPr>
      <w:r>
        <w:rPr>
          <w:rFonts w:eastAsia="Noto Sans CJK SC"/>
          <w:b/>
          <w:bCs/>
          <w:color w:val="000000"/>
          <w:szCs w:val="24"/>
        </w:rPr>
        <w:t>1. DO OBJETO</w:t>
      </w:r>
    </w:p>
    <w:p w14:paraId="0C8917EA">
      <w:pPr>
        <w:spacing w:before="72" w:beforeLines="30" w:after="72" w:afterLines="30"/>
        <w:jc w:val="both"/>
        <w:rPr>
          <w:color w:val="000000"/>
          <w:szCs w:val="24"/>
          <w:lang w:eastAsia="pt-BR"/>
        </w:rPr>
      </w:pPr>
      <w:r>
        <w:rPr>
          <w:szCs w:val="24"/>
        </w:rPr>
        <w:t xml:space="preserve">1.1 A presente Ata tem por objeto o </w:t>
      </w:r>
      <w:r>
        <w:rPr>
          <w:color w:val="000000" w:themeColor="text1"/>
          <w:szCs w:val="24"/>
          <w14:textFill>
            <w14:solidFill>
              <w14:schemeClr w14:val="tx1"/>
            </w14:solidFill>
          </w14:textFill>
        </w:rPr>
        <w:t>registro de preços visando</w:t>
      </w: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a </w:t>
      </w:r>
      <w:r>
        <w:rPr>
          <w:b/>
          <w:color w:val="000000" w:themeColor="text1"/>
          <w:szCs w:val="24"/>
          <w14:textFill>
            <w14:solidFill>
              <w14:schemeClr w14:val="tx1"/>
            </w14:solidFill>
          </w14:textFill>
        </w:rPr>
        <w:t xml:space="preserve">AQUISIÇÃO DE COMBUSTÍVEIS (TIPO GASOLINA COMUM, ÓLEO DIESEL S10, DIESEL COMUM E ARLA 32), NO MUNICÍPIO DE SIDROLANDIA-MS, PARA ATENDER OS VEÍCULOS DA FROTA OFICIAL DA PREFEITURA MUNICIPAL DE CARACOL MS, </w:t>
      </w:r>
      <w:r>
        <w:rPr>
          <w:szCs w:val="24"/>
        </w:rPr>
        <w:t>especificados no item 1.1 do Termo de Referência, anexo I do edital de Licitação nº xx/2026, que é parte integrante desta Ata, assim como as propostas cujos preços tenham sido registrados, independentemente de transcrição.</w:t>
      </w:r>
    </w:p>
    <w:p w14:paraId="026712E6">
      <w:pPr>
        <w:suppressAutoHyphens w:val="0"/>
        <w:autoSpaceDE w:val="0"/>
        <w:autoSpaceDN w:val="0"/>
        <w:adjustRightInd w:val="0"/>
        <w:spacing w:before="72" w:beforeLines="30" w:after="72" w:afterLines="30"/>
        <w:jc w:val="both"/>
        <w:rPr>
          <w:rFonts w:eastAsia="Arial Unicode MS"/>
          <w:szCs w:val="24"/>
          <w:lang w:eastAsia="pt-BR"/>
        </w:rPr>
      </w:pPr>
    </w:p>
    <w:p w14:paraId="474CBF72">
      <w:pPr>
        <w:keepNext/>
        <w:keepLines/>
        <w:tabs>
          <w:tab w:val="left" w:pos="567"/>
        </w:tabs>
        <w:suppressAutoHyphens w:val="0"/>
        <w:spacing w:before="72" w:beforeLines="30" w:after="72" w:afterLines="30"/>
        <w:jc w:val="both"/>
        <w:outlineLvl w:val="0"/>
        <w:rPr>
          <w:rFonts w:eastAsia="Noto Sans CJK SC"/>
          <w:b/>
          <w:bCs/>
          <w:color w:val="000000"/>
          <w:szCs w:val="24"/>
        </w:rPr>
      </w:pPr>
      <w:r>
        <w:rPr>
          <w:rFonts w:eastAsia="Noto Sans CJK SC"/>
          <w:b/>
          <w:bCs/>
          <w:color w:val="000000"/>
          <w:szCs w:val="24"/>
        </w:rPr>
        <w:t>2. DOS PREÇOS, ESPECIFICAÇÕES E QUANTITATIVOS</w:t>
      </w:r>
    </w:p>
    <w:p w14:paraId="6659539A">
      <w:pPr>
        <w:numPr>
          <w:ilvl w:val="1"/>
          <w:numId w:val="1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Style w:val="12"/>
        <w:tblW w:w="9210" w:type="dxa"/>
        <w:tblInd w:w="-5" w:type="dxa"/>
        <w:tblLayout w:type="fixed"/>
        <w:tblCellMar>
          <w:top w:w="0" w:type="dxa"/>
          <w:left w:w="108" w:type="dxa"/>
          <w:bottom w:w="0" w:type="dxa"/>
          <w:right w:w="108" w:type="dxa"/>
        </w:tblCellMar>
      </w:tblPr>
      <w:tblGrid>
        <w:gridCol w:w="708"/>
        <w:gridCol w:w="2691"/>
        <w:gridCol w:w="1704"/>
        <w:gridCol w:w="705"/>
        <w:gridCol w:w="284"/>
        <w:gridCol w:w="992"/>
        <w:gridCol w:w="1134"/>
        <w:gridCol w:w="992"/>
      </w:tblGrid>
      <w:tr w14:paraId="1A8AD67C">
        <w:tblPrEx>
          <w:tblCellMar>
            <w:top w:w="0" w:type="dxa"/>
            <w:left w:w="108" w:type="dxa"/>
            <w:bottom w:w="0" w:type="dxa"/>
            <w:right w:w="108" w:type="dxa"/>
          </w:tblCellMar>
        </w:tblPrEx>
        <w:tc>
          <w:tcPr>
            <w:tcW w:w="5808" w:type="dxa"/>
            <w:gridSpan w:val="4"/>
            <w:tcBorders>
              <w:top w:val="single" w:color="000000" w:sz="4" w:space="0"/>
              <w:left w:val="single" w:color="000000" w:sz="4" w:space="0"/>
              <w:bottom w:val="single" w:color="000000" w:sz="4" w:space="0"/>
              <w:right w:val="single" w:color="000000" w:sz="4" w:space="0"/>
            </w:tcBorders>
          </w:tcPr>
          <w:p w14:paraId="31132716">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Fornecedor:</w:t>
            </w:r>
          </w:p>
        </w:tc>
        <w:tc>
          <w:tcPr>
            <w:tcW w:w="3402" w:type="dxa"/>
            <w:gridSpan w:val="4"/>
            <w:tcBorders>
              <w:top w:val="single" w:color="000000" w:sz="4" w:space="0"/>
              <w:left w:val="single" w:color="000000" w:sz="4" w:space="0"/>
              <w:bottom w:val="single" w:color="000000" w:sz="4" w:space="0"/>
              <w:right w:val="single" w:color="000000" w:sz="4" w:space="0"/>
            </w:tcBorders>
          </w:tcPr>
          <w:p w14:paraId="46CF5208">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CNPJ:</w:t>
            </w:r>
          </w:p>
        </w:tc>
      </w:tr>
      <w:tr w14:paraId="6E9B5FBC">
        <w:tblPrEx>
          <w:tblCellMar>
            <w:top w:w="0" w:type="dxa"/>
            <w:left w:w="108" w:type="dxa"/>
            <w:bottom w:w="0" w:type="dxa"/>
            <w:right w:w="108" w:type="dxa"/>
          </w:tblCellMar>
        </w:tblPrEx>
        <w:tc>
          <w:tcPr>
            <w:tcW w:w="5808" w:type="dxa"/>
            <w:gridSpan w:val="4"/>
            <w:tcBorders>
              <w:top w:val="single" w:color="000000" w:sz="4" w:space="0"/>
              <w:left w:val="single" w:color="000000" w:sz="4" w:space="0"/>
              <w:bottom w:val="single" w:color="000000" w:sz="4" w:space="0"/>
              <w:right w:val="single" w:color="000000" w:sz="4" w:space="0"/>
            </w:tcBorders>
          </w:tcPr>
          <w:p w14:paraId="5B531F79">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Endereço:</w:t>
            </w:r>
          </w:p>
        </w:tc>
        <w:tc>
          <w:tcPr>
            <w:tcW w:w="3402" w:type="dxa"/>
            <w:gridSpan w:val="4"/>
            <w:tcBorders>
              <w:top w:val="single" w:color="000000" w:sz="4" w:space="0"/>
              <w:left w:val="single" w:color="000000" w:sz="4" w:space="0"/>
              <w:bottom w:val="single" w:color="000000" w:sz="4" w:space="0"/>
              <w:right w:val="single" w:color="000000" w:sz="4" w:space="0"/>
            </w:tcBorders>
          </w:tcPr>
          <w:p w14:paraId="1EEB494A">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Cidade/Estado:</w:t>
            </w:r>
          </w:p>
          <w:p w14:paraId="436757AD">
            <w:pPr>
              <w:suppressAutoHyphens w:val="0"/>
              <w:spacing w:before="72" w:beforeLines="30" w:after="72" w:afterLines="30"/>
              <w:jc w:val="both"/>
              <w:rPr>
                <w:rFonts w:eastAsia="Arial Unicode MS"/>
                <w:b/>
                <w:bCs/>
                <w:szCs w:val="24"/>
                <w:lang w:eastAsia="pt-BR"/>
              </w:rPr>
            </w:pPr>
          </w:p>
        </w:tc>
      </w:tr>
      <w:tr w14:paraId="1A2FD961">
        <w:tblPrEx>
          <w:tblCellMar>
            <w:top w:w="0" w:type="dxa"/>
            <w:left w:w="108" w:type="dxa"/>
            <w:bottom w:w="0" w:type="dxa"/>
            <w:right w:w="108" w:type="dxa"/>
          </w:tblCellMar>
        </w:tblPrEx>
        <w:tc>
          <w:tcPr>
            <w:tcW w:w="9210" w:type="dxa"/>
            <w:gridSpan w:val="8"/>
            <w:tcBorders>
              <w:top w:val="single" w:color="000000" w:sz="4" w:space="0"/>
              <w:left w:val="single" w:color="000000" w:sz="4" w:space="0"/>
              <w:bottom w:val="single" w:color="000000" w:sz="4" w:space="0"/>
              <w:right w:val="single" w:color="000000" w:sz="4" w:space="0"/>
            </w:tcBorders>
          </w:tcPr>
          <w:p w14:paraId="59B4B1F8">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Representante legal</w:t>
            </w:r>
          </w:p>
          <w:p w14:paraId="041C6EE8">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 xml:space="preserve">Nome: </w:t>
            </w:r>
          </w:p>
          <w:p w14:paraId="51D77EC4">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  ) Sócio administrador</w:t>
            </w:r>
          </w:p>
          <w:p w14:paraId="5326FFCA">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  ) procurador</w:t>
            </w:r>
          </w:p>
        </w:tc>
      </w:tr>
      <w:tr w14:paraId="5294E15A">
        <w:tblPrEx>
          <w:tblCellMar>
            <w:top w:w="0" w:type="dxa"/>
            <w:left w:w="108" w:type="dxa"/>
            <w:bottom w:w="0" w:type="dxa"/>
            <w:right w:w="108" w:type="dxa"/>
          </w:tblCellMar>
        </w:tblPrEx>
        <w:tc>
          <w:tcPr>
            <w:tcW w:w="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8B30E6B">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item</w:t>
            </w:r>
          </w:p>
          <w:p w14:paraId="483CF0D8">
            <w:pPr>
              <w:suppressAutoHyphens w:val="0"/>
              <w:spacing w:before="72" w:beforeLines="30" w:after="72" w:afterLines="30"/>
              <w:jc w:val="both"/>
              <w:rPr>
                <w:rFonts w:eastAsia="Arial Unicode MS"/>
                <w:b/>
                <w:bCs/>
                <w:szCs w:val="24"/>
                <w:lang w:eastAsia="pt-BR"/>
              </w:rPr>
            </w:pPr>
          </w:p>
        </w:tc>
        <w:tc>
          <w:tcPr>
            <w:tcW w:w="269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4F05D5E">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especificação</w:t>
            </w:r>
          </w:p>
        </w:tc>
        <w:tc>
          <w:tcPr>
            <w:tcW w:w="1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43AC340">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Uni. medida</w:t>
            </w:r>
          </w:p>
        </w:tc>
        <w:tc>
          <w:tcPr>
            <w:tcW w:w="989"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D6161DE">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Quant.</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BF43F9D">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Marca</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4394C32">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Valor unitário</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52CCBD7">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Valor total</w:t>
            </w:r>
          </w:p>
        </w:tc>
      </w:tr>
      <w:tr w14:paraId="579573C3">
        <w:tblPrEx>
          <w:tblCellMar>
            <w:top w:w="0" w:type="dxa"/>
            <w:left w:w="108" w:type="dxa"/>
            <w:bottom w:w="0" w:type="dxa"/>
            <w:right w:w="108" w:type="dxa"/>
          </w:tblCellMar>
        </w:tblPrEx>
        <w:tc>
          <w:tcPr>
            <w:tcW w:w="7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496296A">
            <w:pPr>
              <w:suppressAutoHyphens w:val="0"/>
              <w:spacing w:before="72" w:beforeLines="30" w:after="72" w:afterLines="30"/>
              <w:jc w:val="both"/>
              <w:rPr>
                <w:rFonts w:eastAsia="Arial Unicode MS"/>
                <w:b/>
                <w:bCs/>
                <w:szCs w:val="24"/>
                <w:lang w:eastAsia="pt-BR"/>
              </w:rPr>
            </w:pPr>
          </w:p>
        </w:tc>
        <w:tc>
          <w:tcPr>
            <w:tcW w:w="269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FBF9AAD">
            <w:pPr>
              <w:suppressAutoHyphens w:val="0"/>
              <w:spacing w:before="72" w:beforeLines="30" w:after="72" w:afterLines="30"/>
              <w:jc w:val="both"/>
              <w:rPr>
                <w:rFonts w:eastAsia="Arial Unicode MS"/>
                <w:b/>
                <w:bCs/>
                <w:szCs w:val="24"/>
                <w:lang w:eastAsia="pt-BR"/>
              </w:rPr>
            </w:pPr>
          </w:p>
        </w:tc>
        <w:tc>
          <w:tcPr>
            <w:tcW w:w="1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49DD083">
            <w:pPr>
              <w:suppressAutoHyphens w:val="0"/>
              <w:spacing w:before="72" w:beforeLines="30" w:after="72" w:afterLines="30"/>
              <w:jc w:val="both"/>
              <w:rPr>
                <w:rFonts w:eastAsia="Arial Unicode MS"/>
                <w:b/>
                <w:bCs/>
                <w:szCs w:val="24"/>
                <w:lang w:eastAsia="pt-BR"/>
              </w:rPr>
            </w:pPr>
          </w:p>
        </w:tc>
        <w:tc>
          <w:tcPr>
            <w:tcW w:w="989"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555208F">
            <w:pPr>
              <w:suppressAutoHyphens w:val="0"/>
              <w:spacing w:before="72" w:beforeLines="30" w:after="72" w:afterLines="30"/>
              <w:jc w:val="both"/>
              <w:rPr>
                <w:rFonts w:eastAsia="Arial Unicode MS"/>
                <w:b/>
                <w:bCs/>
                <w:szCs w:val="24"/>
                <w:lang w:eastAsia="pt-BR"/>
              </w:rPr>
            </w:pP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DCEE83E">
            <w:pPr>
              <w:suppressAutoHyphens w:val="0"/>
              <w:spacing w:before="72" w:beforeLines="30" w:after="72" w:afterLines="30"/>
              <w:jc w:val="both"/>
              <w:rPr>
                <w:rFonts w:eastAsia="Arial Unicode MS"/>
                <w:b/>
                <w:bCs/>
                <w:szCs w:val="24"/>
                <w:lang w:eastAsia="pt-BR"/>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5B04147">
            <w:pPr>
              <w:suppressAutoHyphens w:val="0"/>
              <w:spacing w:before="72" w:beforeLines="30" w:after="72" w:afterLines="30"/>
              <w:jc w:val="both"/>
              <w:rPr>
                <w:rFonts w:eastAsia="Arial Unicode MS"/>
                <w:b/>
                <w:bCs/>
                <w:szCs w:val="24"/>
                <w:lang w:eastAsia="pt-BR"/>
              </w:rPr>
            </w:pP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5C527D1">
            <w:pPr>
              <w:suppressAutoHyphens w:val="0"/>
              <w:spacing w:before="72" w:beforeLines="30" w:after="72" w:afterLines="30"/>
              <w:jc w:val="both"/>
              <w:rPr>
                <w:rFonts w:eastAsia="Arial Unicode MS"/>
                <w:b/>
                <w:bCs/>
                <w:szCs w:val="24"/>
                <w:lang w:eastAsia="pt-BR"/>
              </w:rPr>
            </w:pPr>
          </w:p>
        </w:tc>
      </w:tr>
    </w:tbl>
    <w:p w14:paraId="0BE92DF7">
      <w:pPr>
        <w:suppressAutoHyphens w:val="0"/>
        <w:spacing w:before="72" w:beforeLines="30" w:after="72" w:afterLines="30"/>
        <w:jc w:val="both"/>
        <w:rPr>
          <w:rFonts w:eastAsia="Arial Unicode MS"/>
          <w:szCs w:val="24"/>
          <w:lang w:eastAsia="pt-BR"/>
        </w:rPr>
      </w:pPr>
    </w:p>
    <w:p w14:paraId="1192FF82">
      <w:pPr>
        <w:numPr>
          <w:ilvl w:val="1"/>
          <w:numId w:val="18"/>
        </w:numPr>
        <w:suppressAutoHyphens w:val="0"/>
        <w:spacing w:before="72" w:beforeLines="30" w:after="72" w:afterLines="30"/>
        <w:ind w:left="0" w:firstLine="0"/>
        <w:jc w:val="both"/>
        <w:rPr>
          <w:rFonts w:eastAsia="Arial Unicode MS"/>
          <w:szCs w:val="24"/>
          <w:lang w:eastAsia="en-US"/>
        </w:rPr>
      </w:pPr>
      <w:r>
        <w:rPr>
          <w:rFonts w:eastAsia="Arial Unicode MS"/>
          <w:szCs w:val="24"/>
          <w:lang w:eastAsia="en-US"/>
        </w:rPr>
        <w:t>A listagem do cadastro de reserva referente ao presente registro de preços consta como anexo a esta Ata.</w:t>
      </w:r>
    </w:p>
    <w:p w14:paraId="51C6C7A3">
      <w:pPr>
        <w:suppressAutoHyphens w:val="0"/>
        <w:autoSpaceDE w:val="0"/>
        <w:autoSpaceDN w:val="0"/>
        <w:adjustRightInd w:val="0"/>
        <w:spacing w:before="72" w:beforeLines="30" w:after="72" w:afterLines="30"/>
        <w:jc w:val="both"/>
        <w:rPr>
          <w:rFonts w:eastAsia="Arial Unicode MS"/>
          <w:szCs w:val="24"/>
          <w:lang w:eastAsia="en-US"/>
        </w:rPr>
      </w:pPr>
    </w:p>
    <w:p w14:paraId="51E59F51">
      <w:pPr>
        <w:numPr>
          <w:ilvl w:val="0"/>
          <w:numId w:val="18"/>
        </w:numPr>
        <w:tabs>
          <w:tab w:val="left" w:pos="284"/>
        </w:tabs>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DO(S) ÓRGÃO(S) GERENCIADOR(ES) E PARTICIPANTE(S)</w:t>
      </w:r>
    </w:p>
    <w:p w14:paraId="711DBDDD">
      <w:pPr>
        <w:numPr>
          <w:ilvl w:val="1"/>
          <w:numId w:val="18"/>
        </w:numPr>
        <w:suppressAutoHyphens w:val="0"/>
        <w:autoSpaceDE w:val="0"/>
        <w:autoSpaceDN w:val="0"/>
        <w:adjustRightInd w:val="0"/>
        <w:spacing w:before="72" w:beforeLines="30" w:after="72" w:afterLines="30"/>
        <w:ind w:left="0" w:firstLine="0"/>
        <w:jc w:val="both"/>
        <w:rPr>
          <w:rFonts w:eastAsia="Arial Unicode MS"/>
          <w:szCs w:val="24"/>
          <w:highlight w:val="yellow"/>
          <w:lang w:eastAsia="pt-BR"/>
        </w:rPr>
      </w:pPr>
      <w:r>
        <w:rPr>
          <w:rFonts w:eastAsia="Arial Unicode MS"/>
          <w:szCs w:val="24"/>
          <w:highlight w:val="yellow"/>
          <w:lang w:eastAsia="pt-BR"/>
        </w:rPr>
        <w:t>O órgão gerenciador será o</w:t>
      </w:r>
      <w:r>
        <w:rPr>
          <w:rFonts w:eastAsia="Arial Unicode MS"/>
          <w:b/>
          <w:bCs/>
          <w:szCs w:val="24"/>
          <w:highlight w:val="yellow"/>
          <w:lang w:eastAsia="pt-BR"/>
        </w:rPr>
        <w:t xml:space="preserve"> </w:t>
      </w:r>
      <w:r>
        <w:rPr>
          <w:rFonts w:eastAsia="Arial Unicode MS"/>
          <w:bCs/>
          <w:szCs w:val="24"/>
          <w:highlight w:val="yellow"/>
          <w:lang w:eastAsia="pt-BR"/>
        </w:rPr>
        <w:t>Município de Caracol -</w:t>
      </w:r>
      <w:r>
        <w:rPr>
          <w:rFonts w:eastAsia="Arial Unicode MS"/>
          <w:szCs w:val="24"/>
          <w:highlight w:val="yellow"/>
          <w:lang w:eastAsia="pt-BR"/>
        </w:rPr>
        <w:t xml:space="preserve"> </w:t>
      </w:r>
      <w:r>
        <w:rPr>
          <w:rFonts w:eastAsia="Arial Unicode MS"/>
          <w:bCs/>
          <w:szCs w:val="24"/>
          <w:highlight w:val="yellow"/>
          <w:lang w:eastAsia="pt-BR"/>
        </w:rPr>
        <w:t>CNPJ: 03.217.924/0001-32</w:t>
      </w:r>
    </w:p>
    <w:p w14:paraId="1D09C684">
      <w:pPr>
        <w:numPr>
          <w:ilvl w:val="1"/>
          <w:numId w:val="18"/>
        </w:numPr>
        <w:suppressAutoHyphens w:val="0"/>
        <w:autoSpaceDE w:val="0"/>
        <w:autoSpaceDN w:val="0"/>
        <w:adjustRightInd w:val="0"/>
        <w:spacing w:before="72" w:beforeLines="30" w:after="72" w:afterLines="30"/>
        <w:ind w:left="0" w:firstLine="0"/>
        <w:jc w:val="both"/>
        <w:rPr>
          <w:rFonts w:eastAsia="Arial Unicode MS"/>
          <w:szCs w:val="24"/>
          <w:highlight w:val="yellow"/>
          <w:lang w:eastAsia="pt-BR"/>
        </w:rPr>
      </w:pPr>
      <w:r>
        <w:rPr>
          <w:rFonts w:eastAsia="Arial Unicode MS"/>
          <w:szCs w:val="24"/>
          <w:highlight w:val="yellow"/>
          <w:lang w:eastAsia="pt-BR"/>
        </w:rPr>
        <w:t>Os órgãos participantes da presente Ata são:</w:t>
      </w:r>
    </w:p>
    <w:p w14:paraId="1B1179EA">
      <w:pPr>
        <w:numPr>
          <w:ilvl w:val="2"/>
          <w:numId w:val="18"/>
        </w:numPr>
        <w:suppressAutoHyphens w:val="0"/>
        <w:spacing w:before="72" w:beforeLines="30" w:after="72" w:afterLines="30"/>
        <w:ind w:left="0" w:firstLine="0"/>
        <w:jc w:val="both"/>
        <w:rPr>
          <w:rFonts w:eastAsia="Arial Unicode MS"/>
          <w:bCs/>
          <w:color w:val="000000"/>
          <w:szCs w:val="24"/>
          <w:highlight w:val="yellow"/>
          <w:lang w:eastAsia="pt-BR"/>
        </w:rPr>
      </w:pPr>
      <w:r>
        <w:rPr>
          <w:rFonts w:eastAsia="Arial Unicode MS"/>
          <w:bCs/>
          <w:color w:val="000000"/>
          <w:szCs w:val="24"/>
          <w:highlight w:val="yellow"/>
          <w:lang w:eastAsia="pt-BR"/>
        </w:rPr>
        <w:t>Fundo Municipal de Saúde - CNPJ - 11.812.857/0001-22</w:t>
      </w:r>
    </w:p>
    <w:p w14:paraId="087ED62F">
      <w:pPr>
        <w:numPr>
          <w:ilvl w:val="2"/>
          <w:numId w:val="18"/>
        </w:numPr>
        <w:suppressAutoHyphens w:val="0"/>
        <w:spacing w:before="72" w:beforeLines="30" w:after="72" w:afterLines="30"/>
        <w:ind w:left="0" w:firstLine="0"/>
        <w:jc w:val="both"/>
        <w:rPr>
          <w:rFonts w:eastAsia="Arial Unicode MS"/>
          <w:bCs/>
          <w:color w:val="000000"/>
          <w:szCs w:val="24"/>
          <w:highlight w:val="yellow"/>
          <w:lang w:eastAsia="pt-BR"/>
        </w:rPr>
      </w:pPr>
      <w:r>
        <w:rPr>
          <w:rFonts w:eastAsia="Arial Unicode MS"/>
          <w:bCs/>
          <w:color w:val="000000"/>
          <w:szCs w:val="24"/>
          <w:highlight w:val="yellow"/>
          <w:lang w:eastAsia="pt-BR"/>
        </w:rPr>
        <w:t>Fundo Municipal do Meio Ambiente - CNPJ 33.578.583/0001-91</w:t>
      </w:r>
    </w:p>
    <w:p w14:paraId="04EB8A31">
      <w:pPr>
        <w:numPr>
          <w:ilvl w:val="2"/>
          <w:numId w:val="18"/>
        </w:numPr>
        <w:suppressAutoHyphens w:val="0"/>
        <w:spacing w:before="72" w:beforeLines="30" w:after="72" w:afterLines="30"/>
        <w:ind w:left="0" w:firstLine="0"/>
        <w:jc w:val="both"/>
        <w:rPr>
          <w:rFonts w:eastAsia="Arial Unicode MS"/>
          <w:bCs/>
          <w:color w:val="000000"/>
          <w:szCs w:val="24"/>
          <w:highlight w:val="yellow"/>
          <w:lang w:eastAsia="pt-BR"/>
        </w:rPr>
      </w:pPr>
      <w:r>
        <w:rPr>
          <w:rFonts w:eastAsia="Arial Unicode MS"/>
          <w:bCs/>
          <w:color w:val="000000"/>
          <w:szCs w:val="24"/>
          <w:highlight w:val="yellow"/>
          <w:lang w:eastAsia="pt-BR"/>
        </w:rPr>
        <w:t>Fundo Municipal Assistência Social – CNPJ 15.615.736/0001-41</w:t>
      </w:r>
    </w:p>
    <w:p w14:paraId="7E86DD90">
      <w:pPr>
        <w:suppressAutoHyphens w:val="0"/>
        <w:spacing w:before="72" w:beforeLines="30" w:after="72" w:afterLines="30"/>
        <w:jc w:val="both"/>
        <w:rPr>
          <w:rFonts w:eastAsia="Arial Unicode MS"/>
          <w:szCs w:val="24"/>
          <w:lang w:eastAsia="pt-BR"/>
        </w:rPr>
      </w:pPr>
    </w:p>
    <w:p w14:paraId="21EFB8AF">
      <w:pPr>
        <w:numPr>
          <w:ilvl w:val="0"/>
          <w:numId w:val="18"/>
        </w:numPr>
        <w:suppressAutoHyphens w:val="0"/>
        <w:spacing w:before="72" w:beforeLines="30" w:after="72" w:afterLines="30"/>
        <w:ind w:left="0" w:firstLine="0"/>
        <w:jc w:val="both"/>
        <w:rPr>
          <w:rFonts w:eastAsia="Arial Unicode MS"/>
          <w:b/>
          <w:color w:val="FF0000"/>
          <w:szCs w:val="24"/>
          <w:lang w:eastAsia="pt-BR"/>
        </w:rPr>
      </w:pPr>
      <w:r>
        <w:rPr>
          <w:rFonts w:eastAsia="Arial Unicode MS"/>
          <w:b/>
          <w:szCs w:val="24"/>
          <w:lang w:eastAsia="pt-BR"/>
        </w:rPr>
        <w:t xml:space="preserve">DA ADESÃO À ATA DE REGISTRO DE PREÇOS </w:t>
      </w:r>
    </w:p>
    <w:p w14:paraId="048CD743">
      <w:pPr>
        <w:numPr>
          <w:ilvl w:val="1"/>
          <w:numId w:val="18"/>
        </w:numPr>
        <w:suppressAutoHyphens w:val="0"/>
        <w:spacing w:before="72" w:beforeLines="30" w:after="72" w:afterLines="30"/>
        <w:ind w:left="0" w:firstLine="0"/>
        <w:jc w:val="both"/>
        <w:rPr>
          <w:rFonts w:eastAsia="Arial Unicode MS"/>
          <w:iCs/>
          <w:szCs w:val="24"/>
          <w:lang w:eastAsia="pt-BR"/>
        </w:rPr>
      </w:pPr>
      <w:r>
        <w:rPr>
          <w:rFonts w:eastAsia="Arial Unicode MS"/>
          <w:iCs/>
          <w:szCs w:val="24"/>
          <w:lang w:eastAsia="en-US"/>
        </w:rPr>
        <w:t xml:space="preserve"> Não será admitida a adesão à ata de registro de preços decorrente desta licitação ou desta contratação direta, conforme </w:t>
      </w:r>
      <w:r>
        <w:rPr>
          <w:rFonts w:eastAsia="Arial Unicode MS"/>
          <w:iCs/>
          <w:szCs w:val="24"/>
          <w:lang w:eastAsia="pt-BR"/>
        </w:rPr>
        <w:t>disposto no § 3º do art. 86 da Lei Federal nº 14.133/2021.</w:t>
      </w:r>
    </w:p>
    <w:p w14:paraId="2A2AD5F8">
      <w:pPr>
        <w:numPr>
          <w:ilvl w:val="1"/>
          <w:numId w:val="18"/>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É vedado efetuar acréscimos nos quantitativos fixados na ata de registro de preços.</w:t>
      </w:r>
    </w:p>
    <w:p w14:paraId="485F6083">
      <w:pPr>
        <w:suppressAutoHyphens w:val="0"/>
        <w:autoSpaceDE w:val="0"/>
        <w:autoSpaceDN w:val="0"/>
        <w:adjustRightInd w:val="0"/>
        <w:spacing w:before="72" w:beforeLines="30" w:after="72" w:afterLines="30"/>
        <w:jc w:val="both"/>
        <w:rPr>
          <w:rFonts w:eastAsia="Arial Unicode MS"/>
          <w:szCs w:val="24"/>
          <w:lang w:eastAsia="pt-BR"/>
        </w:rPr>
      </w:pPr>
    </w:p>
    <w:p w14:paraId="1DAF4354">
      <w:pPr>
        <w:suppressAutoHyphens w:val="0"/>
        <w:spacing w:before="72" w:beforeLines="30" w:after="72" w:afterLines="30"/>
        <w:jc w:val="both"/>
        <w:rPr>
          <w:rFonts w:eastAsia="Arial Unicode MS"/>
          <w:b/>
          <w:szCs w:val="24"/>
          <w:lang w:eastAsia="pt-BR"/>
        </w:rPr>
      </w:pPr>
      <w:r>
        <w:rPr>
          <w:rFonts w:eastAsia="Arial Unicode MS"/>
          <w:b/>
          <w:szCs w:val="24"/>
          <w:lang w:eastAsia="pt-BR"/>
        </w:rPr>
        <w:t>5. DA EXECUÇÃO CONTRATUAL, PRAZOS E CONDIÇÕES DE ENTREGA</w:t>
      </w:r>
    </w:p>
    <w:p w14:paraId="67B6BE83">
      <w:pPr>
        <w:numPr>
          <w:ilvl w:val="1"/>
          <w:numId w:val="0"/>
        </w:numPr>
        <w:suppressAutoHyphens w:val="0"/>
        <w:spacing w:before="72" w:beforeLines="30" w:after="72" w:afterLines="30"/>
        <w:jc w:val="both"/>
        <w:rPr>
          <w:szCs w:val="24"/>
        </w:rPr>
      </w:pPr>
      <w:r>
        <w:rPr>
          <w:szCs w:val="24"/>
        </w:rPr>
        <w:t xml:space="preserve">5.1 O regime de execução contratual, o modelo de gestão, assim como os prazos e condições de conclusão, entrega, observação e recebimento definitivo </w:t>
      </w:r>
      <w:r>
        <w:rPr>
          <w:b/>
          <w:szCs w:val="24"/>
        </w:rPr>
        <w:t>constam no Termo de Referência, anexo a este documento</w:t>
      </w:r>
      <w:r>
        <w:rPr>
          <w:szCs w:val="24"/>
        </w:rPr>
        <w:t>.</w:t>
      </w:r>
    </w:p>
    <w:p w14:paraId="50BE9EEA">
      <w:pPr>
        <w:suppressAutoHyphens w:val="0"/>
        <w:autoSpaceDE w:val="0"/>
        <w:autoSpaceDN w:val="0"/>
        <w:adjustRightInd w:val="0"/>
        <w:spacing w:before="72" w:beforeLines="30" w:after="72" w:afterLines="30"/>
        <w:jc w:val="both"/>
        <w:rPr>
          <w:rFonts w:eastAsia="Arial Unicode MS"/>
          <w:szCs w:val="24"/>
          <w:lang w:eastAsia="pt-BR"/>
        </w:rPr>
      </w:pPr>
    </w:p>
    <w:p w14:paraId="0E065E21">
      <w:pPr>
        <w:suppressAutoHyphens w:val="0"/>
        <w:spacing w:before="72" w:beforeLines="30" w:after="72" w:afterLines="30"/>
        <w:jc w:val="both"/>
        <w:rPr>
          <w:rFonts w:eastAsia="Arial Unicode MS"/>
          <w:b/>
          <w:szCs w:val="24"/>
          <w:lang w:eastAsia="pt-BR"/>
        </w:rPr>
      </w:pPr>
      <w:r>
        <w:rPr>
          <w:rFonts w:eastAsia="Arial Unicode MS"/>
          <w:b/>
          <w:szCs w:val="24"/>
          <w:lang w:eastAsia="pt-BR"/>
        </w:rPr>
        <w:t>6. VALIDADE, FORMALIZAÇÃO DA ATA DE REGISTRO DE PREÇOS E CADASTRO RESERVA</w:t>
      </w:r>
    </w:p>
    <w:p w14:paraId="35FCDFF1">
      <w:pPr>
        <w:suppressAutoHyphens w:val="0"/>
        <w:spacing w:before="72" w:beforeLines="30" w:after="72" w:afterLines="30"/>
        <w:jc w:val="both"/>
        <w:rPr>
          <w:rFonts w:eastAsia="Arial Unicode MS"/>
          <w:szCs w:val="24"/>
          <w:lang w:eastAsia="pt-BR"/>
        </w:rPr>
      </w:pPr>
      <w:r>
        <w:rPr>
          <w:rFonts w:eastAsia="Arial Unicode MS"/>
          <w:szCs w:val="24"/>
          <w:lang w:eastAsia="pt-BR"/>
        </w:rPr>
        <w:t xml:space="preserve">6.1 </w:t>
      </w:r>
      <w:r>
        <w:rPr>
          <w:bCs/>
          <w:color w:val="000000"/>
          <w:szCs w:val="24"/>
        </w:rPr>
        <w:t xml:space="preserve">O prazo de vigência da Ata de Registro de Preços é de </w:t>
      </w:r>
      <w:r>
        <w:rPr>
          <w:b/>
          <w:bCs/>
          <w:color w:val="000000"/>
          <w:szCs w:val="24"/>
        </w:rPr>
        <w:t>12 meses</w:t>
      </w:r>
      <w:r>
        <w:rPr>
          <w:bCs/>
          <w:color w:val="000000"/>
          <w:szCs w:val="24"/>
        </w:rPr>
        <w:t>,</w:t>
      </w:r>
      <w:r>
        <w:rPr>
          <w:color w:val="000000"/>
          <w:szCs w:val="24"/>
        </w:rPr>
        <w:t xml:space="preserve"> contados do primeiro dia útil subsequente a publicação do extrato da ARP no diário oficial do município</w:t>
      </w:r>
      <w:r>
        <w:rPr>
          <w:bCs/>
          <w:color w:val="000000"/>
          <w:szCs w:val="24"/>
        </w:rPr>
        <w:t xml:space="preserve"> prorrogável por igual período, desde que comprovado o preço vantajoso, na forma do art. 84 da Lei n° 14.133, de 2021</w:t>
      </w:r>
    </w:p>
    <w:p w14:paraId="452FB7B3">
      <w:pPr>
        <w:suppressAutoHyphens w:val="0"/>
        <w:spacing w:before="72" w:beforeLines="30" w:after="72" w:afterLines="30"/>
        <w:jc w:val="both"/>
        <w:rPr>
          <w:rFonts w:eastAsia="Arial Unicode MS"/>
          <w:b/>
          <w:szCs w:val="24"/>
          <w:lang w:eastAsia="pt-BR"/>
        </w:rPr>
      </w:pPr>
      <w:r>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694B704D">
      <w:pPr>
        <w:suppressAutoHyphens w:val="0"/>
        <w:spacing w:before="72" w:beforeLines="30" w:after="72" w:afterLines="30"/>
        <w:jc w:val="both"/>
        <w:rPr>
          <w:rFonts w:eastAsia="Arial Unicode MS"/>
          <w:szCs w:val="24"/>
          <w:lang w:eastAsia="pt-BR"/>
        </w:rPr>
      </w:pPr>
      <w:r>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pPr>
        <w:suppressAutoHyphens w:val="0"/>
        <w:spacing w:before="72" w:beforeLines="30" w:after="72" w:afterLines="30"/>
        <w:jc w:val="both"/>
        <w:rPr>
          <w:rFonts w:eastAsia="Arial Unicode MS"/>
          <w:szCs w:val="24"/>
          <w:lang w:eastAsia="pt-BR"/>
        </w:rPr>
      </w:pPr>
      <w:r>
        <w:rPr>
          <w:rFonts w:eastAsia="Arial Unicode MS"/>
          <w:szCs w:val="24"/>
          <w:lang w:eastAsia="pt-BR"/>
        </w:rPr>
        <w:t>6.1.3 Na formalização do contrato ou do instrumento substituto deverá haver a indicação da disponibilidade dos créditos orçamentários respectivos.</w:t>
      </w:r>
    </w:p>
    <w:p w14:paraId="05AC7ECA">
      <w:pPr>
        <w:suppressAutoHyphens w:val="0"/>
        <w:spacing w:before="72" w:beforeLines="30" w:after="72" w:afterLines="30"/>
        <w:jc w:val="both"/>
        <w:rPr>
          <w:rFonts w:eastAsia="Arial Unicode MS"/>
          <w:szCs w:val="24"/>
          <w:lang w:eastAsia="pt-BR"/>
        </w:rPr>
      </w:pPr>
      <w:r>
        <w:rPr>
          <w:rFonts w:eastAsia="Arial Unicode MS"/>
          <w:szCs w:val="24"/>
          <w:lang w:eastAsia="pt-BR"/>
        </w:rPr>
        <w:t>6.2 A contratação com os fornecedores registrados na ata será formalizada pelo órgão ou pela en</w:t>
      </w:r>
      <w:r>
        <w:rPr>
          <w:rFonts w:eastAsia="Arial"/>
          <w:szCs w:val="24"/>
          <w:lang w:eastAsia="pt-BR"/>
        </w:rPr>
        <w:t>ti</w:t>
      </w:r>
      <w:r>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pPr>
        <w:suppressAutoHyphens w:val="0"/>
        <w:spacing w:before="72" w:beforeLines="30" w:after="72" w:afterLines="30"/>
        <w:jc w:val="both"/>
        <w:rPr>
          <w:rFonts w:eastAsia="Arial Unicode MS"/>
          <w:szCs w:val="24"/>
          <w:lang w:eastAsia="pt-BR"/>
        </w:rPr>
      </w:pPr>
      <w:r>
        <w:rPr>
          <w:rFonts w:eastAsia="Arial Unicode MS"/>
          <w:szCs w:val="24"/>
          <w:lang w:eastAsia="pt-BR"/>
        </w:rPr>
        <w:t>6.2.1 O instrumento contratual de que trata o item 6.2. deverá ser assinado no prazo de validade da ata de registro de preços.</w:t>
      </w:r>
    </w:p>
    <w:p w14:paraId="2BCC5B8D">
      <w:pPr>
        <w:suppressAutoHyphens w:val="0"/>
        <w:spacing w:before="72" w:beforeLines="30" w:after="72" w:afterLines="30"/>
        <w:jc w:val="both"/>
        <w:rPr>
          <w:rFonts w:eastAsia="Arial Unicode MS"/>
          <w:szCs w:val="24"/>
          <w:lang w:eastAsia="pt-BR"/>
        </w:rPr>
      </w:pPr>
      <w:r>
        <w:rPr>
          <w:rFonts w:eastAsia="Arial Unicode MS"/>
          <w:szCs w:val="24"/>
          <w:lang w:eastAsia="pt-BR"/>
        </w:rPr>
        <w:t>6.3 Os contratos decorrentes do sistema de registro de preços poderão ser alterados, observado o art. 124 da Lei nº 14.133, de 2021.</w:t>
      </w:r>
    </w:p>
    <w:p w14:paraId="59E0F0A9">
      <w:pPr>
        <w:suppressAutoHyphens w:val="0"/>
        <w:spacing w:before="72" w:beforeLines="30" w:after="72" w:afterLines="30"/>
        <w:jc w:val="both"/>
        <w:rPr>
          <w:rFonts w:eastAsia="Arial Unicode MS"/>
          <w:szCs w:val="24"/>
          <w:lang w:eastAsia="pt-BR"/>
        </w:rPr>
      </w:pPr>
      <w:r>
        <w:rPr>
          <w:rFonts w:eastAsia="Arial Unicode MS"/>
          <w:szCs w:val="24"/>
          <w:lang w:eastAsia="pt-BR"/>
        </w:rPr>
        <w:t>6.4 Após a homologação da licitação, deverão ser observadas as seguintes condições para formalização da ata de registro de preços:</w:t>
      </w:r>
    </w:p>
    <w:p w14:paraId="257D6554">
      <w:pPr>
        <w:suppressAutoHyphens w:val="0"/>
        <w:spacing w:before="72" w:beforeLines="30" w:after="72" w:afterLines="30"/>
        <w:jc w:val="both"/>
        <w:rPr>
          <w:rFonts w:eastAsia="Arial Unicode MS"/>
          <w:szCs w:val="24"/>
          <w:lang w:eastAsia="pt-BR"/>
        </w:rPr>
      </w:pPr>
      <w:r>
        <w:rPr>
          <w:rFonts w:eastAsia="Arial Unicode MS"/>
          <w:szCs w:val="24"/>
          <w:lang w:eastAsia="pt-BR"/>
        </w:rPr>
        <w:t>6.4.1 Serão registrados na ata os preços e os quantita</w:t>
      </w:r>
      <w:r>
        <w:rPr>
          <w:rFonts w:eastAsia="Arial"/>
          <w:szCs w:val="24"/>
          <w:lang w:eastAsia="pt-BR"/>
        </w:rPr>
        <w:t>ti</w:t>
      </w:r>
      <w:r>
        <w:rPr>
          <w:rFonts w:eastAsia="Arial Unicode MS"/>
          <w:szCs w:val="24"/>
          <w:lang w:eastAsia="pt-BR"/>
        </w:rPr>
        <w:t xml:space="preserve">vos do adjudicatário, devendo ser observada a possibilidade de o licitante oferecer ou não proposta em quantitativo inferior ao máximo previsto </w:t>
      </w:r>
      <w:r>
        <w:rPr>
          <w:rFonts w:eastAsia="Arial Unicode MS"/>
          <w:i/>
          <w:iCs/>
          <w:szCs w:val="24"/>
          <w:lang w:eastAsia="pt-BR"/>
        </w:rPr>
        <w:t xml:space="preserve">no edital </w:t>
      </w:r>
      <w:r>
        <w:rPr>
          <w:rFonts w:eastAsia="Arial Unicode MS"/>
          <w:szCs w:val="24"/>
          <w:lang w:eastAsia="pt-BR"/>
        </w:rPr>
        <w:t>e se obrigar nos limites dela;</w:t>
      </w:r>
    </w:p>
    <w:p w14:paraId="56A50A80">
      <w:pPr>
        <w:suppressAutoHyphens w:val="0"/>
        <w:spacing w:before="72" w:beforeLines="30" w:after="72" w:afterLines="30"/>
        <w:jc w:val="both"/>
        <w:rPr>
          <w:rFonts w:eastAsia="Arial Unicode MS"/>
          <w:szCs w:val="24"/>
          <w:lang w:eastAsia="pt-BR"/>
        </w:rPr>
      </w:pPr>
      <w:r>
        <w:rPr>
          <w:rFonts w:eastAsia="Arial Unicode MS"/>
          <w:szCs w:val="24"/>
          <w:lang w:eastAsia="pt-BR"/>
        </w:rPr>
        <w:t>6.4.2 Será incluído na ata, na forma de anexo, o registro dos licitantes ou dos fornecedores que:</w:t>
      </w:r>
    </w:p>
    <w:p w14:paraId="1490B92E">
      <w:pPr>
        <w:numPr>
          <w:ilvl w:val="3"/>
          <w:numId w:val="0"/>
        </w:numPr>
        <w:suppressAutoHyphens w:val="0"/>
        <w:spacing w:before="72" w:beforeLines="30" w:after="72" w:afterLines="30"/>
        <w:jc w:val="both"/>
        <w:rPr>
          <w:szCs w:val="24"/>
          <w:lang w:eastAsia="pt-BR"/>
        </w:rPr>
      </w:pPr>
      <w:r>
        <w:rPr>
          <w:szCs w:val="24"/>
          <w:lang w:eastAsia="pt-BR"/>
        </w:rPr>
        <w:t xml:space="preserve">a) Aceitarem cotar os bens, as obras ou os serviços com preços iguais aos do adjudicatário, observada a classificação da licitação; e </w:t>
      </w:r>
    </w:p>
    <w:p w14:paraId="0F1CC3AD">
      <w:pPr>
        <w:numPr>
          <w:ilvl w:val="3"/>
          <w:numId w:val="0"/>
        </w:numPr>
        <w:suppressAutoHyphens w:val="0"/>
        <w:spacing w:before="72" w:beforeLines="30" w:after="72" w:afterLines="30"/>
        <w:jc w:val="both"/>
        <w:rPr>
          <w:szCs w:val="24"/>
          <w:lang w:eastAsia="pt-BR"/>
        </w:rPr>
      </w:pPr>
      <w:r>
        <w:rPr>
          <w:szCs w:val="24"/>
          <w:lang w:eastAsia="pt-BR"/>
        </w:rPr>
        <w:t xml:space="preserve">b) Mantiverem sua proposta original. </w:t>
      </w:r>
      <w:bookmarkStart w:id="18" w:name="cadastro_reserva"/>
      <w:bookmarkEnd w:id="18"/>
    </w:p>
    <w:p w14:paraId="5D8B6C88">
      <w:pPr>
        <w:suppressAutoHyphens w:val="0"/>
        <w:spacing w:before="72" w:beforeLines="30" w:after="72" w:afterLines="30"/>
        <w:jc w:val="both"/>
        <w:rPr>
          <w:rFonts w:eastAsia="Arial Unicode MS"/>
          <w:szCs w:val="24"/>
          <w:lang w:eastAsia="pt-BR"/>
        </w:rPr>
      </w:pPr>
      <w:r>
        <w:rPr>
          <w:rFonts w:eastAsia="Arial Unicode MS"/>
          <w:szCs w:val="24"/>
          <w:lang w:eastAsia="pt-BR"/>
        </w:rPr>
        <w:t>6.4.3 Será respeitada, nas contratações, a ordem de classificação dos licitantes ou dos fornecedores registrados na ata.</w:t>
      </w:r>
    </w:p>
    <w:p w14:paraId="48CF8F72">
      <w:pPr>
        <w:suppressAutoHyphens w:val="0"/>
        <w:spacing w:before="72" w:beforeLines="30" w:after="72" w:afterLines="30"/>
        <w:jc w:val="both"/>
        <w:rPr>
          <w:rFonts w:eastAsia="Arial Unicode MS"/>
          <w:szCs w:val="24"/>
          <w:lang w:eastAsia="pt-BR"/>
        </w:rPr>
      </w:pPr>
      <w:r>
        <w:rPr>
          <w:rFonts w:eastAsia="Arial Unicode MS"/>
          <w:szCs w:val="24"/>
          <w:lang w:eastAsia="pt-BR"/>
        </w:rPr>
        <w:t>6.5 O registro a que se refere o item 6.4.2</w:t>
      </w:r>
      <w:r>
        <w:rPr>
          <w:rFonts w:eastAsia="Arial Unicode MS"/>
          <w:b/>
          <w:bCs/>
          <w:szCs w:val="24"/>
          <w:lang w:eastAsia="pt-BR"/>
        </w:rPr>
        <w:t xml:space="preserve"> </w:t>
      </w:r>
      <w:r>
        <w:rPr>
          <w:rFonts w:eastAsia="Arial Unicode MS"/>
          <w:szCs w:val="24"/>
          <w:lang w:eastAsia="pt-BR"/>
        </w:rPr>
        <w:t>tem por obje</w:t>
      </w:r>
      <w:r>
        <w:rPr>
          <w:rFonts w:eastAsia="Arial"/>
          <w:szCs w:val="24"/>
          <w:lang w:eastAsia="pt-BR"/>
        </w:rPr>
        <w:t>ti</w:t>
      </w:r>
      <w:r>
        <w:rPr>
          <w:rFonts w:eastAsia="Arial Unicode MS"/>
          <w:szCs w:val="24"/>
          <w:lang w:eastAsia="pt-BR"/>
        </w:rPr>
        <w:t>vo a formação de cadastro de reserva para o caso de impossibilidade de atendimento pelo signatário da ata.</w:t>
      </w:r>
    </w:p>
    <w:p w14:paraId="5DBEF3C9">
      <w:pPr>
        <w:suppressAutoHyphens w:val="0"/>
        <w:spacing w:before="72" w:beforeLines="30" w:after="72" w:afterLines="30"/>
        <w:jc w:val="both"/>
        <w:rPr>
          <w:rFonts w:eastAsia="Arial Unicode MS"/>
          <w:szCs w:val="24"/>
          <w:lang w:eastAsia="pt-BR"/>
        </w:rPr>
      </w:pPr>
      <w:r>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019B4B07">
      <w:pPr>
        <w:suppressAutoHyphens w:val="0"/>
        <w:spacing w:before="72" w:beforeLines="30" w:after="72" w:afterLines="30"/>
        <w:jc w:val="both"/>
        <w:rPr>
          <w:rFonts w:eastAsia="Arial Unicode MS"/>
          <w:szCs w:val="24"/>
          <w:lang w:eastAsia="pt-BR"/>
        </w:rPr>
      </w:pPr>
      <w:r>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19" w:name="habilitacao_reserva"/>
      <w:bookmarkEnd w:id="19"/>
    </w:p>
    <w:p w14:paraId="3D99F953">
      <w:pPr>
        <w:suppressAutoHyphens w:val="0"/>
        <w:spacing w:before="72" w:beforeLines="30" w:after="72" w:afterLines="30"/>
        <w:jc w:val="both"/>
        <w:rPr>
          <w:rFonts w:eastAsia="Arial Unicode MS"/>
          <w:szCs w:val="24"/>
          <w:lang w:eastAsia="pt-BR"/>
        </w:rPr>
      </w:pPr>
      <w:r>
        <w:rPr>
          <w:rFonts w:eastAsia="Arial Unicode MS"/>
          <w:szCs w:val="24"/>
          <w:lang w:eastAsia="pt-BR"/>
        </w:rPr>
        <w:t xml:space="preserve">a) Quando o licitante vencedor não assinar a ata de registro de preços, no prazo e nas condições estabelecidos </w:t>
      </w:r>
      <w:r>
        <w:rPr>
          <w:rFonts w:eastAsia="Arial Unicode MS"/>
          <w:i/>
          <w:iCs/>
          <w:szCs w:val="24"/>
          <w:lang w:eastAsia="pt-BR"/>
        </w:rPr>
        <w:t>no edital;</w:t>
      </w:r>
      <w:r>
        <w:rPr>
          <w:rFonts w:eastAsia="Arial Unicode MS"/>
          <w:szCs w:val="24"/>
          <w:lang w:eastAsia="pt-BR"/>
        </w:rPr>
        <w:t xml:space="preserve"> e</w:t>
      </w:r>
    </w:p>
    <w:p w14:paraId="56FEBE51">
      <w:pPr>
        <w:suppressAutoHyphens w:val="0"/>
        <w:spacing w:before="72" w:beforeLines="30" w:after="72" w:afterLines="30"/>
        <w:jc w:val="both"/>
        <w:rPr>
          <w:rFonts w:eastAsia="Arial Unicode MS"/>
          <w:szCs w:val="24"/>
          <w:lang w:eastAsia="pt-BR"/>
        </w:rPr>
      </w:pPr>
      <w:r>
        <w:rPr>
          <w:rFonts w:eastAsia="Arial Unicode MS"/>
          <w:szCs w:val="24"/>
          <w:lang w:eastAsia="pt-BR"/>
        </w:rPr>
        <w:t>b) Quando houver o cancelamento do registro do licitante ou do registro de preços nas hipóteses previstas neste documento.</w:t>
      </w:r>
    </w:p>
    <w:p w14:paraId="05D81494">
      <w:pPr>
        <w:suppressAutoHyphens w:val="0"/>
        <w:spacing w:before="72" w:beforeLines="30" w:after="72" w:afterLines="30"/>
        <w:jc w:val="both"/>
        <w:rPr>
          <w:rFonts w:eastAsia="Arial Unicode MS"/>
          <w:szCs w:val="24"/>
          <w:lang w:eastAsia="pt-BR"/>
        </w:rPr>
      </w:pPr>
      <w:r>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4D9A1B80">
      <w:pPr>
        <w:suppressAutoHyphens w:val="0"/>
        <w:spacing w:before="72" w:beforeLines="30" w:after="72" w:afterLines="30"/>
        <w:jc w:val="both"/>
        <w:rPr>
          <w:rFonts w:eastAsia="Arial Unicode MS"/>
          <w:szCs w:val="24"/>
          <w:lang w:eastAsia="pt-BR"/>
        </w:rPr>
      </w:pPr>
      <w:r>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pPr>
        <w:suppressAutoHyphens w:val="0"/>
        <w:spacing w:before="72" w:beforeLines="30" w:after="72" w:afterLines="30"/>
        <w:jc w:val="both"/>
        <w:rPr>
          <w:rFonts w:eastAsia="Arial Unicode MS"/>
          <w:szCs w:val="24"/>
          <w:lang w:eastAsia="pt-BR"/>
        </w:rPr>
      </w:pPr>
      <w:r>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pPr>
        <w:suppressAutoHyphens w:val="0"/>
        <w:spacing w:before="72" w:beforeLines="30" w:after="72" w:afterLines="30"/>
        <w:jc w:val="both"/>
        <w:rPr>
          <w:rFonts w:eastAsia="Arial Unicode MS"/>
          <w:szCs w:val="24"/>
          <w:lang w:eastAsia="pt-BR"/>
        </w:rPr>
      </w:pPr>
      <w:r>
        <w:rPr>
          <w:rFonts w:eastAsia="Arial Unicode MS"/>
          <w:szCs w:val="24"/>
          <w:lang w:eastAsia="pt-BR"/>
        </w:rPr>
        <w:t>6.10 A ata de registro de preços será assinada por meio de assinatura digital e disponibilizada no portal da transparência do município.</w:t>
      </w:r>
    </w:p>
    <w:p w14:paraId="34A1AB74">
      <w:pPr>
        <w:suppressAutoHyphens w:val="0"/>
        <w:spacing w:before="72" w:beforeLines="30" w:after="72" w:afterLines="30"/>
        <w:jc w:val="both"/>
        <w:rPr>
          <w:rFonts w:eastAsia="Arial Unicode MS"/>
          <w:szCs w:val="24"/>
          <w:lang w:eastAsia="pt-BR"/>
        </w:rPr>
      </w:pPr>
      <w:r>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20" w:name="recusa_dos_que_baixaram_preco"/>
      <w:bookmarkEnd w:id="20"/>
    </w:p>
    <w:p w14:paraId="393B4A59">
      <w:pPr>
        <w:suppressAutoHyphens w:val="0"/>
        <w:spacing w:before="72" w:beforeLines="30" w:after="72" w:afterLines="30"/>
        <w:jc w:val="both"/>
        <w:rPr>
          <w:rFonts w:eastAsia="Arial Unicode MS"/>
          <w:szCs w:val="24"/>
          <w:lang w:eastAsia="pt-BR"/>
        </w:rPr>
      </w:pPr>
      <w:r>
        <w:rPr>
          <w:rFonts w:eastAsia="Arial Unicode MS"/>
          <w:szCs w:val="24"/>
          <w:lang w:eastAsia="pt-BR"/>
        </w:rPr>
        <w:t>6.12 Na hipótese de nenhum dos licitantes que trata o item 6.4.2 “a”, aceitar a contratação nos termos do item anterior, a Administração, observados o valor es</w:t>
      </w:r>
      <w:r>
        <w:rPr>
          <w:rFonts w:eastAsia="Arial"/>
          <w:szCs w:val="24"/>
          <w:lang w:eastAsia="pt-BR"/>
        </w:rPr>
        <w:t>ti</w:t>
      </w:r>
      <w:r>
        <w:rPr>
          <w:rFonts w:eastAsia="Arial Unicode MS"/>
          <w:szCs w:val="24"/>
          <w:lang w:eastAsia="pt-BR"/>
        </w:rPr>
        <w:t xml:space="preserve">mado e sua eventual atualização nos termos </w:t>
      </w:r>
      <w:r>
        <w:rPr>
          <w:rFonts w:eastAsia="Arial Unicode MS"/>
          <w:i/>
          <w:iCs/>
          <w:szCs w:val="24"/>
          <w:lang w:eastAsia="pt-BR"/>
        </w:rPr>
        <w:t xml:space="preserve">do edital </w:t>
      </w:r>
      <w:r>
        <w:rPr>
          <w:rFonts w:eastAsia="Arial Unicode MS"/>
          <w:szCs w:val="24"/>
          <w:lang w:eastAsia="pt-BR"/>
        </w:rPr>
        <w:t>poderá:</w:t>
      </w:r>
    </w:p>
    <w:p w14:paraId="329FFD91">
      <w:pPr>
        <w:suppressAutoHyphens w:val="0"/>
        <w:spacing w:before="72" w:beforeLines="30" w:after="72" w:afterLines="30"/>
        <w:jc w:val="both"/>
        <w:rPr>
          <w:rFonts w:eastAsia="Arial Unicode MS"/>
          <w:szCs w:val="24"/>
          <w:lang w:eastAsia="pt-BR"/>
        </w:rPr>
      </w:pPr>
      <w:r>
        <w:rPr>
          <w:rFonts w:eastAsia="Arial Unicode MS"/>
          <w:szCs w:val="24"/>
          <w:lang w:eastAsia="pt-BR"/>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pPr>
        <w:suppressAutoHyphens w:val="0"/>
        <w:spacing w:before="72" w:beforeLines="30" w:after="72" w:afterLines="30"/>
        <w:jc w:val="both"/>
        <w:rPr>
          <w:rFonts w:eastAsia="Arial Unicode MS"/>
          <w:szCs w:val="24"/>
          <w:lang w:eastAsia="pt-BR"/>
        </w:rPr>
      </w:pPr>
      <w:r>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381D8D7D">
      <w:pPr>
        <w:suppressAutoHyphens w:val="0"/>
        <w:spacing w:before="72" w:beforeLines="30" w:after="72" w:afterLines="30"/>
        <w:jc w:val="both"/>
        <w:rPr>
          <w:rFonts w:eastAsia="Arial Unicode MS"/>
          <w:szCs w:val="24"/>
          <w:lang w:eastAsia="pt-BR"/>
        </w:rPr>
      </w:pPr>
      <w:r>
        <w:rPr>
          <w:rFonts w:eastAsia="Arial Unicode MS"/>
          <w:szCs w:val="24"/>
          <w:lang w:eastAsia="pt-BR"/>
        </w:rPr>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94F5DF">
      <w:pPr>
        <w:pStyle w:val="80"/>
        <w:numPr>
          <w:ilvl w:val="0"/>
          <w:numId w:val="0"/>
        </w:numPr>
        <w:autoSpaceDE w:val="0"/>
        <w:autoSpaceDN w:val="0"/>
        <w:adjustRightInd w:val="0"/>
        <w:spacing w:before="72" w:beforeLines="30" w:after="72" w:afterLines="30" w:line="240" w:lineRule="auto"/>
        <w:rPr>
          <w:rFonts w:ascii="Times New Roman" w:hAnsi="Times New Roman"/>
          <w:sz w:val="24"/>
          <w:szCs w:val="24"/>
        </w:rPr>
      </w:pPr>
      <w:r>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DA95E5A">
      <w:pPr>
        <w:pStyle w:val="80"/>
        <w:numPr>
          <w:ilvl w:val="0"/>
          <w:numId w:val="0"/>
        </w:numPr>
        <w:autoSpaceDE w:val="0"/>
        <w:autoSpaceDN w:val="0"/>
        <w:adjustRightInd w:val="0"/>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6.15 É vedado à contratação, no mesmo órgão ou na mesma entidade, de mais de uma empresa para a execução do mesmo serviço, </w:t>
      </w:r>
      <w:r>
        <w:rPr>
          <w:rFonts w:ascii="Times New Roman" w:hAnsi="Times New Roman"/>
          <w:color w:val="162937"/>
          <w:sz w:val="24"/>
          <w:szCs w:val="24"/>
        </w:rPr>
        <w:t>ressalvado o disposto no art. 49 da Lei nº 14.133, de 2021.</w:t>
      </w:r>
      <w:r>
        <w:rPr>
          <w:rFonts w:ascii="Times New Roman" w:hAnsi="Times New Roman"/>
          <w:sz w:val="24"/>
          <w:szCs w:val="24"/>
        </w:rPr>
        <w:t xml:space="preserve"> </w:t>
      </w:r>
    </w:p>
    <w:p w14:paraId="60C9CEB2">
      <w:pPr>
        <w:suppressAutoHyphens w:val="0"/>
        <w:autoSpaceDE w:val="0"/>
        <w:autoSpaceDN w:val="0"/>
        <w:adjustRightInd w:val="0"/>
        <w:spacing w:before="72" w:beforeLines="30" w:after="72" w:afterLines="30"/>
        <w:jc w:val="both"/>
        <w:rPr>
          <w:rFonts w:eastAsia="Arial Unicode MS"/>
          <w:szCs w:val="24"/>
          <w:lang w:eastAsia="pt-BR"/>
        </w:rPr>
      </w:pPr>
    </w:p>
    <w:p w14:paraId="390B7E26">
      <w:pPr>
        <w:suppressAutoHyphens w:val="0"/>
        <w:spacing w:before="72" w:beforeLines="30" w:after="72" w:afterLines="30"/>
        <w:jc w:val="both"/>
        <w:rPr>
          <w:rFonts w:eastAsia="Arial Unicode MS"/>
          <w:b/>
          <w:szCs w:val="24"/>
          <w:lang w:eastAsia="pt-BR"/>
        </w:rPr>
      </w:pPr>
      <w:r>
        <w:rPr>
          <w:rFonts w:eastAsia="Arial Unicode MS"/>
          <w:b/>
          <w:szCs w:val="24"/>
          <w:lang w:eastAsia="pt-BR"/>
        </w:rPr>
        <w:t>7. REAJUSTE E REVISÃO DE PREÇOS (REALINHAMENTO) REGISTRADOS</w:t>
      </w:r>
    </w:p>
    <w:p w14:paraId="08F33879">
      <w:pPr>
        <w:keepNext/>
        <w:keepLines/>
        <w:tabs>
          <w:tab w:val="left" w:pos="567"/>
        </w:tabs>
        <w:suppressAutoHyphens w:val="0"/>
        <w:spacing w:before="72" w:beforeLines="30" w:after="72" w:afterLines="30"/>
        <w:jc w:val="both"/>
        <w:outlineLvl w:val="0"/>
        <w:rPr>
          <w:rFonts w:eastAsia="Noto Sans CJK SC"/>
          <w:b/>
          <w:szCs w:val="24"/>
        </w:rPr>
      </w:pPr>
      <w:r>
        <w:rPr>
          <w:rFonts w:eastAsia="Noto Sans CJK SC"/>
          <w:b/>
          <w:bCs/>
          <w:szCs w:val="24"/>
        </w:rPr>
        <w:t>7.1 Reajuste</w:t>
      </w:r>
    </w:p>
    <w:p w14:paraId="75CA2410">
      <w:pPr>
        <w:numPr>
          <w:ilvl w:val="1"/>
          <w:numId w:val="0"/>
        </w:numPr>
        <w:suppressAutoHyphens w:val="0"/>
        <w:spacing w:before="72" w:beforeLines="30" w:after="72" w:afterLines="30"/>
        <w:jc w:val="both"/>
        <w:rPr>
          <w:szCs w:val="24"/>
        </w:rPr>
      </w:pPr>
      <w:r>
        <w:rPr>
          <w:szCs w:val="24"/>
        </w:rPr>
        <w:t>7.1.1 Os preços inicialmente contratados são fixos e irreajustáveis no prazo de um ano contado da data de aceite da proposta pela Administração.</w:t>
      </w:r>
    </w:p>
    <w:p w14:paraId="66D67D29">
      <w:pPr>
        <w:numPr>
          <w:ilvl w:val="1"/>
          <w:numId w:val="0"/>
        </w:numPr>
        <w:suppressAutoHyphens w:val="0"/>
        <w:spacing w:before="72" w:beforeLines="30" w:after="72" w:afterLines="30"/>
        <w:jc w:val="both"/>
        <w:rPr>
          <w:szCs w:val="24"/>
        </w:rPr>
      </w:pPr>
      <w:r>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pPr>
        <w:numPr>
          <w:ilvl w:val="1"/>
          <w:numId w:val="0"/>
        </w:numPr>
        <w:suppressAutoHyphens w:val="0"/>
        <w:spacing w:before="72" w:beforeLines="30" w:after="72" w:afterLines="30"/>
        <w:jc w:val="both"/>
        <w:rPr>
          <w:szCs w:val="24"/>
        </w:rPr>
      </w:pPr>
      <w:r>
        <w:rPr>
          <w:szCs w:val="24"/>
        </w:rPr>
        <w:t>7.1.3 Nos reajustes subsequentes ao primeiro, o interregno mínimo de um ano será contado a partir dos efeitos financeiros do último reajuste.</w:t>
      </w:r>
    </w:p>
    <w:p w14:paraId="20DB8D4C">
      <w:pPr>
        <w:numPr>
          <w:ilvl w:val="1"/>
          <w:numId w:val="0"/>
        </w:numPr>
        <w:suppressAutoHyphens w:val="0"/>
        <w:spacing w:before="72" w:beforeLines="30" w:after="72" w:afterLines="30"/>
        <w:jc w:val="both"/>
        <w:rPr>
          <w:szCs w:val="24"/>
        </w:rPr>
      </w:pPr>
      <w:r>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pPr>
        <w:numPr>
          <w:ilvl w:val="1"/>
          <w:numId w:val="0"/>
        </w:numPr>
        <w:suppressAutoHyphens w:val="0"/>
        <w:spacing w:before="72" w:beforeLines="30" w:after="72" w:afterLines="30"/>
        <w:jc w:val="both"/>
        <w:rPr>
          <w:szCs w:val="24"/>
        </w:rPr>
      </w:pPr>
      <w:r>
        <w:rPr>
          <w:szCs w:val="24"/>
        </w:rPr>
        <w:t>7.1.5 Nas aferições finais, o(s) índice(s) utilizado(s) para reajuste será(ão), obrigatoriamente, o(s) definitivo(s).</w:t>
      </w:r>
    </w:p>
    <w:p w14:paraId="1CB52DAB">
      <w:pPr>
        <w:numPr>
          <w:ilvl w:val="1"/>
          <w:numId w:val="0"/>
        </w:numPr>
        <w:suppressAutoHyphens w:val="0"/>
        <w:spacing w:before="72" w:beforeLines="30" w:after="72" w:afterLines="30"/>
        <w:jc w:val="both"/>
        <w:rPr>
          <w:szCs w:val="24"/>
        </w:rPr>
      </w:pPr>
      <w:r>
        <w:rPr>
          <w:szCs w:val="24"/>
        </w:rPr>
        <w:t>7.1.6 Caso o(s) índice(s) estabelecido(s) para reajustamento venha(m) a ser extinto(s) ou de qualquer forma não possa(m) mais ser utilizado(s), será(ão) adotado(s), em substituição, o(s) que vier(em) a ser determinado(s) pela legislação então em vigor.</w:t>
      </w:r>
    </w:p>
    <w:p w14:paraId="6DA5AC25">
      <w:pPr>
        <w:numPr>
          <w:ilvl w:val="1"/>
          <w:numId w:val="0"/>
        </w:numPr>
        <w:suppressAutoHyphens w:val="0"/>
        <w:spacing w:before="72" w:beforeLines="30" w:after="72" w:afterLines="30"/>
        <w:jc w:val="both"/>
        <w:rPr>
          <w:szCs w:val="24"/>
        </w:rPr>
      </w:pPr>
      <w:r>
        <w:rPr>
          <w:szCs w:val="24"/>
        </w:rPr>
        <w:t xml:space="preserve">7.1.7 Na ausência de previsão legal quanto ao índice substituto, as partes elegerão novo índice oficial, para reajustamento do preço do valor remanescente, por meio de termo aditivo. </w:t>
      </w:r>
    </w:p>
    <w:p w14:paraId="07C9FC09">
      <w:pPr>
        <w:suppressAutoHyphens w:val="0"/>
        <w:spacing w:before="72" w:beforeLines="30" w:after="72" w:afterLines="30"/>
        <w:jc w:val="both"/>
        <w:rPr>
          <w:szCs w:val="24"/>
          <w:lang w:eastAsia="pt-BR"/>
        </w:rPr>
      </w:pPr>
      <w:r>
        <w:rPr>
          <w:szCs w:val="24"/>
        </w:rPr>
        <w:t>7.1.8 O reajuste será realizado por apostilamento.</w:t>
      </w:r>
    </w:p>
    <w:p w14:paraId="4DB18B19">
      <w:pPr>
        <w:pStyle w:val="49"/>
        <w:suppressAutoHyphens w:val="0"/>
        <w:spacing w:before="72" w:beforeLines="30" w:after="72" w:afterLines="30"/>
        <w:ind w:left="0"/>
        <w:jc w:val="both"/>
        <w:rPr>
          <w:b/>
          <w:szCs w:val="24"/>
        </w:rPr>
      </w:pPr>
      <w:r>
        <w:rPr>
          <w:b/>
          <w:szCs w:val="24"/>
        </w:rPr>
        <w:t>7.2 Da revisão de preços (realinhamento).</w:t>
      </w:r>
    </w:p>
    <w:p w14:paraId="2F32196C">
      <w:pPr>
        <w:pStyle w:val="49"/>
        <w:suppressAutoHyphens w:val="0"/>
        <w:spacing w:before="72" w:beforeLines="30" w:after="72" w:afterLines="30"/>
        <w:ind w:left="0"/>
        <w:jc w:val="both"/>
        <w:rPr>
          <w:szCs w:val="24"/>
        </w:rPr>
      </w:pPr>
      <w:r>
        <w:rPr>
          <w:szCs w:val="24"/>
        </w:rPr>
        <w:t>7.2.1 A revisão de preços ocorre nos casos em que a modificação é decorrente de evento imprevisível, que não é refletido nos índices de variação de preços, não decorrem de circunstâncias meramente inflacionárias.</w:t>
      </w:r>
    </w:p>
    <w:p w14:paraId="300607D2">
      <w:pPr>
        <w:spacing w:before="72" w:beforeLines="30" w:after="72" w:afterLines="30"/>
        <w:jc w:val="both"/>
        <w:rPr>
          <w:szCs w:val="24"/>
        </w:rPr>
      </w:pPr>
      <w:r>
        <w:rPr>
          <w:szCs w:val="24"/>
        </w:rPr>
        <w:t xml:space="preserve">7.2.2 O pedido de realinhamento deverá ser feito por escrito e protocolado de forma física (na sede da prefeitura municipal de Caracol/MS) ou digital (sendo que neste caso, deverá ser feito </w:t>
      </w:r>
      <w:r>
        <w:rPr>
          <w:b/>
          <w:szCs w:val="24"/>
        </w:rPr>
        <w:t>exclusivamente</w:t>
      </w:r>
      <w:r>
        <w:rPr>
          <w:szCs w:val="24"/>
        </w:rPr>
        <w:t xml:space="preserve"> no email: </w:t>
      </w:r>
      <w:r>
        <w:rPr>
          <w:b/>
          <w:szCs w:val="24"/>
        </w:rPr>
        <w:t>licitacao@pmcaracol.ms.gov.br</w:t>
      </w:r>
      <w:r>
        <w:rPr>
          <w:szCs w:val="24"/>
        </w:rPr>
        <w:t>).</w:t>
      </w:r>
    </w:p>
    <w:p w14:paraId="7266D6FB">
      <w:pPr>
        <w:spacing w:before="72" w:beforeLines="30" w:after="72" w:afterLines="30"/>
        <w:jc w:val="both"/>
        <w:rPr>
          <w:szCs w:val="24"/>
        </w:rPr>
      </w:pPr>
      <w:r>
        <w:rPr>
          <w:szCs w:val="24"/>
        </w:rPr>
        <w:t>7.2.3 O pedido de realinhamento deverá ser acompanhado de documentos hábeis (exemplo: notas fiscais) que comprovem o valor de custo que a contratada pagou anteriormente a apresentação de sua proposta ou do último realinhamento (conforme o caso) e a situação atual.</w:t>
      </w:r>
    </w:p>
    <w:p w14:paraId="6E525743">
      <w:pPr>
        <w:spacing w:before="72" w:beforeLines="30" w:after="72" w:afterLines="30"/>
        <w:jc w:val="both"/>
        <w:rPr>
          <w:szCs w:val="24"/>
        </w:rPr>
      </w:pPr>
      <w:r>
        <w:rPr>
          <w:szCs w:val="24"/>
        </w:rPr>
        <w:t xml:space="preserve">7.2.4 O realinhamento de preços será analisado em até </w:t>
      </w:r>
      <w:r>
        <w:rPr>
          <w:b/>
          <w:szCs w:val="24"/>
        </w:rPr>
        <w:t>10 (dez) dias úteis</w:t>
      </w:r>
      <w:r>
        <w:rPr>
          <w:szCs w:val="24"/>
        </w:rPr>
        <w:t xml:space="preserve">, contados da data de seu protocolo (físico ou digital-email: </w:t>
      </w:r>
      <w:r>
        <w:rPr>
          <w:b/>
          <w:szCs w:val="24"/>
        </w:rPr>
        <w:t>licitacao@pmcaracol.ms.gov.br</w:t>
      </w:r>
      <w:r>
        <w:rPr>
          <w:szCs w:val="24"/>
        </w:rPr>
        <w:t>).</w:t>
      </w:r>
    </w:p>
    <w:p w14:paraId="67EA9DBF">
      <w:pPr>
        <w:numPr>
          <w:ilvl w:val="2"/>
          <w:numId w:val="0"/>
        </w:numPr>
        <w:suppressAutoHyphens w:val="0"/>
        <w:spacing w:before="72" w:beforeLines="30" w:after="72" w:afterLines="30"/>
        <w:jc w:val="both"/>
        <w:rPr>
          <w:szCs w:val="24"/>
        </w:rPr>
      </w:pPr>
      <w:r>
        <w:rPr>
          <w:szCs w:val="24"/>
        </w:rPr>
        <w:t>7.2.4.1 Havendo equívoco/erro na apresentação da Nota Fiscal/documento, que impeça a análise do realinhamento, ou o pedido seja enviado a outro email que não o disposto no inciso 7.2.2, o prazo descrito no item 7.2.4 ficará sobrestado até que o contratado providencie as medidas saneadoras. Nessa hipótese, o prazo para análise reiniciar-se-á após a comprovação da regularização da situação, não acarretando qualquer ônus para o contratante;</w:t>
      </w:r>
    </w:p>
    <w:p w14:paraId="2EB2A4B2">
      <w:pPr>
        <w:spacing w:before="72" w:beforeLines="30" w:after="72" w:afterLines="30"/>
        <w:jc w:val="both"/>
        <w:rPr>
          <w:szCs w:val="24"/>
        </w:rPr>
      </w:pPr>
      <w:r>
        <w:rPr>
          <w:szCs w:val="24"/>
        </w:rPr>
        <w:t>7.2.4.2 o prazo de análise do realinhamento previsto no subitem anterior poderá ser prorrogado em casos de objeto com índices de análise complexos.</w:t>
      </w:r>
    </w:p>
    <w:p w14:paraId="16650141">
      <w:pPr>
        <w:spacing w:before="72" w:beforeLines="30" w:after="72" w:afterLines="30"/>
        <w:jc w:val="both"/>
        <w:rPr>
          <w:szCs w:val="24"/>
        </w:rPr>
      </w:pPr>
      <w:r>
        <w:rPr>
          <w:szCs w:val="24"/>
        </w:rPr>
        <w:t>7.2.4.3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pPr>
        <w:numPr>
          <w:ilvl w:val="3"/>
          <w:numId w:val="0"/>
        </w:numPr>
        <w:suppressAutoHyphens w:val="0"/>
        <w:spacing w:before="72" w:beforeLines="30" w:after="72" w:afterLines="30"/>
        <w:jc w:val="both"/>
        <w:rPr>
          <w:szCs w:val="24"/>
          <w:lang w:eastAsia="pt-BR"/>
        </w:rPr>
      </w:pPr>
    </w:p>
    <w:p w14:paraId="65049991">
      <w:pPr>
        <w:suppressAutoHyphens w:val="0"/>
        <w:spacing w:before="72" w:beforeLines="30" w:after="72" w:afterLines="30"/>
        <w:jc w:val="both"/>
        <w:rPr>
          <w:rFonts w:eastAsia="Arial Unicode MS"/>
          <w:b/>
          <w:szCs w:val="24"/>
          <w:lang w:eastAsia="pt-BR"/>
        </w:rPr>
      </w:pPr>
      <w:r>
        <w:rPr>
          <w:rFonts w:eastAsia="Arial Unicode MS"/>
          <w:b/>
          <w:szCs w:val="24"/>
          <w:lang w:eastAsia="pt-BR"/>
        </w:rPr>
        <w:t>8. NEGOCIAÇÃO DE PREÇOS REGISTRADOS</w:t>
      </w:r>
    </w:p>
    <w:p w14:paraId="7C843FB1">
      <w:pPr>
        <w:pStyle w:val="49"/>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o preço registrado tornar-se superior ao preço pra</w:t>
      </w:r>
      <w:r>
        <w:rPr>
          <w:rFonts w:eastAsia="Calibri"/>
          <w:szCs w:val="24"/>
          <w:lang w:eastAsia="pt-BR"/>
        </w:rPr>
        <w:t>ti</w:t>
      </w:r>
      <w:r>
        <w:rPr>
          <w:rFonts w:eastAsia="Arial Unicode MS"/>
          <w:szCs w:val="24"/>
          <w:lang w:eastAsia="pt-BR"/>
        </w:rPr>
        <w:t>cado no mercado por mo</w:t>
      </w:r>
      <w:r>
        <w:rPr>
          <w:rFonts w:eastAsia="Calibri"/>
          <w:szCs w:val="24"/>
          <w:lang w:eastAsia="pt-BR"/>
        </w:rPr>
        <w:t>ti</w:t>
      </w:r>
      <w:r>
        <w:rPr>
          <w:rFonts w:eastAsia="Arial Unicode MS"/>
          <w:szCs w:val="24"/>
          <w:lang w:eastAsia="pt-BR"/>
        </w:rPr>
        <w:t>vo superveniente, o órgão ou en</w:t>
      </w:r>
      <w:r>
        <w:rPr>
          <w:rFonts w:eastAsia="Calibri"/>
          <w:szCs w:val="24"/>
          <w:lang w:eastAsia="pt-BR"/>
        </w:rPr>
        <w:t>ti</w:t>
      </w:r>
      <w:r>
        <w:rPr>
          <w:rFonts w:eastAsia="Arial Unicode MS"/>
          <w:szCs w:val="24"/>
          <w:lang w:eastAsia="pt-BR"/>
        </w:rPr>
        <w:t>dade gerenciadora convocará o fornecedor para negociar a redução do preço registrado.</w:t>
      </w:r>
    </w:p>
    <w:p w14:paraId="788C5857">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Caso não aceite reduzir seu preço aos valores pra</w:t>
      </w:r>
      <w:r>
        <w:rPr>
          <w:rFonts w:eastAsia="Calibri"/>
          <w:color w:val="000000"/>
          <w:szCs w:val="24"/>
          <w:lang w:eastAsia="pt-BR"/>
        </w:rPr>
        <w:t>ti</w:t>
      </w:r>
      <w:r>
        <w:rPr>
          <w:rFonts w:eastAsia="Arial Unicode MS"/>
          <w:color w:val="000000"/>
          <w:szCs w:val="24"/>
          <w:lang w:eastAsia="pt-BR"/>
        </w:rPr>
        <w:t>cados pelo mercado, o fornecedor será liberado do compromisso assumido quanto ao item registrado, sem aplicação de penalidades administrativas.</w:t>
      </w:r>
    </w:p>
    <w:p w14:paraId="3B26094D">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Se não obtiver êxito nas negociações, o órgão ou en</w:t>
      </w:r>
      <w:r>
        <w:rPr>
          <w:rFonts w:eastAsia="Calibri"/>
          <w:color w:val="000000"/>
          <w:szCs w:val="24"/>
          <w:lang w:eastAsia="pt-BR"/>
        </w:rPr>
        <w:t>tid</w:t>
      </w:r>
      <w:r>
        <w:rPr>
          <w:rFonts w:eastAsia="Arial Unicode MS"/>
          <w:color w:val="000000"/>
          <w:szCs w:val="24"/>
          <w:lang w:eastAsia="pt-BR"/>
        </w:rPr>
        <w:t>ade gerenciadora procederá ao cancelamento da ata de registro de preços, adotando as medidas cabíveis para obtenção de contratação mais vantajosa.</w:t>
      </w:r>
      <w:bookmarkStart w:id="21" w:name="reducao_preco_mercado_negociacao_frustra"/>
      <w:bookmarkEnd w:id="21"/>
    </w:p>
    <w:p w14:paraId="4DF70856">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redução do preço registrado, o gerenciador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2" w:name="hipotese_preco_mercado_maior"/>
      <w:bookmarkEnd w:id="22"/>
    </w:p>
    <w:p w14:paraId="589682CC">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23" w:name="prova_preco_mercado_maior"/>
      <w:bookmarkEnd w:id="23"/>
    </w:p>
    <w:p w14:paraId="21249FA8">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não comprovação da existência de fato superveniente que inviabilize o preço registrado, o pedido será indeferido pelo órgão ou en</w:t>
      </w:r>
      <w:r>
        <w:rPr>
          <w:rFonts w:eastAsia="Calibri"/>
          <w:color w:val="000000"/>
          <w:szCs w:val="24"/>
          <w:lang w:eastAsia="pt-BR"/>
        </w:rPr>
        <w:t>ti</w:t>
      </w:r>
      <w:r>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24" w:name="nao_comprovacao_majoracao_mercado"/>
      <w:bookmarkEnd w:id="24"/>
    </w:p>
    <w:p w14:paraId="150DB7D1">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4A5180DA">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Se não obtiver êxito nas negociações, o órgão ou entidade gerenciadora procederá ao cancelamento da ata de registro de preços, nos termos do item 10.4, e adotará as medidas cabíveis para a obtenção da contratação mais vantajosa.</w:t>
      </w:r>
      <w:bookmarkStart w:id="25" w:name="majora_preco_mercado_negociacao_frustra"/>
      <w:bookmarkEnd w:id="25"/>
    </w:p>
    <w:p w14:paraId="33C90051">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Na hipótese de comprovação da majoração do preço de mercado que inviabilize o preço registrado, conforme previsto no item </w:t>
      </w:r>
      <w:r>
        <w:rPr>
          <w:rFonts w:eastAsia="Arial Unicode MS"/>
          <w:color w:val="000000"/>
          <w:szCs w:val="24"/>
          <w:lang w:eastAsia="pt-BR"/>
        </w:rPr>
        <w:fldChar w:fldCharType="begin"/>
      </w:r>
      <w:r>
        <w:rPr>
          <w:rFonts w:eastAsia="Arial Unicode MS"/>
          <w:color w:val="000000"/>
          <w:szCs w:val="24"/>
          <w:lang w:eastAsia="pt-BR"/>
        </w:rPr>
        <w:instrText xml:space="preserve"> REF hipotese_preco_mercado_maior \r \h  \* MERGEFORMAT </w:instrText>
      </w:r>
      <w:r>
        <w:rPr>
          <w:rFonts w:eastAsia="Arial Unicode MS"/>
          <w:color w:val="000000"/>
          <w:szCs w:val="24"/>
          <w:lang w:eastAsia="pt-BR"/>
        </w:rPr>
        <w:fldChar w:fldCharType="separate"/>
      </w:r>
      <w:r>
        <w:rPr>
          <w:rFonts w:eastAsia="Arial Unicode MS"/>
          <w:color w:val="000000"/>
          <w:szCs w:val="24"/>
          <w:lang w:eastAsia="pt-BR"/>
        </w:rPr>
        <w:t>8.2</w:t>
      </w:r>
      <w:r>
        <w:rPr>
          <w:rFonts w:eastAsia="Arial Unicode MS"/>
          <w:color w:val="000000"/>
          <w:szCs w:val="24"/>
          <w:lang w:eastAsia="pt-BR"/>
        </w:rPr>
        <w:fldChar w:fldCharType="end"/>
      </w:r>
      <w:r>
        <w:rPr>
          <w:rFonts w:eastAsia="Arial Unicode MS"/>
          <w:color w:val="000000"/>
          <w:szCs w:val="24"/>
          <w:lang w:eastAsia="pt-BR"/>
        </w:rPr>
        <w:t xml:space="preserve"> e no item 8.2.1, o órgão ou en</w:t>
      </w:r>
      <w:r>
        <w:rPr>
          <w:rFonts w:eastAsia="Calibri"/>
          <w:color w:val="000000"/>
          <w:szCs w:val="24"/>
          <w:lang w:eastAsia="pt-BR"/>
        </w:rPr>
        <w:t>ti</w:t>
      </w:r>
      <w:r>
        <w:rPr>
          <w:rFonts w:eastAsia="Arial Unicode MS"/>
          <w:color w:val="000000"/>
          <w:szCs w:val="24"/>
          <w:lang w:eastAsia="pt-BR"/>
        </w:rPr>
        <w:t>dade gerenciadora atualizará o preço registrado, de acordo com a realidade dos valores praticados pelo mercado.</w:t>
      </w:r>
    </w:p>
    <w:p w14:paraId="411DE417">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 O órgão ou en</w:t>
      </w:r>
      <w:r>
        <w:rPr>
          <w:rFonts w:eastAsia="Calibri"/>
          <w:color w:val="000000"/>
          <w:szCs w:val="24"/>
          <w:lang w:eastAsia="pt-BR"/>
        </w:rPr>
        <w:t>ti</w:t>
      </w:r>
      <w:r>
        <w:rPr>
          <w:rFonts w:eastAsia="Arial Unicode MS"/>
          <w:color w:val="000000"/>
          <w:szCs w:val="24"/>
          <w:lang w:eastAsia="pt-BR"/>
        </w:rPr>
        <w:t>dade gerenciadora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sobre a efe</w:t>
      </w:r>
      <w:r>
        <w:rPr>
          <w:rFonts w:eastAsia="Calibri"/>
          <w:color w:val="000000"/>
          <w:szCs w:val="24"/>
          <w:lang w:eastAsia="pt-BR"/>
        </w:rPr>
        <w:t>ti</w:t>
      </w:r>
      <w:r>
        <w:rPr>
          <w:rFonts w:eastAsia="Arial Unicode MS"/>
          <w:color w:val="000000"/>
          <w:szCs w:val="24"/>
          <w:lang w:eastAsia="pt-BR"/>
        </w:rPr>
        <w:t>va alteração do preço registrado, para que avaliem a necessidade de alteração contratual, observado o disposto no art. 124 da Lei nº 14.133, de 2021.</w:t>
      </w:r>
    </w:p>
    <w:p w14:paraId="32C416D4">
      <w:pPr>
        <w:suppressAutoHyphens w:val="0"/>
        <w:spacing w:before="72" w:beforeLines="30" w:after="72" w:afterLines="30"/>
        <w:jc w:val="both"/>
        <w:rPr>
          <w:rFonts w:eastAsia="Arial Unicode MS"/>
          <w:color w:val="000000"/>
          <w:szCs w:val="24"/>
          <w:lang w:eastAsia="pt-BR"/>
        </w:rPr>
      </w:pPr>
    </w:p>
    <w:p w14:paraId="27ACA001">
      <w:pPr>
        <w:numPr>
          <w:ilvl w:val="0"/>
          <w:numId w:val="19"/>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REMANEJAMENTO DAS QUANTIDADES REGISTRADAS NA ATA DE REGISTRO DE PREÇOS</w:t>
      </w:r>
    </w:p>
    <w:p w14:paraId="248309CD">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As quan</w:t>
      </w:r>
      <w:r>
        <w:rPr>
          <w:rFonts w:eastAsia="Arial"/>
          <w:szCs w:val="24"/>
          <w:lang w:eastAsia="pt-BR"/>
        </w:rPr>
        <w:t>ti</w:t>
      </w:r>
      <w:r>
        <w:rPr>
          <w:rFonts w:eastAsia="Arial Unicode MS"/>
          <w:szCs w:val="24"/>
          <w:lang w:eastAsia="pt-BR"/>
        </w:rPr>
        <w:t>dades previstas para os itens com preços registrados nas atas de registro de preços poderão ser remanejadas pelo órgão ou en</w:t>
      </w:r>
      <w:r>
        <w:rPr>
          <w:rFonts w:eastAsia="Arial"/>
          <w:szCs w:val="24"/>
          <w:lang w:eastAsia="pt-BR"/>
        </w:rPr>
        <w:t>ti</w:t>
      </w:r>
      <w:r>
        <w:rPr>
          <w:rFonts w:eastAsia="Arial Unicode MS"/>
          <w:szCs w:val="24"/>
          <w:lang w:eastAsia="pt-BR"/>
        </w:rPr>
        <w:t>dade gerenciadora entre os órgãos ou as en</w:t>
      </w:r>
      <w:r>
        <w:rPr>
          <w:rFonts w:eastAsia="Arial"/>
          <w:szCs w:val="24"/>
          <w:lang w:eastAsia="pt-BR"/>
        </w:rPr>
        <w:t>ti</w:t>
      </w:r>
      <w:r>
        <w:rPr>
          <w:rFonts w:eastAsia="Arial Unicode MS"/>
          <w:szCs w:val="24"/>
          <w:lang w:eastAsia="pt-BR"/>
        </w:rPr>
        <w:t>dades par</w:t>
      </w:r>
      <w:r>
        <w:rPr>
          <w:rFonts w:eastAsia="Arial"/>
          <w:szCs w:val="24"/>
          <w:lang w:eastAsia="pt-BR"/>
        </w:rPr>
        <w:t>ti</w:t>
      </w:r>
      <w:r>
        <w:rPr>
          <w:rFonts w:eastAsia="Arial Unicode MS"/>
          <w:szCs w:val="24"/>
          <w:lang w:eastAsia="pt-BR"/>
        </w:rPr>
        <w:t>cipantes do registro de preços.</w:t>
      </w:r>
    </w:p>
    <w:p w14:paraId="521BC33B">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O remanejamento somente poderá ser feito:</w:t>
      </w:r>
    </w:p>
    <w:p w14:paraId="0E1D8C66">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De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 para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w:t>
      </w:r>
    </w:p>
    <w:p w14:paraId="1E9FCFFE">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Entre os participantes de processo de compra centralizada. </w:t>
      </w:r>
    </w:p>
    <w:p w14:paraId="73FAF9D2">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órgão ou en</w:t>
      </w:r>
      <w:r>
        <w:rPr>
          <w:rFonts w:eastAsia="Arial"/>
          <w:szCs w:val="24"/>
          <w:lang w:eastAsia="pt-BR"/>
        </w:rPr>
        <w:t>ti</w:t>
      </w:r>
      <w:r>
        <w:rPr>
          <w:rFonts w:eastAsia="Arial Unicode MS"/>
          <w:szCs w:val="24"/>
          <w:lang w:eastAsia="pt-BR"/>
        </w:rPr>
        <w:t>dade gerenciadora que tiver es</w:t>
      </w:r>
      <w:r>
        <w:rPr>
          <w:rFonts w:eastAsia="Arial"/>
          <w:szCs w:val="24"/>
          <w:lang w:eastAsia="pt-BR"/>
        </w:rPr>
        <w:t>ti</w:t>
      </w:r>
      <w:r>
        <w:rPr>
          <w:rFonts w:eastAsia="Arial Unicode MS"/>
          <w:szCs w:val="24"/>
          <w:lang w:eastAsia="pt-BR"/>
        </w:rPr>
        <w:t>mado as quan</w:t>
      </w:r>
      <w:r>
        <w:rPr>
          <w:rFonts w:eastAsia="Arial"/>
          <w:szCs w:val="24"/>
          <w:lang w:eastAsia="pt-BR"/>
        </w:rPr>
        <w:t>ti</w:t>
      </w:r>
      <w:r>
        <w:rPr>
          <w:rFonts w:eastAsia="Arial Unicode MS"/>
          <w:szCs w:val="24"/>
          <w:lang w:eastAsia="pt-BR"/>
        </w:rPr>
        <w:t>dades que pretende contratar será considerado participante para efeito do remanejamento.</w:t>
      </w:r>
      <w:bookmarkStart w:id="26" w:name="gerenciador_estimador_é_partic_em_remane"/>
      <w:bookmarkEnd w:id="26"/>
    </w:p>
    <w:p w14:paraId="7E4ED01E">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Competirá ao órgão ou à en</w:t>
      </w:r>
      <w:r>
        <w:rPr>
          <w:rFonts w:eastAsia="Arial"/>
          <w:szCs w:val="24"/>
          <w:lang w:eastAsia="pt-BR"/>
        </w:rPr>
        <w:t>ti</w:t>
      </w:r>
      <w:r>
        <w:rPr>
          <w:rFonts w:eastAsia="Arial Unicode MS"/>
          <w:szCs w:val="24"/>
          <w:lang w:eastAsia="pt-BR"/>
        </w:rPr>
        <w:t>dade gerenciadora autorizar o remanejamento solicitado, com a redução do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 inicialmente informado pelo órgão ou pela en</w:t>
      </w:r>
      <w:r>
        <w:rPr>
          <w:rFonts w:eastAsia="Arial"/>
          <w:szCs w:val="24"/>
          <w:lang w:eastAsia="pt-BR"/>
        </w:rPr>
        <w:t>ti</w:t>
      </w:r>
      <w:r>
        <w:rPr>
          <w:rFonts w:eastAsia="Arial Unicode MS"/>
          <w:szCs w:val="24"/>
          <w:lang w:eastAsia="pt-BR"/>
        </w:rPr>
        <w:t>dade par</w:t>
      </w:r>
      <w:r>
        <w:rPr>
          <w:rFonts w:eastAsia="Arial"/>
          <w:szCs w:val="24"/>
          <w:lang w:eastAsia="pt-BR"/>
        </w:rPr>
        <w:t>ti</w:t>
      </w:r>
      <w:r>
        <w:rPr>
          <w:rFonts w:eastAsia="Arial Unicode MS"/>
          <w:szCs w:val="24"/>
          <w:lang w:eastAsia="pt-BR"/>
        </w:rPr>
        <w:t>cipante, desde que haja prévia anuência do órgão ou da en</w:t>
      </w:r>
      <w:r>
        <w:rPr>
          <w:rFonts w:eastAsia="Arial"/>
          <w:szCs w:val="24"/>
          <w:lang w:eastAsia="pt-BR"/>
        </w:rPr>
        <w:t>ti</w:t>
      </w:r>
      <w:r>
        <w:rPr>
          <w:rFonts w:eastAsia="Arial Unicode MS"/>
          <w:szCs w:val="24"/>
          <w:lang w:eastAsia="pt-BR"/>
        </w:rPr>
        <w:t>dade que sofrer redução dos quantitativos informados.</w:t>
      </w:r>
    </w:p>
    <w:p w14:paraId="3092FF38">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da compra centralizada, não havendo indicação pelo órgão ou pela en</w:t>
      </w:r>
      <w:r>
        <w:rPr>
          <w:rFonts w:eastAsia="Arial"/>
          <w:szCs w:val="24"/>
          <w:lang w:eastAsia="pt-BR"/>
        </w:rPr>
        <w:t>ti</w:t>
      </w:r>
      <w:r>
        <w:rPr>
          <w:rFonts w:eastAsia="Arial Unicode MS"/>
          <w:szCs w:val="24"/>
          <w:lang w:eastAsia="pt-BR"/>
        </w:rPr>
        <w:t>dade gerenciadora, dos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vos dos par</w:t>
      </w:r>
      <w:r>
        <w:rPr>
          <w:rFonts w:eastAsia="Arial"/>
          <w:szCs w:val="24"/>
          <w:lang w:eastAsia="pt-BR"/>
        </w:rPr>
        <w:t>ti</w:t>
      </w:r>
      <w:r>
        <w:rPr>
          <w:rFonts w:eastAsia="Arial Unicode MS"/>
          <w:szCs w:val="24"/>
          <w:lang w:eastAsia="pt-BR"/>
        </w:rPr>
        <w:t>cipantes da compra centralizada, nos termos do item 9.3, a distribuição das quantidades para a execução descentralizada será por meio do remanejamento.</w:t>
      </w:r>
    </w:p>
    <w:p w14:paraId="1255C59D">
      <w:pPr>
        <w:suppressAutoHyphens w:val="0"/>
        <w:autoSpaceDE w:val="0"/>
        <w:autoSpaceDN w:val="0"/>
        <w:adjustRightInd w:val="0"/>
        <w:spacing w:before="72" w:beforeLines="30" w:after="72" w:afterLines="30"/>
        <w:jc w:val="both"/>
        <w:rPr>
          <w:rFonts w:eastAsia="Arial Unicode MS"/>
          <w:szCs w:val="24"/>
          <w:lang w:eastAsia="pt-BR"/>
        </w:rPr>
      </w:pPr>
    </w:p>
    <w:p w14:paraId="7F8AC956">
      <w:pPr>
        <w:numPr>
          <w:ilvl w:val="0"/>
          <w:numId w:val="19"/>
        </w:numPr>
        <w:suppressAutoHyphens w:val="0"/>
        <w:spacing w:before="72" w:beforeLines="30" w:after="72" w:afterLines="30"/>
        <w:ind w:left="0" w:firstLine="0"/>
        <w:jc w:val="both"/>
        <w:rPr>
          <w:rFonts w:eastAsia="Arial Unicode MS"/>
          <w:b/>
          <w:iCs/>
          <w:szCs w:val="24"/>
          <w:lang w:eastAsia="pt-BR"/>
        </w:rPr>
      </w:pPr>
      <w:r>
        <w:rPr>
          <w:rFonts w:eastAsia="Arial Unicode MS"/>
          <w:b/>
          <w:szCs w:val="24"/>
          <w:lang w:eastAsia="pt-BR"/>
        </w:rPr>
        <w:t>CANCELAMENTO DO REGISTRO DO LICITANTE VENCEDOR E DOS PREÇOS REGISTRADOS</w:t>
      </w:r>
      <w:bookmarkStart w:id="27" w:name="cancelamento"/>
      <w:bookmarkEnd w:id="27"/>
    </w:p>
    <w:p w14:paraId="0A5AD604">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registro do fornecedor será cancelado pelo gerenciador, quando o fornecedor:</w:t>
      </w:r>
      <w:bookmarkStart w:id="28" w:name="cancelamento_do_fornecedor"/>
      <w:bookmarkEnd w:id="28"/>
    </w:p>
    <w:p w14:paraId="59D10EF9">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Descumprir as condições da ata de registro de preços, sem motivo justificado;</w:t>
      </w:r>
    </w:p>
    <w:p w14:paraId="44385726">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Não re</w:t>
      </w:r>
      <w:r>
        <w:rPr>
          <w:rFonts w:eastAsia="Arial"/>
          <w:color w:val="000000"/>
          <w:szCs w:val="24"/>
          <w:lang w:eastAsia="pt-BR"/>
        </w:rPr>
        <w:t>ti</w:t>
      </w:r>
      <w:r>
        <w:rPr>
          <w:rFonts w:eastAsia="Arial Unicode MS"/>
          <w:color w:val="000000"/>
          <w:szCs w:val="24"/>
          <w:lang w:eastAsia="pt-BR"/>
        </w:rPr>
        <w:t>rar a nota de empenho, ou instrumento equivalente, no prazo estabelecido pela Administração sem justificativa razoável;</w:t>
      </w:r>
    </w:p>
    <w:p w14:paraId="40742DD6">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Não aceitar manter seu preço registrado</w:t>
      </w:r>
    </w:p>
    <w:p w14:paraId="440F4D33">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Sofrer sanção prevista nos incisos III ou IV do caput do art. 156 da Lei nº 14.133, de 2021.</w:t>
      </w:r>
    </w:p>
    <w:p w14:paraId="1A116AEE">
      <w:pPr>
        <w:numPr>
          <w:ilvl w:val="3"/>
          <w:numId w:val="0"/>
        </w:numPr>
        <w:suppressAutoHyphens w:val="0"/>
        <w:spacing w:before="72" w:beforeLines="30" w:after="72" w:afterLines="30"/>
        <w:jc w:val="both"/>
        <w:rPr>
          <w:szCs w:val="24"/>
          <w:lang w:eastAsia="pt-BR"/>
        </w:rPr>
      </w:pPr>
      <w:r>
        <w:rPr>
          <w:szCs w:val="24"/>
          <w:lang w:eastAsia="pt-BR"/>
        </w:rPr>
        <w:t>10.1.5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162501D5">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9" w:name="cancelamento_da_ata"/>
      <w:bookmarkEnd w:id="29"/>
      <w:r>
        <w:rPr>
          <w:rFonts w:eastAsia="Arial Unicode MS"/>
          <w:szCs w:val="24"/>
          <w:lang w:eastAsia="pt-BR"/>
        </w:rPr>
        <w:t xml:space="preserve"> </w:t>
      </w:r>
    </w:p>
    <w:p w14:paraId="0E11ED31">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Por razão de interesse público;</w:t>
      </w:r>
    </w:p>
    <w:p w14:paraId="60C51C8F">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A pedido do fornecedor, decorrente de caso fortuito ou força maior; ou</w:t>
      </w:r>
    </w:p>
    <w:p w14:paraId="04E576CA">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Se não houver êxito nas negociações, nas hipóteses em que o preço de mercado tornar-se superior ou inferior ao preço registrado. </w:t>
      </w:r>
    </w:p>
    <w:p w14:paraId="720AD8E1">
      <w:pPr>
        <w:suppressAutoHyphens w:val="0"/>
        <w:spacing w:before="72" w:beforeLines="30" w:after="72" w:afterLines="30"/>
        <w:jc w:val="both"/>
        <w:rPr>
          <w:rFonts w:eastAsia="Arial Unicode MS"/>
          <w:color w:val="000000"/>
          <w:szCs w:val="24"/>
          <w:lang w:eastAsia="pt-BR"/>
        </w:rPr>
      </w:pPr>
    </w:p>
    <w:p w14:paraId="252F241B">
      <w:pPr>
        <w:numPr>
          <w:ilvl w:val="0"/>
          <w:numId w:val="19"/>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DAS PENALIDADES</w:t>
      </w:r>
    </w:p>
    <w:p w14:paraId="1C88D6BC">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48A2A33E">
      <w:pPr>
        <w:numPr>
          <w:ilvl w:val="2"/>
          <w:numId w:val="19"/>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0F91DF46">
      <w:pPr>
        <w:suppressAutoHyphens w:val="0"/>
        <w:autoSpaceDE w:val="0"/>
        <w:autoSpaceDN w:val="0"/>
        <w:adjustRightInd w:val="0"/>
        <w:spacing w:before="72" w:beforeLines="30" w:after="72" w:afterLines="30"/>
        <w:jc w:val="both"/>
        <w:rPr>
          <w:rFonts w:eastAsia="Arial Unicode MS"/>
          <w:szCs w:val="24"/>
          <w:lang w:eastAsia="pt-BR"/>
        </w:rPr>
      </w:pPr>
    </w:p>
    <w:p w14:paraId="6A2F315B">
      <w:pPr>
        <w:numPr>
          <w:ilvl w:val="0"/>
          <w:numId w:val="19"/>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CONDIÇÕES GERAIS</w:t>
      </w:r>
    </w:p>
    <w:p w14:paraId="2F85615A">
      <w:pPr>
        <w:numPr>
          <w:ilvl w:val="1"/>
          <w:numId w:val="19"/>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eastAsia="Arial Unicode MS"/>
          <w:i/>
          <w:szCs w:val="24"/>
          <w:lang w:eastAsia="pt-BR"/>
        </w:rPr>
        <w:t xml:space="preserve"> </w:t>
      </w:r>
    </w:p>
    <w:p w14:paraId="2AF485C0">
      <w:pPr>
        <w:widowControl w:val="0"/>
        <w:autoSpaceDE w:val="0"/>
        <w:autoSpaceDN w:val="0"/>
        <w:adjustRightInd w:val="0"/>
        <w:spacing w:before="72" w:beforeLines="30" w:after="72" w:afterLines="30"/>
        <w:jc w:val="both"/>
        <w:rPr>
          <w:i/>
          <w:iCs/>
          <w:color w:val="FF0000"/>
          <w:szCs w:val="24"/>
        </w:rPr>
      </w:pPr>
      <w:r>
        <w:rPr>
          <w:szCs w:val="24"/>
        </w:rPr>
        <w:t>Para firmeza e validade do pactuado, a presente Ata foi lavrada em 1 (uma) via, que, depois de lida e achada em ordem, vai assinada pelas partes.</w:t>
      </w:r>
    </w:p>
    <w:p w14:paraId="2F9AEC0E">
      <w:pPr>
        <w:widowControl w:val="0"/>
        <w:autoSpaceDE w:val="0"/>
        <w:autoSpaceDN w:val="0"/>
        <w:adjustRightInd w:val="0"/>
        <w:spacing w:before="72" w:beforeLines="30" w:after="72" w:afterLines="30"/>
        <w:jc w:val="both"/>
        <w:rPr>
          <w:szCs w:val="24"/>
        </w:rPr>
      </w:pPr>
    </w:p>
    <w:p w14:paraId="699891B9">
      <w:pPr>
        <w:widowControl w:val="0"/>
        <w:autoSpaceDE w:val="0"/>
        <w:autoSpaceDN w:val="0"/>
        <w:adjustRightInd w:val="0"/>
        <w:spacing w:before="72" w:beforeLines="30" w:after="72" w:afterLines="30"/>
        <w:jc w:val="both"/>
        <w:rPr>
          <w:szCs w:val="24"/>
        </w:rPr>
      </w:pPr>
    </w:p>
    <w:p w14:paraId="01BBD83E">
      <w:pPr>
        <w:widowControl w:val="0"/>
        <w:autoSpaceDE w:val="0"/>
        <w:autoSpaceDN w:val="0"/>
        <w:adjustRightInd w:val="0"/>
        <w:spacing w:before="72" w:beforeLines="30" w:after="72" w:afterLines="30"/>
        <w:jc w:val="both"/>
        <w:rPr>
          <w:szCs w:val="24"/>
        </w:rPr>
      </w:pPr>
      <w:r>
        <w:rPr>
          <w:szCs w:val="24"/>
        </w:rPr>
        <w:t>Local e data</w:t>
      </w:r>
    </w:p>
    <w:p w14:paraId="087E479A">
      <w:pPr>
        <w:widowControl w:val="0"/>
        <w:autoSpaceDE w:val="0"/>
        <w:autoSpaceDN w:val="0"/>
        <w:adjustRightInd w:val="0"/>
        <w:spacing w:before="72" w:beforeLines="30" w:after="72" w:afterLines="30"/>
        <w:jc w:val="both"/>
        <w:rPr>
          <w:szCs w:val="24"/>
        </w:rPr>
      </w:pPr>
    </w:p>
    <w:p w14:paraId="1E636C90">
      <w:pPr>
        <w:widowControl w:val="0"/>
        <w:autoSpaceDE w:val="0"/>
        <w:autoSpaceDN w:val="0"/>
        <w:adjustRightInd w:val="0"/>
        <w:spacing w:before="72" w:beforeLines="30" w:after="72" w:afterLines="30"/>
        <w:jc w:val="both"/>
        <w:rPr>
          <w:szCs w:val="24"/>
        </w:rPr>
      </w:pPr>
      <w:r>
        <w:rPr>
          <w:szCs w:val="24"/>
        </w:rPr>
        <w:t>Assinaturas</w:t>
      </w:r>
    </w:p>
    <w:p w14:paraId="67487FF8">
      <w:pPr>
        <w:widowControl w:val="0"/>
        <w:autoSpaceDE w:val="0"/>
        <w:autoSpaceDN w:val="0"/>
        <w:adjustRightInd w:val="0"/>
        <w:spacing w:before="72" w:beforeLines="30" w:after="72" w:afterLines="30"/>
        <w:jc w:val="both"/>
        <w:rPr>
          <w:szCs w:val="24"/>
        </w:rPr>
      </w:pPr>
    </w:p>
    <w:p w14:paraId="48318859">
      <w:pPr>
        <w:spacing w:before="72" w:beforeLines="30" w:after="72" w:afterLines="30"/>
        <w:jc w:val="both"/>
        <w:rPr>
          <w:b/>
          <w:szCs w:val="24"/>
        </w:rPr>
      </w:pPr>
      <w:r>
        <w:rPr>
          <w:b/>
          <w:szCs w:val="24"/>
        </w:rPr>
        <w:t>Carlos Humberto Pagliosa</w:t>
      </w:r>
    </w:p>
    <w:p w14:paraId="2F48A0A4">
      <w:pPr>
        <w:spacing w:before="72" w:beforeLines="30" w:after="72" w:afterLines="30"/>
        <w:jc w:val="both"/>
        <w:rPr>
          <w:b/>
          <w:bCs/>
          <w:szCs w:val="24"/>
        </w:rPr>
      </w:pPr>
      <w:r>
        <w:rPr>
          <w:bCs/>
          <w:szCs w:val="24"/>
        </w:rPr>
        <w:t>Prefeito Municipal de Caracol/MS</w:t>
      </w:r>
    </w:p>
    <w:p w14:paraId="1047730C">
      <w:pPr>
        <w:widowControl w:val="0"/>
        <w:autoSpaceDE w:val="0"/>
        <w:autoSpaceDN w:val="0"/>
        <w:adjustRightInd w:val="0"/>
        <w:spacing w:before="72" w:beforeLines="30" w:after="72" w:afterLines="30"/>
        <w:jc w:val="both"/>
        <w:rPr>
          <w:szCs w:val="24"/>
        </w:rPr>
      </w:pPr>
    </w:p>
    <w:p w14:paraId="20154111">
      <w:pPr>
        <w:widowControl w:val="0"/>
        <w:autoSpaceDE w:val="0"/>
        <w:autoSpaceDN w:val="0"/>
        <w:adjustRightInd w:val="0"/>
        <w:spacing w:before="72" w:beforeLines="30" w:after="72" w:afterLines="30"/>
        <w:jc w:val="both"/>
        <w:rPr>
          <w:szCs w:val="24"/>
        </w:rPr>
      </w:pPr>
    </w:p>
    <w:p w14:paraId="6A6DFB5F">
      <w:pPr>
        <w:widowControl w:val="0"/>
        <w:autoSpaceDE w:val="0"/>
        <w:autoSpaceDN w:val="0"/>
        <w:adjustRightInd w:val="0"/>
        <w:spacing w:before="72" w:beforeLines="30" w:after="72" w:afterLines="30"/>
        <w:jc w:val="both"/>
        <w:rPr>
          <w:color w:val="000000"/>
          <w:szCs w:val="24"/>
        </w:rPr>
      </w:pPr>
      <w:r>
        <w:rPr>
          <w:szCs w:val="24"/>
        </w:rPr>
        <w:t xml:space="preserve"> representante(s) legal(is) do(s) </w:t>
      </w:r>
      <w:r>
        <w:rPr>
          <w:color w:val="000000"/>
          <w:szCs w:val="24"/>
        </w:rPr>
        <w:t>fornecedor(s) registrado(s)</w:t>
      </w:r>
    </w:p>
    <w:p w14:paraId="50D1A79A">
      <w:pPr>
        <w:widowControl w:val="0"/>
        <w:autoSpaceDE w:val="0"/>
        <w:autoSpaceDN w:val="0"/>
        <w:adjustRightInd w:val="0"/>
        <w:spacing w:before="72" w:beforeLines="30" w:after="72" w:afterLines="30"/>
        <w:jc w:val="both"/>
        <w:rPr>
          <w:b/>
          <w:color w:val="000000"/>
          <w:szCs w:val="24"/>
        </w:rPr>
      </w:pPr>
    </w:p>
    <w:p w14:paraId="39ABFF37">
      <w:pPr>
        <w:widowControl w:val="0"/>
        <w:autoSpaceDE w:val="0"/>
        <w:autoSpaceDN w:val="0"/>
        <w:adjustRightInd w:val="0"/>
        <w:spacing w:before="72" w:beforeLines="30" w:after="72" w:afterLines="30"/>
        <w:jc w:val="both"/>
        <w:rPr>
          <w:b/>
          <w:color w:val="000000"/>
          <w:szCs w:val="24"/>
        </w:rPr>
      </w:pPr>
    </w:p>
    <w:p w14:paraId="389275FF">
      <w:pPr>
        <w:widowControl w:val="0"/>
        <w:autoSpaceDE w:val="0"/>
        <w:autoSpaceDN w:val="0"/>
        <w:adjustRightInd w:val="0"/>
        <w:spacing w:before="72" w:beforeLines="30" w:after="72" w:afterLines="30"/>
        <w:jc w:val="center"/>
        <w:rPr>
          <w:b/>
          <w:color w:val="000000"/>
          <w:szCs w:val="24"/>
        </w:rPr>
      </w:pPr>
      <w:r>
        <w:rPr>
          <w:b/>
          <w:color w:val="000000"/>
          <w:szCs w:val="24"/>
        </w:rPr>
        <w:t>Anexo único à ARP n. xxxxxxxxxxx</w:t>
      </w:r>
    </w:p>
    <w:p w14:paraId="65C59154">
      <w:pPr>
        <w:widowControl w:val="0"/>
        <w:autoSpaceDE w:val="0"/>
        <w:autoSpaceDN w:val="0"/>
        <w:adjustRightInd w:val="0"/>
        <w:spacing w:before="72" w:beforeLines="30" w:after="72" w:afterLines="30"/>
        <w:jc w:val="both"/>
        <w:rPr>
          <w:color w:val="000000"/>
          <w:szCs w:val="24"/>
        </w:rPr>
      </w:pPr>
    </w:p>
    <w:p w14:paraId="67651E40">
      <w:pPr>
        <w:widowControl w:val="0"/>
        <w:autoSpaceDE w:val="0"/>
        <w:autoSpaceDN w:val="0"/>
        <w:adjustRightInd w:val="0"/>
        <w:spacing w:before="72" w:beforeLines="30" w:after="72" w:afterLines="30"/>
        <w:jc w:val="both"/>
        <w:rPr>
          <w:color w:val="000000"/>
          <w:szCs w:val="24"/>
        </w:rPr>
      </w:pPr>
      <w:r>
        <w:rPr>
          <w:color w:val="000000"/>
          <w:szCs w:val="24"/>
        </w:rPr>
        <w:t>Cadastro Reserva</w:t>
      </w:r>
    </w:p>
    <w:p w14:paraId="2D467C2E">
      <w:pPr>
        <w:widowControl w:val="0"/>
        <w:autoSpaceDE w:val="0"/>
        <w:autoSpaceDN w:val="0"/>
        <w:adjustRightInd w:val="0"/>
        <w:spacing w:before="72" w:beforeLines="30" w:after="72" w:afterLines="30"/>
        <w:jc w:val="both"/>
        <w:rPr>
          <w:color w:val="000000"/>
          <w:szCs w:val="24"/>
        </w:rPr>
      </w:pPr>
    </w:p>
    <w:p w14:paraId="0416BF04">
      <w:pPr>
        <w:widowControl w:val="0"/>
        <w:autoSpaceDE w:val="0"/>
        <w:autoSpaceDN w:val="0"/>
        <w:adjustRightInd w:val="0"/>
        <w:spacing w:before="72" w:beforeLines="30" w:after="72" w:afterLines="30"/>
        <w:jc w:val="both"/>
        <w:rPr>
          <w:color w:val="000000"/>
          <w:szCs w:val="24"/>
        </w:rPr>
      </w:pPr>
      <w:r>
        <w:rPr>
          <w:color w:val="000000"/>
          <w:szCs w:val="24"/>
        </w:rPr>
        <w:t>Seguindo a ordem de classificação, segue relação de fornecedores que aceitaram cotar os itens com preços iguais ao adjudicatário:</w:t>
      </w:r>
    </w:p>
    <w:p w14:paraId="77AAA8CF">
      <w:pPr>
        <w:widowControl w:val="0"/>
        <w:autoSpaceDE w:val="0"/>
        <w:autoSpaceDN w:val="0"/>
        <w:adjustRightInd w:val="0"/>
        <w:spacing w:before="72" w:beforeLines="30" w:after="72" w:afterLines="30"/>
        <w:jc w:val="both"/>
        <w:rPr>
          <w:color w:val="000000"/>
          <w:szCs w:val="24"/>
        </w:rPr>
      </w:pPr>
    </w:p>
    <w:p w14:paraId="691AFB6B">
      <w:pPr>
        <w:widowControl w:val="0"/>
        <w:autoSpaceDE w:val="0"/>
        <w:autoSpaceDN w:val="0"/>
        <w:adjustRightInd w:val="0"/>
        <w:spacing w:before="72" w:beforeLines="30" w:after="72" w:afterLines="30"/>
        <w:jc w:val="both"/>
        <w:rPr>
          <w:color w:val="000000"/>
          <w:szCs w:val="24"/>
        </w:rPr>
      </w:pPr>
    </w:p>
    <w:p w14:paraId="4B2C1934">
      <w:pPr>
        <w:widowControl w:val="0"/>
        <w:autoSpaceDE w:val="0"/>
        <w:autoSpaceDN w:val="0"/>
        <w:adjustRightInd w:val="0"/>
        <w:spacing w:before="72" w:beforeLines="30" w:after="72" w:afterLines="30"/>
        <w:jc w:val="both"/>
        <w:rPr>
          <w:color w:val="000000"/>
          <w:szCs w:val="24"/>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6"/>
        <w:gridCol w:w="4627"/>
        <w:gridCol w:w="3021"/>
      </w:tblGrid>
      <w:tr w14:paraId="7305F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75CFB7DA">
            <w:pPr>
              <w:widowControl w:val="0"/>
              <w:autoSpaceDE w:val="0"/>
              <w:autoSpaceDN w:val="0"/>
              <w:adjustRightInd w:val="0"/>
              <w:spacing w:before="72" w:beforeLines="30" w:after="72" w:afterLines="30"/>
              <w:jc w:val="both"/>
              <w:rPr>
                <w:color w:val="000000"/>
                <w:szCs w:val="24"/>
              </w:rPr>
            </w:pPr>
            <w:r>
              <w:rPr>
                <w:color w:val="000000"/>
                <w:szCs w:val="24"/>
              </w:rPr>
              <w:t>Classificação</w:t>
            </w:r>
          </w:p>
        </w:tc>
        <w:tc>
          <w:tcPr>
            <w:tcW w:w="4627" w:type="dxa"/>
          </w:tcPr>
          <w:p w14:paraId="3CCD2FD7">
            <w:pPr>
              <w:widowControl w:val="0"/>
              <w:autoSpaceDE w:val="0"/>
              <w:autoSpaceDN w:val="0"/>
              <w:adjustRightInd w:val="0"/>
              <w:spacing w:before="72" w:beforeLines="30" w:after="72" w:afterLines="30"/>
              <w:jc w:val="both"/>
              <w:rPr>
                <w:color w:val="000000"/>
                <w:szCs w:val="24"/>
              </w:rPr>
            </w:pPr>
            <w:r>
              <w:rPr>
                <w:color w:val="000000"/>
                <w:szCs w:val="24"/>
              </w:rPr>
              <w:t>Fornecedor</w:t>
            </w:r>
          </w:p>
        </w:tc>
        <w:tc>
          <w:tcPr>
            <w:tcW w:w="3021" w:type="dxa"/>
          </w:tcPr>
          <w:p w14:paraId="26B11882">
            <w:pPr>
              <w:widowControl w:val="0"/>
              <w:autoSpaceDE w:val="0"/>
              <w:autoSpaceDN w:val="0"/>
              <w:adjustRightInd w:val="0"/>
              <w:spacing w:before="72" w:beforeLines="30" w:after="72" w:afterLines="30"/>
              <w:jc w:val="both"/>
              <w:rPr>
                <w:color w:val="000000"/>
                <w:szCs w:val="24"/>
              </w:rPr>
            </w:pPr>
            <w:r>
              <w:rPr>
                <w:color w:val="000000"/>
                <w:szCs w:val="24"/>
              </w:rPr>
              <w:t>CNPJ</w:t>
            </w:r>
          </w:p>
        </w:tc>
      </w:tr>
      <w:tr w14:paraId="50EFE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48168F08">
            <w:pPr>
              <w:widowControl w:val="0"/>
              <w:autoSpaceDE w:val="0"/>
              <w:autoSpaceDN w:val="0"/>
              <w:adjustRightInd w:val="0"/>
              <w:spacing w:before="72" w:beforeLines="30" w:after="72" w:afterLines="30"/>
              <w:jc w:val="both"/>
              <w:rPr>
                <w:color w:val="000000"/>
                <w:szCs w:val="24"/>
              </w:rPr>
            </w:pPr>
          </w:p>
        </w:tc>
        <w:tc>
          <w:tcPr>
            <w:tcW w:w="4627" w:type="dxa"/>
          </w:tcPr>
          <w:p w14:paraId="247A02BF">
            <w:pPr>
              <w:widowControl w:val="0"/>
              <w:autoSpaceDE w:val="0"/>
              <w:autoSpaceDN w:val="0"/>
              <w:adjustRightInd w:val="0"/>
              <w:spacing w:before="72" w:beforeLines="30" w:after="72" w:afterLines="30"/>
              <w:jc w:val="both"/>
              <w:rPr>
                <w:color w:val="000000"/>
                <w:szCs w:val="24"/>
              </w:rPr>
            </w:pPr>
          </w:p>
        </w:tc>
        <w:tc>
          <w:tcPr>
            <w:tcW w:w="3021" w:type="dxa"/>
          </w:tcPr>
          <w:p w14:paraId="77C80EE2">
            <w:pPr>
              <w:widowControl w:val="0"/>
              <w:autoSpaceDE w:val="0"/>
              <w:autoSpaceDN w:val="0"/>
              <w:adjustRightInd w:val="0"/>
              <w:spacing w:before="72" w:beforeLines="30" w:after="72" w:afterLines="30"/>
              <w:jc w:val="both"/>
              <w:rPr>
                <w:color w:val="000000"/>
                <w:szCs w:val="24"/>
              </w:rPr>
            </w:pPr>
          </w:p>
        </w:tc>
      </w:tr>
      <w:tr w14:paraId="2C4D8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1EB5FA85">
            <w:pPr>
              <w:widowControl w:val="0"/>
              <w:autoSpaceDE w:val="0"/>
              <w:autoSpaceDN w:val="0"/>
              <w:adjustRightInd w:val="0"/>
              <w:spacing w:before="72" w:beforeLines="30" w:after="72" w:afterLines="30"/>
              <w:jc w:val="both"/>
              <w:rPr>
                <w:color w:val="000000"/>
                <w:szCs w:val="24"/>
              </w:rPr>
            </w:pPr>
          </w:p>
        </w:tc>
        <w:tc>
          <w:tcPr>
            <w:tcW w:w="4627" w:type="dxa"/>
          </w:tcPr>
          <w:p w14:paraId="46587943">
            <w:pPr>
              <w:widowControl w:val="0"/>
              <w:autoSpaceDE w:val="0"/>
              <w:autoSpaceDN w:val="0"/>
              <w:adjustRightInd w:val="0"/>
              <w:spacing w:before="72" w:beforeLines="30" w:after="72" w:afterLines="30"/>
              <w:jc w:val="both"/>
              <w:rPr>
                <w:color w:val="000000"/>
                <w:szCs w:val="24"/>
              </w:rPr>
            </w:pPr>
          </w:p>
        </w:tc>
        <w:tc>
          <w:tcPr>
            <w:tcW w:w="3021" w:type="dxa"/>
          </w:tcPr>
          <w:p w14:paraId="4B30DAFA">
            <w:pPr>
              <w:widowControl w:val="0"/>
              <w:autoSpaceDE w:val="0"/>
              <w:autoSpaceDN w:val="0"/>
              <w:adjustRightInd w:val="0"/>
              <w:spacing w:before="72" w:beforeLines="30" w:after="72" w:afterLines="30"/>
              <w:jc w:val="both"/>
              <w:rPr>
                <w:color w:val="000000"/>
                <w:szCs w:val="24"/>
              </w:rPr>
            </w:pPr>
          </w:p>
        </w:tc>
      </w:tr>
      <w:tr w14:paraId="6DED1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3571F55E">
            <w:pPr>
              <w:widowControl w:val="0"/>
              <w:autoSpaceDE w:val="0"/>
              <w:autoSpaceDN w:val="0"/>
              <w:adjustRightInd w:val="0"/>
              <w:spacing w:before="72" w:beforeLines="30" w:after="72" w:afterLines="30"/>
              <w:jc w:val="both"/>
              <w:rPr>
                <w:color w:val="000000"/>
                <w:szCs w:val="24"/>
              </w:rPr>
            </w:pPr>
          </w:p>
        </w:tc>
        <w:tc>
          <w:tcPr>
            <w:tcW w:w="4627" w:type="dxa"/>
          </w:tcPr>
          <w:p w14:paraId="6FDEEE5D">
            <w:pPr>
              <w:widowControl w:val="0"/>
              <w:autoSpaceDE w:val="0"/>
              <w:autoSpaceDN w:val="0"/>
              <w:adjustRightInd w:val="0"/>
              <w:spacing w:before="72" w:beforeLines="30" w:after="72" w:afterLines="30"/>
              <w:jc w:val="both"/>
              <w:rPr>
                <w:color w:val="000000"/>
                <w:szCs w:val="24"/>
              </w:rPr>
            </w:pPr>
          </w:p>
        </w:tc>
        <w:tc>
          <w:tcPr>
            <w:tcW w:w="3021" w:type="dxa"/>
          </w:tcPr>
          <w:p w14:paraId="566B501B">
            <w:pPr>
              <w:widowControl w:val="0"/>
              <w:autoSpaceDE w:val="0"/>
              <w:autoSpaceDN w:val="0"/>
              <w:adjustRightInd w:val="0"/>
              <w:spacing w:before="72" w:beforeLines="30" w:after="72" w:afterLines="30"/>
              <w:jc w:val="both"/>
              <w:rPr>
                <w:color w:val="000000"/>
                <w:szCs w:val="24"/>
              </w:rPr>
            </w:pPr>
          </w:p>
        </w:tc>
      </w:tr>
    </w:tbl>
    <w:p w14:paraId="3AE88151">
      <w:pPr>
        <w:tabs>
          <w:tab w:val="left" w:pos="284"/>
          <w:tab w:val="left" w:pos="709"/>
        </w:tabs>
        <w:autoSpaceDE w:val="0"/>
        <w:snapToGrid w:val="0"/>
        <w:spacing w:before="72" w:beforeLines="30" w:after="72" w:afterLines="30"/>
        <w:jc w:val="both"/>
        <w:rPr>
          <w:b/>
          <w:szCs w:val="24"/>
        </w:rPr>
      </w:pPr>
    </w:p>
    <w:p w14:paraId="111F8316">
      <w:pPr>
        <w:suppressAutoHyphens w:val="0"/>
        <w:spacing w:before="72" w:beforeLines="30" w:after="72" w:afterLines="30"/>
        <w:jc w:val="both"/>
        <w:rPr>
          <w:b/>
          <w:szCs w:val="24"/>
        </w:rPr>
      </w:pPr>
      <w:r>
        <w:rPr>
          <w:b/>
          <w:szCs w:val="24"/>
        </w:rPr>
        <w:br w:type="page"/>
      </w:r>
    </w:p>
    <w:p w14:paraId="6691A303">
      <w:pPr>
        <w:tabs>
          <w:tab w:val="left" w:pos="284"/>
          <w:tab w:val="left" w:pos="709"/>
        </w:tabs>
        <w:autoSpaceDE w:val="0"/>
        <w:snapToGrid w:val="0"/>
        <w:spacing w:before="72" w:beforeLines="30" w:after="72" w:afterLines="30"/>
        <w:jc w:val="center"/>
        <w:rPr>
          <w:b/>
          <w:szCs w:val="24"/>
        </w:rPr>
      </w:pPr>
      <w:r>
        <w:rPr>
          <w:b/>
          <w:szCs w:val="24"/>
        </w:rPr>
        <w:t>ANEXO IV – Modelo de Declaração</w:t>
      </w:r>
    </w:p>
    <w:p w14:paraId="7C278DE4">
      <w:pPr>
        <w:tabs>
          <w:tab w:val="left" w:pos="284"/>
          <w:tab w:val="left" w:pos="709"/>
        </w:tabs>
        <w:autoSpaceDE w:val="0"/>
        <w:snapToGrid w:val="0"/>
        <w:spacing w:before="72" w:beforeLines="30" w:after="72" w:afterLines="30"/>
        <w:jc w:val="both"/>
        <w:rPr>
          <w:b/>
          <w:szCs w:val="24"/>
        </w:rPr>
      </w:pPr>
    </w:p>
    <w:p w14:paraId="147B61EF">
      <w:pPr>
        <w:spacing w:before="72" w:beforeLines="30" w:after="72" w:afterLines="30"/>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XX/2026,</w:t>
      </w:r>
      <w:r>
        <w:rPr>
          <w:szCs w:val="24"/>
        </w:rPr>
        <w:t xml:space="preserve"> sob as sanções administrativas cabíveis e sob penas da Lei, que esta empresa, na presente data:</w:t>
      </w:r>
    </w:p>
    <w:p w14:paraId="5C68DC46">
      <w:pPr>
        <w:spacing w:before="72" w:beforeLines="30" w:after="72" w:afterLines="30"/>
        <w:jc w:val="both"/>
        <w:rPr>
          <w:szCs w:val="24"/>
        </w:rPr>
      </w:pPr>
    </w:p>
    <w:p w14:paraId="3DD74A16">
      <w:pPr>
        <w:spacing w:before="72" w:beforeLines="30" w:after="72" w:afterLines="30"/>
        <w:jc w:val="both"/>
        <w:rPr>
          <w:szCs w:val="24"/>
        </w:rPr>
      </w:pPr>
      <w:r>
        <w:rPr>
          <w:szCs w:val="24"/>
        </w:rPr>
        <w:t>I - Que até a presente data inexistem fatos impeditivos para habilitação e contratação com a administração pública, ciente da obrigatoriedade de declarar ocorrências posteriores.</w:t>
      </w:r>
    </w:p>
    <w:p w14:paraId="074213F9">
      <w:pPr>
        <w:spacing w:before="72" w:beforeLines="30" w:after="72" w:afterLines="30"/>
        <w:jc w:val="both"/>
        <w:rPr>
          <w:szCs w:val="24"/>
        </w:rPr>
      </w:pPr>
      <w:r>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pPr>
        <w:spacing w:before="72" w:beforeLines="30" w:after="72" w:afterLines="30"/>
        <w:jc w:val="both"/>
        <w:rPr>
          <w:szCs w:val="24"/>
        </w:rPr>
      </w:pPr>
      <w:r>
        <w:rPr>
          <w:szCs w:val="24"/>
        </w:rPr>
        <w:t xml:space="preserve">III- não empregamos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color w:val="auto"/>
          <w:szCs w:val="24"/>
        </w:rPr>
        <w:t>artigo 7°, XXXIII, da Constituição</w:t>
      </w:r>
      <w:r>
        <w:rPr>
          <w:rStyle w:val="17"/>
          <w:color w:val="auto"/>
          <w:szCs w:val="24"/>
        </w:rPr>
        <w:fldChar w:fldCharType="end"/>
      </w:r>
      <w:r>
        <w:rPr>
          <w:szCs w:val="24"/>
        </w:rPr>
        <w:t>;</w:t>
      </w:r>
    </w:p>
    <w:p w14:paraId="11EEF667">
      <w:pPr>
        <w:pStyle w:val="82"/>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possuímos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rFonts w:ascii="Times New Roman" w:hAnsi="Times New Roman" w:cs="Times New Roman"/>
          <w:color w:val="auto"/>
          <w:sz w:val="24"/>
          <w:szCs w:val="24"/>
        </w:rPr>
        <w:t>incisos III e IV do art. 1º e no inciso III do art. 5º da Constituição Federal</w:t>
      </w:r>
      <w:r>
        <w:rPr>
          <w:rStyle w:val="17"/>
          <w:rFonts w:ascii="Times New Roman" w:hAnsi="Times New Roman" w:cs="Times New Roman"/>
          <w:color w:val="auto"/>
          <w:sz w:val="24"/>
          <w:szCs w:val="24"/>
        </w:rPr>
        <w:fldChar w:fldCharType="end"/>
      </w:r>
      <w:r>
        <w:rPr>
          <w:rFonts w:ascii="Times New Roman" w:hAnsi="Times New Roman" w:cs="Times New Roman"/>
          <w:color w:val="auto"/>
          <w:sz w:val="24"/>
          <w:szCs w:val="24"/>
        </w:rPr>
        <w:t>;</w:t>
      </w:r>
    </w:p>
    <w:p w14:paraId="176F8B9C">
      <w:pPr>
        <w:pStyle w:val="82"/>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V – cumprimos  as exigências de reserva de cargos para pessoa com deficiência e para reabilitado da Previdência Social, previstas em lei e em outras normas específicas.</w:t>
      </w:r>
    </w:p>
    <w:p w14:paraId="7CAD21BC">
      <w:pPr>
        <w:pStyle w:val="82"/>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pPr>
        <w:tabs>
          <w:tab w:val="left" w:pos="-426"/>
        </w:tabs>
        <w:spacing w:before="72" w:beforeLines="30" w:after="72" w:afterLines="30"/>
        <w:jc w:val="both"/>
        <w:rPr>
          <w:szCs w:val="24"/>
        </w:rPr>
      </w:pPr>
    </w:p>
    <w:p w14:paraId="386D7512">
      <w:pPr>
        <w:spacing w:before="72" w:beforeLines="30" w:after="72" w:afterLines="30"/>
        <w:jc w:val="both"/>
        <w:rPr>
          <w:szCs w:val="24"/>
        </w:rPr>
      </w:pPr>
    </w:p>
    <w:p w14:paraId="5A30FA6C">
      <w:pPr>
        <w:spacing w:before="72" w:beforeLines="30" w:after="72" w:afterLines="30"/>
        <w:jc w:val="both"/>
        <w:rPr>
          <w:szCs w:val="24"/>
        </w:rPr>
      </w:pPr>
      <w:r>
        <w:rPr>
          <w:szCs w:val="24"/>
        </w:rPr>
        <w:t>(Localidade)_______, de ____________de__</w:t>
      </w:r>
      <w:r>
        <w:rPr>
          <w:szCs w:val="24"/>
        </w:rPr>
        <w:softHyphen/>
      </w:r>
      <w:r>
        <w:rPr>
          <w:szCs w:val="24"/>
        </w:rPr>
        <w:softHyphen/>
      </w:r>
      <w:r>
        <w:rPr>
          <w:szCs w:val="24"/>
        </w:rPr>
        <w:t>____.</w:t>
      </w:r>
    </w:p>
    <w:p w14:paraId="2403D4A2">
      <w:pPr>
        <w:spacing w:before="72" w:beforeLines="30" w:after="72" w:afterLines="30"/>
        <w:jc w:val="both"/>
        <w:rPr>
          <w:szCs w:val="24"/>
        </w:rPr>
      </w:pPr>
    </w:p>
    <w:p w14:paraId="420104B2">
      <w:pPr>
        <w:spacing w:before="72" w:beforeLines="30" w:after="72" w:afterLines="30"/>
        <w:jc w:val="both"/>
        <w:rPr>
          <w:szCs w:val="24"/>
        </w:rPr>
      </w:pPr>
    </w:p>
    <w:p w14:paraId="3C1E0332">
      <w:pPr>
        <w:spacing w:before="72" w:beforeLines="30" w:after="72" w:afterLines="30"/>
        <w:jc w:val="both"/>
        <w:rPr>
          <w:szCs w:val="24"/>
        </w:rPr>
      </w:pPr>
      <w:r>
        <w:rPr>
          <w:szCs w:val="24"/>
        </w:rPr>
        <w:t>____________________________________________</w:t>
      </w:r>
    </w:p>
    <w:p w14:paraId="666D6988">
      <w:pPr>
        <w:spacing w:before="72" w:beforeLines="30" w:after="72" w:afterLines="30"/>
        <w:jc w:val="both"/>
        <w:rPr>
          <w:szCs w:val="24"/>
        </w:rPr>
      </w:pPr>
      <w:r>
        <w:rPr>
          <w:szCs w:val="24"/>
        </w:rPr>
        <w:t>Nome e número da identidade e do CPF do declarante</w:t>
      </w:r>
    </w:p>
    <w:p w14:paraId="0E76747B">
      <w:pPr>
        <w:spacing w:before="72" w:beforeLines="30" w:after="72" w:afterLines="30"/>
        <w:jc w:val="both"/>
        <w:rPr>
          <w:szCs w:val="24"/>
        </w:rPr>
      </w:pPr>
      <w:r>
        <w:rPr>
          <w:szCs w:val="24"/>
        </w:rPr>
        <w:t>(Representante Legal da empresa)</w:t>
      </w:r>
    </w:p>
    <w:p w14:paraId="715F3FA3">
      <w:pPr>
        <w:spacing w:before="72" w:beforeLines="30" w:after="72" w:afterLines="30"/>
        <w:jc w:val="both"/>
        <w:rPr>
          <w:szCs w:val="24"/>
        </w:rPr>
      </w:pPr>
    </w:p>
    <w:p w14:paraId="6E194FD1">
      <w:pPr>
        <w:spacing w:before="72" w:beforeLines="30" w:after="72" w:afterLines="30"/>
        <w:jc w:val="both"/>
        <w:rPr>
          <w:szCs w:val="24"/>
        </w:rPr>
      </w:pPr>
    </w:p>
    <w:p w14:paraId="5C17EBA7">
      <w:pPr>
        <w:tabs>
          <w:tab w:val="left" w:pos="2190"/>
        </w:tabs>
        <w:spacing w:before="72" w:beforeLines="30" w:after="72" w:afterLines="30"/>
        <w:jc w:val="both"/>
        <w:rPr>
          <w:szCs w:val="24"/>
        </w:rPr>
      </w:pPr>
    </w:p>
    <w:p w14:paraId="1CB840B5">
      <w:pPr>
        <w:tabs>
          <w:tab w:val="left" w:pos="2190"/>
        </w:tabs>
        <w:spacing w:before="72" w:beforeLines="30" w:after="72" w:afterLines="30"/>
        <w:jc w:val="both"/>
        <w:rPr>
          <w:szCs w:val="24"/>
        </w:rPr>
      </w:pPr>
    </w:p>
    <w:p w14:paraId="1EB57E95">
      <w:pPr>
        <w:tabs>
          <w:tab w:val="left" w:pos="2190"/>
        </w:tabs>
        <w:spacing w:before="72" w:beforeLines="30" w:after="72" w:afterLines="30"/>
        <w:jc w:val="both"/>
        <w:rPr>
          <w:szCs w:val="24"/>
        </w:rPr>
      </w:pPr>
    </w:p>
    <w:p w14:paraId="63972DD4">
      <w:pPr>
        <w:tabs>
          <w:tab w:val="left" w:pos="2190"/>
        </w:tabs>
        <w:spacing w:before="72" w:beforeLines="30" w:after="72" w:afterLines="30"/>
        <w:jc w:val="both"/>
        <w:rPr>
          <w:szCs w:val="24"/>
        </w:rPr>
      </w:pPr>
    </w:p>
    <w:p w14:paraId="52021C49">
      <w:pPr>
        <w:spacing w:before="72" w:beforeLines="30" w:after="72" w:afterLines="30"/>
        <w:jc w:val="center"/>
        <w:rPr>
          <w:b/>
          <w:szCs w:val="24"/>
        </w:rPr>
      </w:pPr>
      <w:r>
        <w:rPr>
          <w:b/>
          <w:szCs w:val="24"/>
        </w:rPr>
        <w:t>ANEXO V</w:t>
      </w:r>
    </w:p>
    <w:p w14:paraId="3603F875">
      <w:pPr>
        <w:spacing w:before="72" w:beforeLines="30" w:after="72" w:afterLines="30"/>
        <w:jc w:val="center"/>
        <w:rPr>
          <w:b/>
          <w:szCs w:val="24"/>
        </w:rPr>
      </w:pPr>
    </w:p>
    <w:p w14:paraId="515F80F0">
      <w:pPr>
        <w:spacing w:before="72" w:beforeLines="30" w:after="72" w:afterLines="30"/>
        <w:jc w:val="center"/>
        <w:rPr>
          <w:b/>
          <w:szCs w:val="24"/>
        </w:rPr>
      </w:pPr>
      <w:r>
        <w:rPr>
          <w:b/>
          <w:szCs w:val="24"/>
        </w:rPr>
        <w:t>MODELO DE DECLARAÇÃO ME – EPP</w:t>
      </w:r>
    </w:p>
    <w:p w14:paraId="57E24842">
      <w:pPr>
        <w:spacing w:before="72" w:beforeLines="30" w:after="72" w:afterLines="30"/>
        <w:jc w:val="both"/>
        <w:rPr>
          <w:b/>
          <w:szCs w:val="24"/>
        </w:rPr>
      </w:pPr>
    </w:p>
    <w:p w14:paraId="1EFAFA59">
      <w:pPr>
        <w:spacing w:before="72" w:beforeLines="30" w:after="72" w:afterLines="30"/>
        <w:jc w:val="both"/>
        <w:rPr>
          <w:szCs w:val="24"/>
        </w:rPr>
      </w:pPr>
    </w:p>
    <w:p w14:paraId="1D62F12A">
      <w:pPr>
        <w:spacing w:before="72" w:beforeLines="30" w:after="72" w:afterLines="30"/>
        <w:jc w:val="both"/>
        <w:rPr>
          <w:szCs w:val="24"/>
        </w:rPr>
      </w:pPr>
      <w:r>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Pr>
          <w:bCs/>
          <w:szCs w:val="24"/>
        </w:rPr>
        <w:t xml:space="preserve"> Nº </w:t>
      </w:r>
      <w:r>
        <w:rPr>
          <w:bCs/>
          <w:szCs w:val="24"/>
          <w:highlight w:val="yellow"/>
        </w:rPr>
        <w:t>XXX</w:t>
      </w:r>
      <w:r>
        <w:rPr>
          <w:bCs/>
          <w:szCs w:val="24"/>
        </w:rPr>
        <w:t>/2026,</w:t>
      </w:r>
      <w:r>
        <w:rPr>
          <w:szCs w:val="24"/>
        </w:rPr>
        <w:t xml:space="preserve"> sob as sanções administrativas cabíveis e sob penas da Lei, que esta empresa, na presente data, é considerada:</w:t>
      </w:r>
    </w:p>
    <w:p w14:paraId="77CAA103">
      <w:pPr>
        <w:spacing w:before="72" w:beforeLines="30" w:after="72" w:afterLines="30"/>
        <w:jc w:val="both"/>
        <w:rPr>
          <w:szCs w:val="24"/>
        </w:rPr>
      </w:pPr>
    </w:p>
    <w:p w14:paraId="338FD83E">
      <w:pPr>
        <w:spacing w:before="72" w:beforeLines="30" w:after="72" w:afterLines="30"/>
        <w:jc w:val="both"/>
        <w:rPr>
          <w:szCs w:val="24"/>
        </w:rPr>
      </w:pPr>
      <w:r>
        <w:rPr>
          <w:szCs w:val="24"/>
        </w:rPr>
        <w:t>() MICROEMPRESA, conforme Inciso I, art. 3° da Lei Complementar n° 123/2006;</w:t>
      </w:r>
    </w:p>
    <w:p w14:paraId="30678895">
      <w:pPr>
        <w:spacing w:before="72" w:beforeLines="30" w:after="72" w:afterLines="30"/>
        <w:jc w:val="both"/>
        <w:rPr>
          <w:szCs w:val="24"/>
        </w:rPr>
      </w:pPr>
      <w:r>
        <w:rPr>
          <w:szCs w:val="24"/>
        </w:rPr>
        <w:t xml:space="preserve">() EMPRESA DE </w:t>
      </w:r>
      <w:r>
        <w:rPr>
          <w:bCs/>
          <w:szCs w:val="24"/>
        </w:rPr>
        <w:t>PEQUENO</w:t>
      </w:r>
      <w:r>
        <w:rPr>
          <w:szCs w:val="24"/>
        </w:rPr>
        <w:t xml:space="preserve"> </w:t>
      </w:r>
      <w:r>
        <w:rPr>
          <w:bCs/>
          <w:szCs w:val="24"/>
        </w:rPr>
        <w:t>PORTE</w:t>
      </w:r>
      <w:r>
        <w:rPr>
          <w:szCs w:val="24"/>
        </w:rPr>
        <w:t>, conforme inciso II, art. 3° da lei Complementar n° 123/2006.</w:t>
      </w:r>
    </w:p>
    <w:p w14:paraId="0EEF8F9A">
      <w:pPr>
        <w:spacing w:before="72" w:beforeLines="30" w:after="72" w:afterLines="30"/>
        <w:jc w:val="both"/>
        <w:rPr>
          <w:szCs w:val="24"/>
        </w:rPr>
      </w:pPr>
    </w:p>
    <w:p w14:paraId="1764C7C3">
      <w:pPr>
        <w:spacing w:before="72" w:beforeLines="30" w:after="72" w:afterLines="30"/>
        <w:jc w:val="both"/>
        <w:rPr>
          <w:szCs w:val="24"/>
        </w:rPr>
      </w:pPr>
      <w:r>
        <w:rPr>
          <w:szCs w:val="24"/>
        </w:rPr>
        <w:t>DECLARA ainda que a empresa esteja excluída das vedações constantes do parágrafo 4° do artigo 3° da Lei Complementar n° 123, de 14 de dezembro de 2006.</w:t>
      </w:r>
    </w:p>
    <w:p w14:paraId="10503BE4">
      <w:pPr>
        <w:spacing w:before="72" w:beforeLines="30" w:after="72" w:afterLines="30"/>
        <w:jc w:val="both"/>
        <w:rPr>
          <w:szCs w:val="24"/>
        </w:rPr>
      </w:pPr>
    </w:p>
    <w:p w14:paraId="71164835">
      <w:pPr>
        <w:spacing w:before="72" w:beforeLines="30" w:after="72" w:afterLines="30"/>
        <w:jc w:val="both"/>
        <w:rPr>
          <w:szCs w:val="24"/>
        </w:rPr>
      </w:pPr>
      <w:r>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pPr>
        <w:spacing w:before="72" w:beforeLines="30" w:after="72" w:afterLines="30"/>
        <w:jc w:val="both"/>
        <w:rPr>
          <w:szCs w:val="24"/>
        </w:rPr>
      </w:pPr>
    </w:p>
    <w:p w14:paraId="7FE7B4B2">
      <w:pPr>
        <w:spacing w:before="72" w:beforeLines="30" w:after="72" w:afterLines="30"/>
        <w:jc w:val="both"/>
        <w:rPr>
          <w:szCs w:val="24"/>
        </w:rPr>
      </w:pPr>
    </w:p>
    <w:p w14:paraId="770C2026">
      <w:pPr>
        <w:spacing w:before="72" w:beforeLines="30" w:after="72" w:afterLines="30"/>
        <w:jc w:val="both"/>
        <w:rPr>
          <w:szCs w:val="24"/>
        </w:rPr>
      </w:pPr>
      <w:r>
        <w:rPr>
          <w:szCs w:val="24"/>
        </w:rPr>
        <w:t>(Localidade)_______, de ____________de__</w:t>
      </w:r>
      <w:r>
        <w:rPr>
          <w:szCs w:val="24"/>
        </w:rPr>
        <w:softHyphen/>
      </w:r>
      <w:r>
        <w:rPr>
          <w:szCs w:val="24"/>
        </w:rPr>
        <w:softHyphen/>
      </w:r>
      <w:r>
        <w:rPr>
          <w:szCs w:val="24"/>
        </w:rPr>
        <w:t>____.</w:t>
      </w:r>
    </w:p>
    <w:p w14:paraId="273A4C04">
      <w:pPr>
        <w:spacing w:before="72" w:beforeLines="30" w:after="72" w:afterLines="30"/>
        <w:jc w:val="both"/>
        <w:rPr>
          <w:szCs w:val="24"/>
        </w:rPr>
      </w:pPr>
    </w:p>
    <w:p w14:paraId="0282F2D3">
      <w:pPr>
        <w:spacing w:before="72" w:beforeLines="30" w:after="72" w:afterLines="30"/>
        <w:jc w:val="both"/>
        <w:rPr>
          <w:szCs w:val="24"/>
        </w:rPr>
      </w:pPr>
    </w:p>
    <w:p w14:paraId="74AA330F">
      <w:pPr>
        <w:spacing w:before="72" w:beforeLines="30" w:after="72" w:afterLines="30"/>
        <w:jc w:val="both"/>
        <w:rPr>
          <w:szCs w:val="24"/>
        </w:rPr>
      </w:pPr>
      <w:r>
        <w:rPr>
          <w:szCs w:val="24"/>
        </w:rPr>
        <w:t>____________________________________________</w:t>
      </w:r>
    </w:p>
    <w:p w14:paraId="4075BF50">
      <w:pPr>
        <w:spacing w:before="72" w:beforeLines="30" w:after="72" w:afterLines="30"/>
        <w:jc w:val="both"/>
        <w:rPr>
          <w:szCs w:val="24"/>
        </w:rPr>
      </w:pPr>
      <w:r>
        <w:rPr>
          <w:szCs w:val="24"/>
        </w:rPr>
        <w:t>Nome e número da identidade e do CPF do declarante</w:t>
      </w:r>
    </w:p>
    <w:p w14:paraId="00392A05">
      <w:pPr>
        <w:spacing w:before="72" w:beforeLines="30" w:after="72" w:afterLines="30"/>
        <w:jc w:val="both"/>
        <w:rPr>
          <w:szCs w:val="24"/>
        </w:rPr>
      </w:pPr>
      <w:r>
        <w:rPr>
          <w:szCs w:val="24"/>
        </w:rPr>
        <w:t>(Representante Legal da empresa)</w:t>
      </w:r>
    </w:p>
    <w:p w14:paraId="39C60232">
      <w:pPr>
        <w:suppressAutoHyphens w:val="0"/>
        <w:spacing w:before="72" w:beforeLines="30" w:after="72" w:afterLines="30"/>
        <w:jc w:val="both"/>
        <w:rPr>
          <w:b/>
          <w:szCs w:val="24"/>
        </w:rPr>
      </w:pPr>
    </w:p>
    <w:p w14:paraId="3CD94800">
      <w:pPr>
        <w:suppressAutoHyphens w:val="0"/>
        <w:spacing w:before="72" w:beforeLines="30" w:after="72" w:afterLines="30"/>
        <w:jc w:val="both"/>
        <w:rPr>
          <w:b/>
          <w:szCs w:val="24"/>
        </w:rPr>
      </w:pPr>
    </w:p>
    <w:p w14:paraId="61E0F119">
      <w:pPr>
        <w:suppressAutoHyphens w:val="0"/>
        <w:spacing w:before="72" w:beforeLines="30" w:after="72" w:afterLines="30"/>
        <w:jc w:val="both"/>
        <w:rPr>
          <w:b/>
          <w:szCs w:val="24"/>
        </w:rPr>
      </w:pPr>
      <w:r>
        <w:rPr>
          <w:b/>
          <w:szCs w:val="24"/>
        </w:rPr>
        <w:br w:type="page"/>
      </w:r>
    </w:p>
    <w:p w14:paraId="4CC06CFA">
      <w:pPr>
        <w:spacing w:before="72" w:beforeLines="30" w:after="72" w:afterLines="30"/>
        <w:jc w:val="center"/>
        <w:rPr>
          <w:b/>
          <w:szCs w:val="24"/>
          <w:highlight w:val="yellow"/>
        </w:rPr>
      </w:pPr>
      <w:r>
        <w:rPr>
          <w:b/>
          <w:szCs w:val="24"/>
          <w:highlight w:val="yellow"/>
        </w:rPr>
        <w:t>ANEXO VI</w:t>
      </w:r>
    </w:p>
    <w:p w14:paraId="3EE69141">
      <w:pPr>
        <w:suppressAutoHyphens w:val="0"/>
        <w:spacing w:before="72" w:beforeLines="30" w:after="72" w:afterLines="30"/>
        <w:jc w:val="center"/>
        <w:rPr>
          <w:b/>
          <w:szCs w:val="24"/>
        </w:rPr>
      </w:pPr>
      <w:r>
        <w:rPr>
          <w:b/>
          <w:szCs w:val="24"/>
          <w:highlight w:val="yellow"/>
        </w:rPr>
        <w:t>Minuta de Empenho</w:t>
      </w:r>
    </w:p>
    <w:sectPr>
      <w:headerReference r:id="rId5" w:type="first"/>
      <w:headerReference r:id="rId3" w:type="default"/>
      <w:footerReference r:id="rId6" w:type="default"/>
      <w:headerReference r:id="rId4" w:type="even"/>
      <w:pgSz w:w="11906" w:h="16838"/>
      <w:pgMar w:top="1702" w:right="991" w:bottom="1418" w:left="1701" w:header="709" w:footer="567" w:gutter="0"/>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Garamond">
    <w:panose1 w:val="02020404030301010803"/>
    <w:charset w:val="00"/>
    <w:family w:val="roman"/>
    <w:pitch w:val="default"/>
    <w:sig w:usb0="00000287" w:usb1="00000000" w:usb2="00000000" w:usb3="00000000" w:csb0="0000009F" w:csb1="DFD70000"/>
  </w:font>
  <w:font w:name="等线 Light">
    <w:altName w:val="Segoe Print"/>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Lohit Devanagari">
    <w:altName w:val="Cambria"/>
    <w:panose1 w:val="00000000000000000000"/>
    <w:charset w:val="00"/>
    <w:family w:val="roman"/>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Liberation Sans">
    <w:altName w:val="Arial"/>
    <w:panose1 w:val="00000000000000000000"/>
    <w:charset w:val="01"/>
    <w:family w:val="swiss"/>
    <w:pitch w:val="default"/>
    <w:sig w:usb0="00000000" w:usb1="00000000" w:usb2="00000000" w:usb3="00000000" w:csb0="00000000" w:csb1="00000000"/>
  </w:font>
  <w:font w:name="Noto Sans CJK SC">
    <w:altName w:val="Segoe Print"/>
    <w:panose1 w:val="00000000000000000000"/>
    <w:charset w:val="00"/>
    <w:family w:val="roman"/>
    <w:pitch w:val="default"/>
    <w:sig w:usb0="00000000" w:usb1="00000000" w:usb2="00000000" w:usb3="00000000" w:csb0="00000000"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Arial Unicode MS">
    <w:panose1 w:val="020B0604020202020204"/>
    <w:charset w:val="80"/>
    <w:family w:val="swiss"/>
    <w:pitch w:val="default"/>
    <w:sig w:usb0="FFFFFFFF" w:usb1="E9FFFFFF" w:usb2="0000003F" w:usb3="00000000" w:csb0="603F01FF" w:csb1="FFFF0000"/>
  </w:font>
  <w:font w:name="Bookman Old Style">
    <w:panose1 w:val="02050604050505020204"/>
    <w:charset w:val="00"/>
    <w:family w:val="roman"/>
    <w:pitch w:val="default"/>
    <w:sig w:usb0="00000287" w:usb1="00000000" w:usb2="00000000" w:usb3="00000000" w:csb0="2000009F" w:csb1="DFD70000"/>
  </w:font>
  <w:font w:name="Arial MT">
    <w:altName w:val="Arial"/>
    <w:panose1 w:val="00000000000000000000"/>
    <w:charset w:val="01"/>
    <w:family w:val="swiss"/>
    <w:pitch w:val="default"/>
    <w:sig w:usb0="00000000" w:usb1="00000000" w:usb2="00000000" w:usb3="00000000" w:csb0="00000000" w:csb1="00000000"/>
  </w:font>
  <w:font w:name="Calibri-Bold">
    <w:altName w:val="Calibri"/>
    <w:panose1 w:val="00000000000000000000"/>
    <w:charset w:val="00"/>
    <w:family w:val="roman"/>
    <w:pitch w:val="default"/>
    <w:sig w:usb0="00000000" w:usb1="00000000" w:usb2="00000000" w:usb3="00000000" w:csb0="00000000" w:csb1="00000000"/>
  </w:font>
  <w:font w:name="Liberation Serif">
    <w:altName w:val="Times New Roman"/>
    <w:panose1 w:val="00000000000000000000"/>
    <w:charset w:val="01"/>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Lucida Sans">
    <w:panose1 w:val="020B0602030504020204"/>
    <w:charset w:val="00"/>
    <w:family w:val="swiss"/>
    <w:pitch w:val="default"/>
    <w:sig w:usb0="00000003" w:usb1="00000000" w:usb2="00000000" w:usb3="00000000" w:csb0="20000001" w:csb1="00000000"/>
  </w:font>
  <w:font w:name="MS Mincho">
    <w:altName w:val="MS Gothic"/>
    <w:panose1 w:val="02020609040205080304"/>
    <w:charset w:val="80"/>
    <w:family w:val="roman"/>
    <w:pitch w:val="default"/>
    <w:sig w:usb0="00000000" w:usb1="00000000" w:usb2="00000010" w:usb3="00000000" w:csb0="00020000"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等线">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D652C">
    <w:pPr>
      <w:pStyle w:val="31"/>
      <w:ind w:left="4820"/>
      <w:rPr>
        <w:b/>
        <w:bCs/>
      </w:rPr>
    </w:pPr>
    <w:r>
      <w:rPr>
        <w:b/>
        <w:bCs/>
      </w:rPr>
      <w:t>______________________________________</w:t>
    </w:r>
  </w:p>
  <w:p w14:paraId="2ABF3568">
    <w:pPr>
      <w:pStyle w:val="31"/>
      <w:ind w:left="4820"/>
      <w:rPr>
        <w:sz w:val="16"/>
        <w:szCs w:val="16"/>
      </w:rPr>
    </w:pPr>
    <w:r>
      <w:rPr>
        <w:b/>
        <w:bCs/>
        <w:sz w:val="16"/>
        <w:szCs w:val="16"/>
      </w:rPr>
      <w:t>Av. Libindo Ferreira Leite nº 251 – Centro - Cep: 79.270-000</w:t>
    </w:r>
  </w:p>
  <w:p w14:paraId="0470AA41">
    <w:pPr>
      <w:pStyle w:val="31"/>
      <w:ind w:left="4820"/>
      <w:rPr>
        <w:sz w:val="16"/>
        <w:szCs w:val="16"/>
      </w:rPr>
    </w:pPr>
    <w:r>
      <w:rPr>
        <w:b/>
        <w:bCs/>
        <w:sz w:val="16"/>
        <w:szCs w:val="16"/>
      </w:rPr>
      <w:t>CARACOL/MS - Fones: (67)3495-1107/1109/1110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C56DC">
    <w:pPr>
      <w:tabs>
        <w:tab w:val="left" w:pos="851"/>
        <w:tab w:val="left" w:pos="5245"/>
      </w:tabs>
      <w:ind w:hanging="284"/>
      <w:jc w:val="center"/>
      <w:rPr>
        <w:rFonts w:ascii="Arial" w:hAnsi="Arial" w:cs="Arial"/>
        <w:b/>
        <w:bCs/>
        <w:sz w:val="20"/>
      </w:rPr>
    </w:pPr>
    <w:r>
      <w:rPr>
        <w:rFonts w:ascii="Arial" w:hAnsi="Arial" w:cs="Arial"/>
        <w:b/>
        <w:sz w:val="20"/>
        <w:lang w:eastAsia="pt-BR"/>
      </w:rPr>
      <w:pict>
        <v:shape id="WordPictureWatermark215259033" o:spid="_x0000_s2054" o:spt="75" type="#_x0000_t75" style="position:absolute;left:0pt;height:407.5pt;width:453.4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transferir"/>
          <o:lock v:ext="edit" aspectratio="t"/>
        </v:shape>
      </w:pict>
    </w:r>
    <w:r>
      <w:rPr>
        <w:rFonts w:ascii="Arial" w:hAnsi="Arial" w:cs="Arial"/>
        <w:b/>
        <w:sz w:val="20"/>
        <w:lang w:eastAsia="pt-BR"/>
      </w:rPr>
      <mc:AlternateContent>
        <mc:Choice Requires="wps">
          <w:drawing>
            <wp:anchor distT="0" distB="0" distL="114300" distR="114300" simplePos="0" relativeHeight="251660288" behindDoc="0" locked="0" layoutInCell="1" allowOverlap="1">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430CAAA5">
                          <w:r>
                            <w:t>Processo Nº 013/2026</w:t>
                          </w:r>
                        </w:p>
                        <w:p w14:paraId="57FB50FC">
                          <w:r>
                            <w:t>Folha______________</w:t>
                          </w:r>
                        </w:p>
                        <w:p w14:paraId="5F5EB39A">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1" o:spid="_x0000_s1026" o:spt="202" type="#_x0000_t202" style="position:absolute;left:0pt;margin-left:334.25pt;margin-top:-11.5pt;height:48pt;width:135.75pt;z-index:251660288;mso-width-relative:page;mso-height-relative:page;" fillcolor="#FFFFFF" filled="t" stroked="t" coordsize="21600,21600" o:gfxdata="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ewEBZ1wAAAAoBAAAPAAAAAAAAAAEAIAAAACIAAABkcnMvZG93bnJldi54bWxQSwECFAAUAAAA&#10;CACHTuJAsDKtamECAADUBAAADgAAAAAAAAABACAAAAAmAQAAZHJzL2Uyb0RvYy54bWxQSwUGAAAA&#10;AAYABgBZAQAA+QUAAAAA&#10;">
              <v:fill on="t" focussize="0,0"/>
              <v:stroke weight="0.5pt" color="#000000" joinstyle="round"/>
              <v:imagedata o:title=""/>
              <o:lock v:ext="edit" aspectratio="f"/>
              <v:textbox>
                <w:txbxContent>
                  <w:p w14:paraId="430CAAA5">
                    <w:r>
                      <w:t>Processo Nº 013/2026</w:t>
                    </w:r>
                  </w:p>
                  <w:p w14:paraId="57FB50FC">
                    <w:r>
                      <w:t>Folha______________</w:t>
                    </w:r>
                  </w:p>
                  <w:p w14:paraId="5F5EB39A">
                    <w:r>
                      <w:t>Ass.__</w:t>
                    </w:r>
                  </w:p>
                </w:txbxContent>
              </v:textbox>
            </v:shape>
          </w:pict>
        </mc:Fallback>
      </mc:AlternateContent>
    </w:r>
    <w:r>
      <w:rPr>
        <w:rFonts w:ascii="Arial" w:hAnsi="Arial" w:cs="Arial"/>
        <w:b/>
        <w:sz w:val="20"/>
        <w:lang w:eastAsia="pt-BR"/>
      </w:rPr>
      <w:drawing>
        <wp:anchor distT="0" distB="0" distL="114300" distR="114300" simplePos="0" relativeHeight="251659264" behindDoc="1" locked="0" layoutInCell="1" allowOverlap="1">
          <wp:simplePos x="0" y="0"/>
          <wp:positionH relativeFrom="column">
            <wp:posOffset>96520</wp:posOffset>
          </wp:positionH>
          <wp:positionV relativeFrom="paragraph">
            <wp:posOffset>-187325</wp:posOffset>
          </wp:positionV>
          <wp:extent cx="739140" cy="703580"/>
          <wp:effectExtent l="0" t="0" r="3810" b="127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Pr>
        <w:rFonts w:ascii="Arial" w:hAnsi="Arial" w:cs="Arial"/>
        <w:b/>
        <w:bCs/>
        <w:sz w:val="20"/>
      </w:rPr>
      <w:t>ESTADO DE MATO GROSSO DO SUL</w:t>
    </w:r>
  </w:p>
  <w:p w14:paraId="799D2291">
    <w:pPr>
      <w:pStyle w:val="4"/>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pPr>
      <w:pBdr>
        <w:bottom w:val="single" w:color="auto" w:sz="4" w:space="1"/>
      </w:pBdr>
      <w:ind w:hanging="567"/>
      <w:jc w:val="center"/>
      <w:rPr>
        <w:b/>
      </w:rPr>
    </w:pPr>
    <w:r>
      <w:rPr>
        <w:rFonts w:ascii="Arial" w:hAnsi="Arial" w:cs="Arial"/>
        <w:b/>
        <w:sz w:val="20"/>
      </w:rPr>
      <w:t>DEPARTAMENTO DE LICITAÇÕES E CONTRATOS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3366F">
    <w:pPr>
      <w:pStyle w:val="29"/>
    </w:pPr>
    <w:r>
      <w:pict>
        <v:shape id="WordPictureWatermark215259032" o:spid="_x0000_s2053" o:spt="75" type="#_x0000_t75" style="position:absolute;left:0pt;height:407.5pt;width:453.4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transferir"/>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06998">
    <w:pPr>
      <w:pStyle w:val="29"/>
    </w:pPr>
    <w:r>
      <w:pict>
        <v:shape id="WordPictureWatermark215259031" o:spid="_x0000_s2052" o:spt="75" type="#_x0000_t75" style="position:absolute;left:0pt;height:407.5pt;width:453.4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transferir"/>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4"/>
      <w:lvlText w:val=""/>
      <w:lvlJc w:val="left"/>
      <w:pPr>
        <w:tabs>
          <w:tab w:val="left" w:pos="10564"/>
        </w:tabs>
        <w:ind w:left="10564" w:hanging="360"/>
      </w:pPr>
      <w:rPr>
        <w:rFonts w:hint="default" w:ascii="Symbol" w:hAnsi="Symbol"/>
      </w:rPr>
    </w:lvl>
  </w:abstractNum>
  <w:abstractNum w:abstractNumId="1">
    <w:nsid w:val="0299B3C5"/>
    <w:multiLevelType w:val="multilevel"/>
    <w:tmpl w:val="0299B3C5"/>
    <w:lvl w:ilvl="0" w:tentative="0">
      <w:start w:val="1"/>
      <w:numFmt w:val="lowerLetter"/>
      <w:lvlText w:val="%1)"/>
      <w:lvlJc w:val="left"/>
      <w:pPr>
        <w:tabs>
          <w:tab w:val="left" w:pos="0"/>
        </w:tabs>
        <w:ind w:left="1436" w:hanging="360"/>
      </w:pPr>
    </w:lvl>
    <w:lvl w:ilvl="1" w:tentative="0">
      <w:start w:val="1"/>
      <w:numFmt w:val="lowerLetter"/>
      <w:lvlText w:val="%2."/>
      <w:lvlJc w:val="left"/>
      <w:pPr>
        <w:tabs>
          <w:tab w:val="left" w:pos="0"/>
        </w:tabs>
        <w:ind w:left="2156" w:hanging="360"/>
      </w:pPr>
    </w:lvl>
    <w:lvl w:ilvl="2" w:tentative="0">
      <w:start w:val="1"/>
      <w:numFmt w:val="lowerRoman"/>
      <w:lvlText w:val="%3."/>
      <w:lvlJc w:val="right"/>
      <w:pPr>
        <w:tabs>
          <w:tab w:val="left" w:pos="0"/>
        </w:tabs>
        <w:ind w:left="2876" w:hanging="180"/>
      </w:pPr>
    </w:lvl>
    <w:lvl w:ilvl="3" w:tentative="0">
      <w:start w:val="1"/>
      <w:numFmt w:val="decimal"/>
      <w:lvlText w:val="%4."/>
      <w:lvlJc w:val="left"/>
      <w:pPr>
        <w:tabs>
          <w:tab w:val="left" w:pos="0"/>
        </w:tabs>
        <w:ind w:left="3596" w:hanging="360"/>
      </w:pPr>
    </w:lvl>
    <w:lvl w:ilvl="4" w:tentative="0">
      <w:start w:val="1"/>
      <w:numFmt w:val="lowerLetter"/>
      <w:lvlText w:val="%5."/>
      <w:lvlJc w:val="left"/>
      <w:pPr>
        <w:tabs>
          <w:tab w:val="left" w:pos="0"/>
        </w:tabs>
        <w:ind w:left="4316" w:hanging="360"/>
      </w:pPr>
    </w:lvl>
    <w:lvl w:ilvl="5" w:tentative="0">
      <w:start w:val="1"/>
      <w:numFmt w:val="lowerRoman"/>
      <w:lvlText w:val="%6."/>
      <w:lvlJc w:val="right"/>
      <w:pPr>
        <w:tabs>
          <w:tab w:val="left" w:pos="0"/>
        </w:tabs>
        <w:ind w:left="5036" w:hanging="180"/>
      </w:pPr>
    </w:lvl>
    <w:lvl w:ilvl="6" w:tentative="0">
      <w:start w:val="1"/>
      <w:numFmt w:val="decimal"/>
      <w:lvlText w:val="%7."/>
      <w:lvlJc w:val="left"/>
      <w:pPr>
        <w:tabs>
          <w:tab w:val="left" w:pos="0"/>
        </w:tabs>
        <w:ind w:left="5756" w:hanging="360"/>
      </w:pPr>
    </w:lvl>
    <w:lvl w:ilvl="7" w:tentative="0">
      <w:start w:val="1"/>
      <w:numFmt w:val="lowerLetter"/>
      <w:lvlText w:val="%8."/>
      <w:lvlJc w:val="left"/>
      <w:pPr>
        <w:tabs>
          <w:tab w:val="left" w:pos="0"/>
        </w:tabs>
        <w:ind w:left="6476" w:hanging="360"/>
      </w:pPr>
    </w:lvl>
    <w:lvl w:ilvl="8" w:tentative="0">
      <w:start w:val="1"/>
      <w:numFmt w:val="lowerRoman"/>
      <w:lvlText w:val="%9."/>
      <w:lvlJc w:val="right"/>
      <w:pPr>
        <w:tabs>
          <w:tab w:val="left" w:pos="0"/>
        </w:tabs>
        <w:ind w:left="7196" w:hanging="180"/>
      </w:pPr>
    </w:lvl>
  </w:abstractNum>
  <w:abstractNum w:abstractNumId="2">
    <w:nsid w:val="037C4A67"/>
    <w:multiLevelType w:val="multilevel"/>
    <w:tmpl w:val="037C4A67"/>
    <w:lvl w:ilvl="0" w:tentative="0">
      <w:start w:val="4"/>
      <w:numFmt w:val="decimal"/>
      <w:lvlText w:val="%1"/>
      <w:lvlJc w:val="left"/>
      <w:pPr>
        <w:ind w:left="540" w:hanging="540"/>
      </w:pPr>
      <w:rPr>
        <w:rFonts w:hint="default"/>
      </w:rPr>
    </w:lvl>
    <w:lvl w:ilvl="1" w:tentative="0">
      <w:start w:val="2"/>
      <w:numFmt w:val="decimal"/>
      <w:lvlText w:val="%1.%2"/>
      <w:lvlJc w:val="left"/>
      <w:pPr>
        <w:ind w:left="540" w:hanging="54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3">
    <w:nsid w:val="08B81DE7"/>
    <w:multiLevelType w:val="multilevel"/>
    <w:tmpl w:val="08B81DE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09101A4D"/>
    <w:multiLevelType w:val="multilevel"/>
    <w:tmpl w:val="09101A4D"/>
    <w:lvl w:ilvl="0" w:tentative="0">
      <w:start w:val="1"/>
      <w:numFmt w:val="lowerLetter"/>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5">
    <w:nsid w:val="1A7E0D2A"/>
    <w:multiLevelType w:val="multilevel"/>
    <w:tmpl w:val="1A7E0D2A"/>
    <w:lvl w:ilvl="0" w:tentative="0">
      <w:start w:val="4"/>
      <w:numFmt w:val="decimal"/>
      <w:lvlText w:val="%1"/>
      <w:lvlJc w:val="left"/>
      <w:pPr>
        <w:ind w:left="525" w:hanging="525"/>
      </w:pPr>
      <w:rPr>
        <w:rFonts w:hint="default"/>
        <w:b w:val="0"/>
        <w:i w:val="0"/>
      </w:rPr>
    </w:lvl>
    <w:lvl w:ilvl="1" w:tentative="0">
      <w:start w:val="1"/>
      <w:numFmt w:val="decimal"/>
      <w:lvlText w:val="%1.%2"/>
      <w:lvlJc w:val="left"/>
      <w:pPr>
        <w:ind w:left="525" w:hanging="525"/>
      </w:pPr>
      <w:rPr>
        <w:rFonts w:hint="default"/>
        <w:b w:val="0"/>
        <w:i w:val="0"/>
      </w:rPr>
    </w:lvl>
    <w:lvl w:ilvl="2" w:tentative="0">
      <w:start w:val="1"/>
      <w:numFmt w:val="decimal"/>
      <w:lvlText w:val="%1.%2.%3"/>
      <w:lvlJc w:val="left"/>
      <w:pPr>
        <w:ind w:left="720" w:hanging="720"/>
      </w:pPr>
      <w:rPr>
        <w:rFonts w:hint="default"/>
        <w:b/>
        <w:bCs w:val="0"/>
        <w:i w:val="0"/>
      </w:rPr>
    </w:lvl>
    <w:lvl w:ilvl="3" w:tentative="0">
      <w:start w:val="1"/>
      <w:numFmt w:val="decimal"/>
      <w:lvlText w:val="%1.%2.%3.%4"/>
      <w:lvlJc w:val="left"/>
      <w:pPr>
        <w:ind w:left="1080" w:hanging="1080"/>
      </w:pPr>
      <w:rPr>
        <w:rFonts w:hint="default"/>
        <w:b w:val="0"/>
        <w:i w:val="0"/>
      </w:rPr>
    </w:lvl>
    <w:lvl w:ilvl="4" w:tentative="0">
      <w:start w:val="1"/>
      <w:numFmt w:val="decimal"/>
      <w:lvlText w:val="%1.%2.%3.%4.%5"/>
      <w:lvlJc w:val="left"/>
      <w:pPr>
        <w:ind w:left="1080" w:hanging="1080"/>
      </w:pPr>
      <w:rPr>
        <w:rFonts w:hint="default"/>
        <w:b w:val="0"/>
        <w:i w:val="0"/>
      </w:rPr>
    </w:lvl>
    <w:lvl w:ilvl="5" w:tentative="0">
      <w:start w:val="1"/>
      <w:numFmt w:val="decimal"/>
      <w:lvlText w:val="%1.%2.%3.%4.%5.%6"/>
      <w:lvlJc w:val="left"/>
      <w:pPr>
        <w:ind w:left="1440" w:hanging="1440"/>
      </w:pPr>
      <w:rPr>
        <w:rFonts w:hint="default"/>
        <w:b w:val="0"/>
        <w:i w:val="0"/>
      </w:rPr>
    </w:lvl>
    <w:lvl w:ilvl="6" w:tentative="0">
      <w:start w:val="1"/>
      <w:numFmt w:val="decimal"/>
      <w:lvlText w:val="%1.%2.%3.%4.%5.%6.%7"/>
      <w:lvlJc w:val="left"/>
      <w:pPr>
        <w:ind w:left="1440" w:hanging="1440"/>
      </w:pPr>
      <w:rPr>
        <w:rFonts w:hint="default"/>
        <w:b w:val="0"/>
        <w:i w:val="0"/>
      </w:rPr>
    </w:lvl>
    <w:lvl w:ilvl="7" w:tentative="0">
      <w:start w:val="1"/>
      <w:numFmt w:val="decimal"/>
      <w:lvlText w:val="%1.%2.%3.%4.%5.%6.%7.%8"/>
      <w:lvlJc w:val="left"/>
      <w:pPr>
        <w:ind w:left="1800" w:hanging="1800"/>
      </w:pPr>
      <w:rPr>
        <w:rFonts w:hint="default"/>
        <w:b w:val="0"/>
        <w:i w:val="0"/>
      </w:rPr>
    </w:lvl>
    <w:lvl w:ilvl="8" w:tentative="0">
      <w:start w:val="1"/>
      <w:numFmt w:val="decimal"/>
      <w:lvlText w:val="%1.%2.%3.%4.%5.%6.%7.%8.%9"/>
      <w:lvlJc w:val="left"/>
      <w:pPr>
        <w:ind w:left="1800" w:hanging="1800"/>
      </w:pPr>
      <w:rPr>
        <w:rFonts w:hint="default"/>
        <w:b w:val="0"/>
        <w:i w:val="0"/>
      </w:rPr>
    </w:lvl>
  </w:abstractNum>
  <w:abstractNum w:abstractNumId="6">
    <w:nsid w:val="1D5C100D"/>
    <w:multiLevelType w:val="multilevel"/>
    <w:tmpl w:val="1D5C100D"/>
    <w:lvl w:ilvl="0" w:tentative="0">
      <w:start w:val="1"/>
      <w:numFmt w:val="decimal"/>
      <w:pStyle w:val="64"/>
      <w:lvlText w:val="%1."/>
      <w:lvlJc w:val="left"/>
      <w:pPr>
        <w:ind w:left="360" w:hanging="360"/>
      </w:pPr>
      <w:rPr>
        <w:rFonts w:hint="default"/>
        <w:b/>
      </w:rPr>
    </w:lvl>
    <w:lvl w:ilvl="1" w:tentative="0">
      <w:start w:val="1"/>
      <w:numFmt w:val="decimal"/>
      <w:pStyle w:val="217"/>
      <w:lvlText w:val="%1.%2."/>
      <w:lvlJc w:val="left"/>
      <w:pPr>
        <w:ind w:left="6528" w:hanging="432"/>
      </w:pPr>
      <w:rPr>
        <w:rFonts w:hint="default" w:ascii="Times New Roman" w:hAnsi="Times New Roman" w:cs="Times New Roman"/>
        <w:b/>
        <w:bCs w:val="0"/>
        <w:i w:val="0"/>
        <w:strike w:val="0"/>
        <w:color w:val="auto"/>
        <w:sz w:val="24"/>
        <w:szCs w:val="24"/>
        <w:u w:val="none"/>
      </w:rPr>
    </w:lvl>
    <w:lvl w:ilvl="2" w:tentative="0">
      <w:start w:val="1"/>
      <w:numFmt w:val="decimal"/>
      <w:pStyle w:val="218"/>
      <w:lvlText w:val="%1.%2.%3."/>
      <w:lvlJc w:val="left"/>
      <w:pPr>
        <w:ind w:left="2489" w:hanging="504"/>
      </w:pPr>
      <w:rPr>
        <w:rFonts w:hint="default" w:ascii="Times New Roman" w:hAnsi="Times New Roman" w:cs="Times New Roman"/>
        <w:b w:val="0"/>
        <w:i w:val="0"/>
        <w:strike w:val="0"/>
        <w:color w:val="auto"/>
        <w:sz w:val="24"/>
        <w:szCs w:val="24"/>
      </w:rPr>
    </w:lvl>
    <w:lvl w:ilvl="3" w:tentative="0">
      <w:start w:val="1"/>
      <w:numFmt w:val="decimal"/>
      <w:pStyle w:val="220"/>
      <w:lvlText w:val="%1.%2.%3.%4."/>
      <w:lvlJc w:val="left"/>
      <w:pPr>
        <w:ind w:left="249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7">
    <w:nsid w:val="26193C82"/>
    <w:multiLevelType w:val="multilevel"/>
    <w:tmpl w:val="26193C82"/>
    <w:lvl w:ilvl="0" w:tentative="0">
      <w:start w:val="560"/>
      <w:numFmt w:val="bullet"/>
      <w:lvlText w:val=""/>
      <w:lvlJc w:val="left"/>
      <w:pPr>
        <w:ind w:left="720" w:hanging="360"/>
      </w:pPr>
      <w:rPr>
        <w:rFonts w:hint="default" w:ascii="Symbol" w:hAnsi="Symbol"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FE33FE7"/>
    <w:multiLevelType w:val="multilevel"/>
    <w:tmpl w:val="3FE33FE7"/>
    <w:lvl w:ilvl="0" w:tentative="0">
      <w:start w:val="1"/>
      <w:numFmt w:val="bullet"/>
      <w:lvlText w:val="o"/>
      <w:lvlJc w:val="left"/>
      <w:pPr>
        <w:ind w:left="720" w:hanging="360"/>
      </w:pPr>
      <w:rPr>
        <w:rFonts w:hint="default" w:ascii="Courier New" w:hAnsi="Courier New"/>
      </w:rPr>
    </w:lvl>
    <w:lvl w:ilvl="1" w:tentative="0">
      <w:start w:val="1"/>
      <w:numFmt w:val="bullet"/>
      <w:lvlText w:val="o"/>
      <w:lvlJc w:val="left"/>
      <w:pPr>
        <w:ind w:left="1440" w:hanging="360"/>
      </w:pPr>
      <w:rPr>
        <w:rFonts w:hint="default" w:ascii="Courier New" w:hAnsi="Courier New"/>
      </w:rPr>
    </w:lvl>
    <w:lvl w:ilvl="2" w:tentative="0">
      <w:start w:val="1"/>
      <w:numFmt w:val="bullet"/>
      <w:pStyle w:val="250"/>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
    <w:nsid w:val="42E20B2C"/>
    <w:multiLevelType w:val="multilevel"/>
    <w:tmpl w:val="42E20B2C"/>
    <w:lvl w:ilvl="0" w:tentative="0">
      <w:start w:val="11"/>
      <w:numFmt w:val="decimal"/>
      <w:lvlText w:val="%1"/>
      <w:lvlJc w:val="left"/>
      <w:pPr>
        <w:ind w:left="600" w:hanging="600"/>
      </w:pPr>
      <w:rPr>
        <w:rFonts w:hint="default"/>
      </w:rPr>
    </w:lvl>
    <w:lvl w:ilvl="1" w:tentative="0">
      <w:start w:val="4"/>
      <w:numFmt w:val="decimal"/>
      <w:lvlText w:val="%1.%2"/>
      <w:lvlJc w:val="left"/>
      <w:pPr>
        <w:ind w:left="600" w:hanging="60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0">
    <w:nsid w:val="4691757A"/>
    <w:multiLevelType w:val="multilevel"/>
    <w:tmpl w:val="4691757A"/>
    <w:lvl w:ilvl="0" w:tentative="0">
      <w:start w:val="1"/>
      <w:numFmt w:val="upperRoman"/>
      <w:lvlText w:val="%1)"/>
      <w:lvlJc w:val="left"/>
      <w:pPr>
        <w:ind w:left="1287" w:hanging="720"/>
      </w:p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1">
    <w:nsid w:val="487B6470"/>
    <w:multiLevelType w:val="multilevel"/>
    <w:tmpl w:val="487B6470"/>
    <w:lvl w:ilvl="0" w:tentative="0">
      <w:start w:val="8"/>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2">
    <w:nsid w:val="4CF516FC"/>
    <w:multiLevelType w:val="multilevel"/>
    <w:tmpl w:val="4CF516F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58C70088"/>
    <w:multiLevelType w:val="multilevel"/>
    <w:tmpl w:val="58C70088"/>
    <w:lvl w:ilvl="0" w:tentative="0">
      <w:start w:val="1"/>
      <w:numFmt w:val="decimal"/>
      <w:pStyle w:val="81"/>
      <w:lvlText w:val="%1."/>
      <w:lvlJc w:val="left"/>
      <w:pPr>
        <w:ind w:left="502" w:hanging="360"/>
      </w:pPr>
      <w:rPr>
        <w:rFonts w:hint="default" w:ascii="Times New Roman" w:hAnsi="Times New Roman" w:cs="Times New Roman"/>
        <w:b/>
        <w:i w:val="0"/>
        <w:strike w:val="0"/>
        <w:dstrike w:val="0"/>
        <w:color w:val="auto"/>
        <w:sz w:val="24"/>
        <w:szCs w:val="24"/>
      </w:rPr>
    </w:lvl>
    <w:lvl w:ilvl="1" w:tentative="0">
      <w:start w:val="1"/>
      <w:numFmt w:val="decimal"/>
      <w:pStyle w:val="80"/>
      <w:lvlText w:val="%1.%2."/>
      <w:lvlJc w:val="left"/>
      <w:pPr>
        <w:ind w:left="716" w:hanging="432"/>
      </w:pPr>
      <w:rPr>
        <w:b/>
        <w:bCs/>
        <w:strike w:val="0"/>
      </w:rPr>
    </w:lvl>
    <w:lvl w:ilvl="2" w:tentative="0">
      <w:start w:val="1"/>
      <w:numFmt w:val="decimal"/>
      <w:pStyle w:val="82"/>
      <w:lvlText w:val="%1.%2.%3."/>
      <w:lvlJc w:val="left"/>
      <w:pPr>
        <w:ind w:left="1224" w:hanging="504"/>
      </w:pPr>
      <w:rPr>
        <w:i w:val="0"/>
        <w:strike w:val="0"/>
      </w:rPr>
    </w:lvl>
    <w:lvl w:ilvl="3" w:tentative="0">
      <w:start w:val="1"/>
      <w:numFmt w:val="decimal"/>
      <w:pStyle w:val="83"/>
      <w:lvlText w:val="%1.%2.%3.%4."/>
      <w:lvlJc w:val="left"/>
      <w:pPr>
        <w:ind w:left="1728" w:hanging="648"/>
      </w:pPr>
    </w:lvl>
    <w:lvl w:ilvl="4" w:tentative="0">
      <w:start w:val="1"/>
      <w:numFmt w:val="decimal"/>
      <w:pStyle w:val="84"/>
      <w:lvlText w:val="%1.%2.%3.%4.%5."/>
      <w:lvlJc w:val="left"/>
      <w:pPr>
        <w:ind w:left="4053"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4">
    <w:nsid w:val="6A8241D1"/>
    <w:multiLevelType w:val="multilevel"/>
    <w:tmpl w:val="6A8241D1"/>
    <w:lvl w:ilvl="0" w:tentative="0">
      <w:start w:val="3"/>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6C6B0F32"/>
    <w:multiLevelType w:val="multilevel"/>
    <w:tmpl w:val="6C6B0F32"/>
    <w:lvl w:ilvl="0" w:tentative="0">
      <w:start w:val="1"/>
      <w:numFmt w:val="bullet"/>
      <w:lvlText w:val=""/>
      <w:lvlJc w:val="left"/>
      <w:pPr>
        <w:tabs>
          <w:tab w:val="left" w:pos="644"/>
        </w:tabs>
        <w:ind w:left="644"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6E2005A1"/>
    <w:multiLevelType w:val="multilevel"/>
    <w:tmpl w:val="6E2005A1"/>
    <w:lvl w:ilvl="0" w:tentative="0">
      <w:start w:val="2"/>
      <w:numFmt w:val="decimal"/>
      <w:lvlText w:val="%1"/>
      <w:lvlJc w:val="left"/>
      <w:pPr>
        <w:ind w:left="360" w:hanging="360"/>
      </w:pPr>
      <w:rPr>
        <w:rFonts w:hint="default"/>
        <w:color w:val="auto"/>
      </w:rPr>
    </w:lvl>
    <w:lvl w:ilvl="1" w:tentative="0">
      <w:start w:val="1"/>
      <w:numFmt w:val="decimal"/>
      <w:lvlText w:val="%1.%2"/>
      <w:lvlJc w:val="left"/>
      <w:pPr>
        <w:ind w:left="3905"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7">
    <w:nsid w:val="7EA9AFCF"/>
    <w:multiLevelType w:val="multilevel"/>
    <w:tmpl w:val="7EA9AFCF"/>
    <w:lvl w:ilvl="0" w:tentative="0">
      <w:start w:val="19"/>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b w:val="0"/>
        <w:i w:val="0"/>
      </w:rPr>
    </w:lvl>
    <w:lvl w:ilvl="2" w:tentative="0">
      <w:start w:val="1"/>
      <w:numFmt w:val="lowerLetter"/>
      <w:lvlText w:val="%3)"/>
      <w:lvlJc w:val="left"/>
      <w:pPr>
        <w:tabs>
          <w:tab w:val="left" w:pos="0"/>
        </w:tabs>
        <w:ind w:left="1224" w:hanging="504"/>
      </w:pPr>
      <w:rPr>
        <w:b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num w:numId="1">
    <w:abstractNumId w:val="0"/>
  </w:num>
  <w:num w:numId="2">
    <w:abstractNumId w:val="6"/>
  </w:num>
  <w:num w:numId="3">
    <w:abstractNumId w:val="13"/>
  </w:num>
  <w:num w:numId="4">
    <w:abstractNumId w:val="8"/>
  </w:num>
  <w:num w:numId="5">
    <w:abstractNumId w:val="14"/>
  </w:num>
  <w:num w:numId="6">
    <w:abstractNumId w:val="6"/>
    <w:lvlOverride w:ilvl="0">
      <w:startOverride w:val="2"/>
    </w:lvlOverride>
  </w:num>
  <w:num w:numId="7">
    <w:abstractNumId w:val="10"/>
  </w:num>
  <w:num w:numId="8">
    <w:abstractNumId w:val="5"/>
  </w:num>
  <w:num w:numId="9">
    <w:abstractNumId w:val="2"/>
  </w:num>
  <w:num w:numId="10">
    <w:abstractNumId w:val="7"/>
  </w:num>
  <w:num w:numId="11">
    <w:abstractNumId w:val="3"/>
  </w:num>
  <w:num w:numId="12">
    <w:abstractNumId w:val="12"/>
  </w:num>
  <w:num w:numId="13">
    <w:abstractNumId w:val="15"/>
  </w:num>
  <w:num w:numId="14">
    <w:abstractNumId w:val="17"/>
  </w:num>
  <w:num w:numId="15">
    <w:abstractNumId w:val="1"/>
  </w:num>
  <w:num w:numId="16">
    <w:abstractNumId w:val="4"/>
  </w:num>
  <w:num w:numId="17">
    <w:abstractNumId w:val="9"/>
  </w:num>
  <w:num w:numId="18">
    <w:abstractNumId w:val="1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autoHyphenation/>
  <w:hyphenationZone w:val="425"/>
  <w:characterSpacingControl w:val="doNotCompress"/>
  <w:hdrShapeDefaults>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8C"/>
    <w:rsid w:val="00004A03"/>
    <w:rsid w:val="000101EE"/>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67E0"/>
    <w:rsid w:val="000771F4"/>
    <w:rsid w:val="00077D06"/>
    <w:rsid w:val="00083239"/>
    <w:rsid w:val="00085E39"/>
    <w:rsid w:val="000A3915"/>
    <w:rsid w:val="000A64DE"/>
    <w:rsid w:val="000B251C"/>
    <w:rsid w:val="000C0B58"/>
    <w:rsid w:val="000C5A75"/>
    <w:rsid w:val="000C7F42"/>
    <w:rsid w:val="000D30AB"/>
    <w:rsid w:val="000D6D31"/>
    <w:rsid w:val="000D7491"/>
    <w:rsid w:val="000E2F7C"/>
    <w:rsid w:val="000E3880"/>
    <w:rsid w:val="000E6E27"/>
    <w:rsid w:val="000F0389"/>
    <w:rsid w:val="000F08F5"/>
    <w:rsid w:val="000F3885"/>
    <w:rsid w:val="000F5AD1"/>
    <w:rsid w:val="000F6D5A"/>
    <w:rsid w:val="00104A7A"/>
    <w:rsid w:val="00104F7A"/>
    <w:rsid w:val="00107C3C"/>
    <w:rsid w:val="00111FDD"/>
    <w:rsid w:val="0011468B"/>
    <w:rsid w:val="00117139"/>
    <w:rsid w:val="001178D7"/>
    <w:rsid w:val="00120F86"/>
    <w:rsid w:val="00121979"/>
    <w:rsid w:val="001251EF"/>
    <w:rsid w:val="001271E1"/>
    <w:rsid w:val="00130824"/>
    <w:rsid w:val="001318D3"/>
    <w:rsid w:val="001318EE"/>
    <w:rsid w:val="001429D9"/>
    <w:rsid w:val="001429E4"/>
    <w:rsid w:val="001463E8"/>
    <w:rsid w:val="00146ED8"/>
    <w:rsid w:val="00147A28"/>
    <w:rsid w:val="001531D5"/>
    <w:rsid w:val="00160772"/>
    <w:rsid w:val="00163256"/>
    <w:rsid w:val="00163E26"/>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4944"/>
    <w:rsid w:val="002028F0"/>
    <w:rsid w:val="00207588"/>
    <w:rsid w:val="002143E4"/>
    <w:rsid w:val="002167B9"/>
    <w:rsid w:val="00216B5C"/>
    <w:rsid w:val="0021714D"/>
    <w:rsid w:val="00217B88"/>
    <w:rsid w:val="0022172F"/>
    <w:rsid w:val="00221A10"/>
    <w:rsid w:val="00225B02"/>
    <w:rsid w:val="0023005A"/>
    <w:rsid w:val="00230953"/>
    <w:rsid w:val="00230B94"/>
    <w:rsid w:val="0023148F"/>
    <w:rsid w:val="00232911"/>
    <w:rsid w:val="00235AF3"/>
    <w:rsid w:val="00240404"/>
    <w:rsid w:val="002432C6"/>
    <w:rsid w:val="00247098"/>
    <w:rsid w:val="00247D43"/>
    <w:rsid w:val="00250C33"/>
    <w:rsid w:val="002533E1"/>
    <w:rsid w:val="002621F2"/>
    <w:rsid w:val="00266404"/>
    <w:rsid w:val="002664BA"/>
    <w:rsid w:val="00270206"/>
    <w:rsid w:val="00270247"/>
    <w:rsid w:val="00272797"/>
    <w:rsid w:val="00277F73"/>
    <w:rsid w:val="00282FD3"/>
    <w:rsid w:val="00283D86"/>
    <w:rsid w:val="0029014E"/>
    <w:rsid w:val="002901AD"/>
    <w:rsid w:val="00290530"/>
    <w:rsid w:val="00293B60"/>
    <w:rsid w:val="00294388"/>
    <w:rsid w:val="002A0A60"/>
    <w:rsid w:val="002A5C8F"/>
    <w:rsid w:val="002A627D"/>
    <w:rsid w:val="002A6417"/>
    <w:rsid w:val="002A78D0"/>
    <w:rsid w:val="002B0B0E"/>
    <w:rsid w:val="002B24A5"/>
    <w:rsid w:val="002B599D"/>
    <w:rsid w:val="002C0D66"/>
    <w:rsid w:val="002C515C"/>
    <w:rsid w:val="002C5FD3"/>
    <w:rsid w:val="002D27B3"/>
    <w:rsid w:val="002D5003"/>
    <w:rsid w:val="002D60B2"/>
    <w:rsid w:val="002E0CC4"/>
    <w:rsid w:val="002E3330"/>
    <w:rsid w:val="002E3348"/>
    <w:rsid w:val="002E5621"/>
    <w:rsid w:val="002F6377"/>
    <w:rsid w:val="003011BF"/>
    <w:rsid w:val="00302377"/>
    <w:rsid w:val="003074A0"/>
    <w:rsid w:val="003128FA"/>
    <w:rsid w:val="00315541"/>
    <w:rsid w:val="0031579E"/>
    <w:rsid w:val="003214F4"/>
    <w:rsid w:val="0032371B"/>
    <w:rsid w:val="00323E58"/>
    <w:rsid w:val="00324789"/>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35AF"/>
    <w:rsid w:val="003767F8"/>
    <w:rsid w:val="00382860"/>
    <w:rsid w:val="00384F9A"/>
    <w:rsid w:val="00391E04"/>
    <w:rsid w:val="00393A17"/>
    <w:rsid w:val="00397BDC"/>
    <w:rsid w:val="003A4C57"/>
    <w:rsid w:val="003A5A75"/>
    <w:rsid w:val="003B0131"/>
    <w:rsid w:val="003B4234"/>
    <w:rsid w:val="003B6EEF"/>
    <w:rsid w:val="003C0206"/>
    <w:rsid w:val="003C1A8B"/>
    <w:rsid w:val="003C323F"/>
    <w:rsid w:val="003C76FA"/>
    <w:rsid w:val="003D1D1F"/>
    <w:rsid w:val="003D3768"/>
    <w:rsid w:val="003D3C9E"/>
    <w:rsid w:val="003D40C3"/>
    <w:rsid w:val="003D7939"/>
    <w:rsid w:val="003D7D7B"/>
    <w:rsid w:val="003D7E30"/>
    <w:rsid w:val="003E0975"/>
    <w:rsid w:val="003E09FF"/>
    <w:rsid w:val="003E0DDD"/>
    <w:rsid w:val="003E13FC"/>
    <w:rsid w:val="003E1D82"/>
    <w:rsid w:val="003E20C1"/>
    <w:rsid w:val="003E27EF"/>
    <w:rsid w:val="003E47A3"/>
    <w:rsid w:val="003E5740"/>
    <w:rsid w:val="003E619C"/>
    <w:rsid w:val="003E7007"/>
    <w:rsid w:val="003F3719"/>
    <w:rsid w:val="003F4CE7"/>
    <w:rsid w:val="003F4E11"/>
    <w:rsid w:val="0040427E"/>
    <w:rsid w:val="00405CDA"/>
    <w:rsid w:val="0040776F"/>
    <w:rsid w:val="004167D8"/>
    <w:rsid w:val="00424ED0"/>
    <w:rsid w:val="004254CF"/>
    <w:rsid w:val="00431C8B"/>
    <w:rsid w:val="00432C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C66"/>
    <w:rsid w:val="004704A0"/>
    <w:rsid w:val="00470939"/>
    <w:rsid w:val="00471B10"/>
    <w:rsid w:val="004726B0"/>
    <w:rsid w:val="0047340A"/>
    <w:rsid w:val="004763C3"/>
    <w:rsid w:val="004767A3"/>
    <w:rsid w:val="00476D47"/>
    <w:rsid w:val="004831F0"/>
    <w:rsid w:val="004839CA"/>
    <w:rsid w:val="004849DB"/>
    <w:rsid w:val="00486CDD"/>
    <w:rsid w:val="00486D28"/>
    <w:rsid w:val="00487583"/>
    <w:rsid w:val="004908F4"/>
    <w:rsid w:val="0049319D"/>
    <w:rsid w:val="004A188D"/>
    <w:rsid w:val="004A3C73"/>
    <w:rsid w:val="004B12CD"/>
    <w:rsid w:val="004B53D3"/>
    <w:rsid w:val="004B5B36"/>
    <w:rsid w:val="004B7AF9"/>
    <w:rsid w:val="004C3540"/>
    <w:rsid w:val="004C3C58"/>
    <w:rsid w:val="004C66A4"/>
    <w:rsid w:val="004D37B5"/>
    <w:rsid w:val="004D5B77"/>
    <w:rsid w:val="004D6171"/>
    <w:rsid w:val="004D7EDE"/>
    <w:rsid w:val="004E5DF1"/>
    <w:rsid w:val="004E62CB"/>
    <w:rsid w:val="004F0660"/>
    <w:rsid w:val="004F0C08"/>
    <w:rsid w:val="004F2164"/>
    <w:rsid w:val="004F384D"/>
    <w:rsid w:val="004F4B21"/>
    <w:rsid w:val="004F5749"/>
    <w:rsid w:val="00502E9B"/>
    <w:rsid w:val="005037B4"/>
    <w:rsid w:val="00506241"/>
    <w:rsid w:val="00506F18"/>
    <w:rsid w:val="00515173"/>
    <w:rsid w:val="00521FD6"/>
    <w:rsid w:val="00522BCC"/>
    <w:rsid w:val="00523380"/>
    <w:rsid w:val="0052521A"/>
    <w:rsid w:val="005279D3"/>
    <w:rsid w:val="00533344"/>
    <w:rsid w:val="00534DC9"/>
    <w:rsid w:val="005528BF"/>
    <w:rsid w:val="00553AC1"/>
    <w:rsid w:val="005548A2"/>
    <w:rsid w:val="00570DBB"/>
    <w:rsid w:val="00571F5A"/>
    <w:rsid w:val="0057378D"/>
    <w:rsid w:val="00574A66"/>
    <w:rsid w:val="00577DE1"/>
    <w:rsid w:val="0058463D"/>
    <w:rsid w:val="00592495"/>
    <w:rsid w:val="005A70B1"/>
    <w:rsid w:val="005B762D"/>
    <w:rsid w:val="005D15F8"/>
    <w:rsid w:val="005D66C6"/>
    <w:rsid w:val="005F0392"/>
    <w:rsid w:val="006003AF"/>
    <w:rsid w:val="006005F2"/>
    <w:rsid w:val="006035DC"/>
    <w:rsid w:val="00611B61"/>
    <w:rsid w:val="00617220"/>
    <w:rsid w:val="006232DF"/>
    <w:rsid w:val="00625DF4"/>
    <w:rsid w:val="0062608B"/>
    <w:rsid w:val="006270EE"/>
    <w:rsid w:val="006424C9"/>
    <w:rsid w:val="00644183"/>
    <w:rsid w:val="00644259"/>
    <w:rsid w:val="00650653"/>
    <w:rsid w:val="006622C2"/>
    <w:rsid w:val="00664CFB"/>
    <w:rsid w:val="00670C25"/>
    <w:rsid w:val="00674D62"/>
    <w:rsid w:val="006751A4"/>
    <w:rsid w:val="006752F1"/>
    <w:rsid w:val="00683E3B"/>
    <w:rsid w:val="0068697E"/>
    <w:rsid w:val="00686CAB"/>
    <w:rsid w:val="00687B67"/>
    <w:rsid w:val="00693DE7"/>
    <w:rsid w:val="006941B8"/>
    <w:rsid w:val="00695477"/>
    <w:rsid w:val="006954C5"/>
    <w:rsid w:val="0069596A"/>
    <w:rsid w:val="006A0B76"/>
    <w:rsid w:val="006A518F"/>
    <w:rsid w:val="006A56D5"/>
    <w:rsid w:val="006B2DF2"/>
    <w:rsid w:val="006B2FEB"/>
    <w:rsid w:val="006B3C7B"/>
    <w:rsid w:val="006B3D32"/>
    <w:rsid w:val="006B599F"/>
    <w:rsid w:val="006B7C94"/>
    <w:rsid w:val="006B7CBE"/>
    <w:rsid w:val="006C06DA"/>
    <w:rsid w:val="006C0A60"/>
    <w:rsid w:val="006E0640"/>
    <w:rsid w:val="006E4947"/>
    <w:rsid w:val="006E4AC0"/>
    <w:rsid w:val="006E5C99"/>
    <w:rsid w:val="006E7B55"/>
    <w:rsid w:val="006E7DC0"/>
    <w:rsid w:val="006F11ED"/>
    <w:rsid w:val="007059B6"/>
    <w:rsid w:val="007111A3"/>
    <w:rsid w:val="007126BD"/>
    <w:rsid w:val="007169D1"/>
    <w:rsid w:val="0072247A"/>
    <w:rsid w:val="00723E2A"/>
    <w:rsid w:val="0073251B"/>
    <w:rsid w:val="00732ED9"/>
    <w:rsid w:val="00741264"/>
    <w:rsid w:val="00747DAD"/>
    <w:rsid w:val="0075419B"/>
    <w:rsid w:val="00754B8F"/>
    <w:rsid w:val="00754BE7"/>
    <w:rsid w:val="00760B8C"/>
    <w:rsid w:val="00761A02"/>
    <w:rsid w:val="00761A96"/>
    <w:rsid w:val="00765F36"/>
    <w:rsid w:val="00766253"/>
    <w:rsid w:val="00771CF4"/>
    <w:rsid w:val="00772599"/>
    <w:rsid w:val="007726FB"/>
    <w:rsid w:val="00775D11"/>
    <w:rsid w:val="0078364F"/>
    <w:rsid w:val="0078471A"/>
    <w:rsid w:val="00791BE3"/>
    <w:rsid w:val="0079347E"/>
    <w:rsid w:val="00796416"/>
    <w:rsid w:val="00796952"/>
    <w:rsid w:val="007A193C"/>
    <w:rsid w:val="007B33C8"/>
    <w:rsid w:val="007B5550"/>
    <w:rsid w:val="007B67E4"/>
    <w:rsid w:val="007B747F"/>
    <w:rsid w:val="007B75A6"/>
    <w:rsid w:val="007C0D3F"/>
    <w:rsid w:val="007C1E38"/>
    <w:rsid w:val="007C2829"/>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049E"/>
    <w:rsid w:val="00821AE7"/>
    <w:rsid w:val="00822DBE"/>
    <w:rsid w:val="00823C3B"/>
    <w:rsid w:val="00824E49"/>
    <w:rsid w:val="00830DE9"/>
    <w:rsid w:val="0083286F"/>
    <w:rsid w:val="008458A5"/>
    <w:rsid w:val="00845A0B"/>
    <w:rsid w:val="00852A21"/>
    <w:rsid w:val="00853D2A"/>
    <w:rsid w:val="0085790E"/>
    <w:rsid w:val="0086220E"/>
    <w:rsid w:val="00864DB9"/>
    <w:rsid w:val="008653F3"/>
    <w:rsid w:val="0086577B"/>
    <w:rsid w:val="00865E9E"/>
    <w:rsid w:val="00871001"/>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8F526B"/>
    <w:rsid w:val="0090144F"/>
    <w:rsid w:val="00903234"/>
    <w:rsid w:val="00903CC6"/>
    <w:rsid w:val="0091695A"/>
    <w:rsid w:val="00917C09"/>
    <w:rsid w:val="00922C54"/>
    <w:rsid w:val="00931065"/>
    <w:rsid w:val="00932E1D"/>
    <w:rsid w:val="00937E2E"/>
    <w:rsid w:val="00942F2F"/>
    <w:rsid w:val="009477C4"/>
    <w:rsid w:val="00952D13"/>
    <w:rsid w:val="009543D0"/>
    <w:rsid w:val="00954635"/>
    <w:rsid w:val="00955B6E"/>
    <w:rsid w:val="009607E7"/>
    <w:rsid w:val="009627D7"/>
    <w:rsid w:val="00970FB8"/>
    <w:rsid w:val="00980050"/>
    <w:rsid w:val="00983BB7"/>
    <w:rsid w:val="00984467"/>
    <w:rsid w:val="00985527"/>
    <w:rsid w:val="009878BD"/>
    <w:rsid w:val="0099397A"/>
    <w:rsid w:val="00994310"/>
    <w:rsid w:val="00994826"/>
    <w:rsid w:val="009A22F1"/>
    <w:rsid w:val="009A6675"/>
    <w:rsid w:val="009A68EE"/>
    <w:rsid w:val="009A6B8E"/>
    <w:rsid w:val="009B1D8C"/>
    <w:rsid w:val="009B6073"/>
    <w:rsid w:val="009B65F9"/>
    <w:rsid w:val="009C1E59"/>
    <w:rsid w:val="009C6472"/>
    <w:rsid w:val="009D0A1A"/>
    <w:rsid w:val="009D2B4A"/>
    <w:rsid w:val="009D2EFB"/>
    <w:rsid w:val="009D5FC6"/>
    <w:rsid w:val="009D76C7"/>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2712"/>
    <w:rsid w:val="00A34409"/>
    <w:rsid w:val="00A44A42"/>
    <w:rsid w:val="00A457B5"/>
    <w:rsid w:val="00A46D5F"/>
    <w:rsid w:val="00A47165"/>
    <w:rsid w:val="00A47D11"/>
    <w:rsid w:val="00A52880"/>
    <w:rsid w:val="00A53488"/>
    <w:rsid w:val="00A5593C"/>
    <w:rsid w:val="00A6081F"/>
    <w:rsid w:val="00A65C20"/>
    <w:rsid w:val="00A71EF6"/>
    <w:rsid w:val="00A72551"/>
    <w:rsid w:val="00A72DB7"/>
    <w:rsid w:val="00A850E8"/>
    <w:rsid w:val="00A85252"/>
    <w:rsid w:val="00A95A7A"/>
    <w:rsid w:val="00AA1F74"/>
    <w:rsid w:val="00AA2710"/>
    <w:rsid w:val="00AA2C2E"/>
    <w:rsid w:val="00AA3E8F"/>
    <w:rsid w:val="00AA44D1"/>
    <w:rsid w:val="00AB1811"/>
    <w:rsid w:val="00AB2889"/>
    <w:rsid w:val="00AB3FC7"/>
    <w:rsid w:val="00AB49D9"/>
    <w:rsid w:val="00AB5C07"/>
    <w:rsid w:val="00AC1D18"/>
    <w:rsid w:val="00AC1E5E"/>
    <w:rsid w:val="00AC3B81"/>
    <w:rsid w:val="00AC493B"/>
    <w:rsid w:val="00AC6D86"/>
    <w:rsid w:val="00AC7908"/>
    <w:rsid w:val="00AD1BC2"/>
    <w:rsid w:val="00AD5A1D"/>
    <w:rsid w:val="00AE0AE2"/>
    <w:rsid w:val="00AE24D0"/>
    <w:rsid w:val="00AE37AF"/>
    <w:rsid w:val="00AE3CD7"/>
    <w:rsid w:val="00AE575D"/>
    <w:rsid w:val="00AF570C"/>
    <w:rsid w:val="00AF6AF2"/>
    <w:rsid w:val="00B00BA5"/>
    <w:rsid w:val="00B0270A"/>
    <w:rsid w:val="00B07B42"/>
    <w:rsid w:val="00B11CDB"/>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64D5"/>
    <w:rsid w:val="00B70495"/>
    <w:rsid w:val="00B72AEB"/>
    <w:rsid w:val="00B7497B"/>
    <w:rsid w:val="00B75AAD"/>
    <w:rsid w:val="00B75B79"/>
    <w:rsid w:val="00B84723"/>
    <w:rsid w:val="00B86866"/>
    <w:rsid w:val="00B943E7"/>
    <w:rsid w:val="00B96614"/>
    <w:rsid w:val="00B97087"/>
    <w:rsid w:val="00BA0334"/>
    <w:rsid w:val="00BA34C0"/>
    <w:rsid w:val="00BB366A"/>
    <w:rsid w:val="00BB6AA0"/>
    <w:rsid w:val="00BC1602"/>
    <w:rsid w:val="00BC39B4"/>
    <w:rsid w:val="00BD015D"/>
    <w:rsid w:val="00BD1A34"/>
    <w:rsid w:val="00BD25C3"/>
    <w:rsid w:val="00BD3108"/>
    <w:rsid w:val="00BE174D"/>
    <w:rsid w:val="00BE5F2F"/>
    <w:rsid w:val="00BE6E55"/>
    <w:rsid w:val="00BF19BD"/>
    <w:rsid w:val="00BF2F2E"/>
    <w:rsid w:val="00BF644B"/>
    <w:rsid w:val="00C103C2"/>
    <w:rsid w:val="00C119FE"/>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F4"/>
    <w:rsid w:val="00C870E6"/>
    <w:rsid w:val="00C9196E"/>
    <w:rsid w:val="00C92E02"/>
    <w:rsid w:val="00C94540"/>
    <w:rsid w:val="00C95186"/>
    <w:rsid w:val="00C978B9"/>
    <w:rsid w:val="00CA203C"/>
    <w:rsid w:val="00CA250F"/>
    <w:rsid w:val="00CA3384"/>
    <w:rsid w:val="00CB1A04"/>
    <w:rsid w:val="00CC1670"/>
    <w:rsid w:val="00CC5DE0"/>
    <w:rsid w:val="00CC61FE"/>
    <w:rsid w:val="00CD1066"/>
    <w:rsid w:val="00CD1415"/>
    <w:rsid w:val="00CE0D72"/>
    <w:rsid w:val="00CF1AC9"/>
    <w:rsid w:val="00D02176"/>
    <w:rsid w:val="00D02F77"/>
    <w:rsid w:val="00D104DE"/>
    <w:rsid w:val="00D117C3"/>
    <w:rsid w:val="00D1409A"/>
    <w:rsid w:val="00D158D5"/>
    <w:rsid w:val="00D20A29"/>
    <w:rsid w:val="00D26376"/>
    <w:rsid w:val="00D26D82"/>
    <w:rsid w:val="00D26E47"/>
    <w:rsid w:val="00D413D8"/>
    <w:rsid w:val="00D426D9"/>
    <w:rsid w:val="00D4367F"/>
    <w:rsid w:val="00D43829"/>
    <w:rsid w:val="00D47F87"/>
    <w:rsid w:val="00D503B9"/>
    <w:rsid w:val="00D52023"/>
    <w:rsid w:val="00D52528"/>
    <w:rsid w:val="00D55BE8"/>
    <w:rsid w:val="00D57E00"/>
    <w:rsid w:val="00D60C86"/>
    <w:rsid w:val="00D62540"/>
    <w:rsid w:val="00D638F1"/>
    <w:rsid w:val="00D67EE9"/>
    <w:rsid w:val="00D7657D"/>
    <w:rsid w:val="00D84597"/>
    <w:rsid w:val="00D86C0E"/>
    <w:rsid w:val="00D86DBF"/>
    <w:rsid w:val="00D93CDC"/>
    <w:rsid w:val="00D94AF4"/>
    <w:rsid w:val="00DA0D5E"/>
    <w:rsid w:val="00DA6CD3"/>
    <w:rsid w:val="00DB28EC"/>
    <w:rsid w:val="00DB3598"/>
    <w:rsid w:val="00DB4BA3"/>
    <w:rsid w:val="00DB6E3C"/>
    <w:rsid w:val="00DC2441"/>
    <w:rsid w:val="00DD0185"/>
    <w:rsid w:val="00DD1B7F"/>
    <w:rsid w:val="00DD2C61"/>
    <w:rsid w:val="00DD563F"/>
    <w:rsid w:val="00DD762E"/>
    <w:rsid w:val="00DE041C"/>
    <w:rsid w:val="00DE17DC"/>
    <w:rsid w:val="00DE6A32"/>
    <w:rsid w:val="00DF23E1"/>
    <w:rsid w:val="00DF2E00"/>
    <w:rsid w:val="00DF6678"/>
    <w:rsid w:val="00DF6D2C"/>
    <w:rsid w:val="00E10F4D"/>
    <w:rsid w:val="00E1591C"/>
    <w:rsid w:val="00E17162"/>
    <w:rsid w:val="00E176A8"/>
    <w:rsid w:val="00E17ECA"/>
    <w:rsid w:val="00E20DE5"/>
    <w:rsid w:val="00E23080"/>
    <w:rsid w:val="00E231A0"/>
    <w:rsid w:val="00E2453F"/>
    <w:rsid w:val="00E26CF5"/>
    <w:rsid w:val="00E32325"/>
    <w:rsid w:val="00E33869"/>
    <w:rsid w:val="00E34DA0"/>
    <w:rsid w:val="00E352FB"/>
    <w:rsid w:val="00E37737"/>
    <w:rsid w:val="00E47D7E"/>
    <w:rsid w:val="00E500E1"/>
    <w:rsid w:val="00E5741A"/>
    <w:rsid w:val="00E63E4E"/>
    <w:rsid w:val="00E72EAD"/>
    <w:rsid w:val="00E75151"/>
    <w:rsid w:val="00E76E6A"/>
    <w:rsid w:val="00E85131"/>
    <w:rsid w:val="00E911B1"/>
    <w:rsid w:val="00E94400"/>
    <w:rsid w:val="00E96FCF"/>
    <w:rsid w:val="00EA1933"/>
    <w:rsid w:val="00EA1A80"/>
    <w:rsid w:val="00EA37DB"/>
    <w:rsid w:val="00EA54F4"/>
    <w:rsid w:val="00EA7CD5"/>
    <w:rsid w:val="00EB29C3"/>
    <w:rsid w:val="00EB2A3A"/>
    <w:rsid w:val="00EC0985"/>
    <w:rsid w:val="00EC6BC7"/>
    <w:rsid w:val="00ED0C0C"/>
    <w:rsid w:val="00ED4C45"/>
    <w:rsid w:val="00ED66E9"/>
    <w:rsid w:val="00ED7F1B"/>
    <w:rsid w:val="00EE1BEB"/>
    <w:rsid w:val="00EE35E4"/>
    <w:rsid w:val="00EE6A43"/>
    <w:rsid w:val="00EF199A"/>
    <w:rsid w:val="00EF3235"/>
    <w:rsid w:val="00EF74A8"/>
    <w:rsid w:val="00EF79A6"/>
    <w:rsid w:val="00F0122C"/>
    <w:rsid w:val="00F01DFB"/>
    <w:rsid w:val="00F02C41"/>
    <w:rsid w:val="00F02D43"/>
    <w:rsid w:val="00F05669"/>
    <w:rsid w:val="00F1154A"/>
    <w:rsid w:val="00F20CC0"/>
    <w:rsid w:val="00F2154E"/>
    <w:rsid w:val="00F22750"/>
    <w:rsid w:val="00F23E4F"/>
    <w:rsid w:val="00F314DF"/>
    <w:rsid w:val="00F318AD"/>
    <w:rsid w:val="00F402ED"/>
    <w:rsid w:val="00F42F88"/>
    <w:rsid w:val="00F47AEE"/>
    <w:rsid w:val="00F51D66"/>
    <w:rsid w:val="00F551D1"/>
    <w:rsid w:val="00F557DA"/>
    <w:rsid w:val="00F6219F"/>
    <w:rsid w:val="00F6629D"/>
    <w:rsid w:val="00F706CC"/>
    <w:rsid w:val="00F773F8"/>
    <w:rsid w:val="00F77C07"/>
    <w:rsid w:val="00F84364"/>
    <w:rsid w:val="00F86945"/>
    <w:rsid w:val="00F8783C"/>
    <w:rsid w:val="00F92253"/>
    <w:rsid w:val="00F93C37"/>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 w:val="702D0C9A"/>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nhideWhenUsed="0" w:uiPriority="99" w:semiHidden="0"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nhideWhenUsed="0" w:uiPriority="0" w:semiHidden="0" w:name="Body Text 3"/>
    <w:lsdException w:uiPriority="0" w:name="Body Text Indent 2"/>
    <w:lsdException w:uiPriority="99" w:name="Body Text Indent 3"/>
    <w:lsdException w:uiPriority="99" w:name="Block Text"/>
    <w:lsdException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nhideWhenUsed="0" w:uiPriority="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59" w:semiHidden="0" w:name="Table Grid"/>
    <w:lsdException w:uiPriority="99"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sdException w:qFormat="1" w:unhideWhenUsed="0" w:uiPriority="30" w:semiHidden="0" w:name="Intense Quote"/>
  </w:latentStyles>
  <w:style w:type="paragraph" w:default="1" w:styleId="1">
    <w:name w:val="Normal"/>
    <w:qFormat/>
    <w:uiPriority w:val="0"/>
    <w:pPr>
      <w:suppressAutoHyphens/>
    </w:pPr>
    <w:rPr>
      <w:rFonts w:ascii="Times New Roman" w:hAnsi="Times New Roman" w:eastAsia="Times New Roman" w:cs="Times New Roman"/>
      <w:sz w:val="24"/>
      <w:lang w:val="pt-BR" w:eastAsia="ar-SA" w:bidi="ar-SA"/>
    </w:rPr>
  </w:style>
  <w:style w:type="paragraph" w:styleId="2">
    <w:name w:val="heading 1"/>
    <w:basedOn w:val="1"/>
    <w:next w:val="1"/>
    <w:link w:val="44"/>
    <w:qFormat/>
    <w:uiPriority w:val="9"/>
    <w:pPr>
      <w:keepNext/>
      <w:keepLines/>
      <w:spacing w:before="240"/>
      <w:outlineLvl w:val="0"/>
    </w:pPr>
    <w:rPr>
      <w:rFonts w:ascii="Cambria" w:hAnsi="Cambria" w:eastAsia="Cambria" w:cs="Cambria"/>
      <w:color w:val="365F91"/>
      <w:sz w:val="32"/>
      <w:szCs w:val="32"/>
    </w:rPr>
  </w:style>
  <w:style w:type="paragraph" w:styleId="3">
    <w:name w:val="heading 2"/>
    <w:basedOn w:val="1"/>
    <w:next w:val="1"/>
    <w:link w:val="52"/>
    <w:qFormat/>
    <w:uiPriority w:val="0"/>
    <w:pPr>
      <w:keepNext/>
      <w:tabs>
        <w:tab w:val="left" w:pos="1701"/>
      </w:tabs>
      <w:suppressAutoHyphens w:val="0"/>
      <w:ind w:right="-1"/>
      <w:jc w:val="center"/>
      <w:outlineLvl w:val="1"/>
    </w:pPr>
    <w:rPr>
      <w:rFonts w:eastAsia="Calibri"/>
      <w:b/>
      <w:color w:val="000000"/>
      <w:lang w:eastAsia="pt-BR"/>
    </w:rPr>
  </w:style>
  <w:style w:type="paragraph" w:styleId="4">
    <w:name w:val="heading 3"/>
    <w:basedOn w:val="1"/>
    <w:next w:val="1"/>
    <w:link w:val="41"/>
    <w:qFormat/>
    <w:uiPriority w:val="9"/>
    <w:pPr>
      <w:keepNext/>
      <w:tabs>
        <w:tab w:val="left" w:pos="0"/>
      </w:tabs>
      <w:ind w:left="720" w:hanging="720"/>
      <w:jc w:val="center"/>
      <w:outlineLvl w:val="2"/>
    </w:pPr>
    <w:rPr>
      <w:rFonts w:ascii="Garamond" w:hAnsi="Garamond"/>
      <w:b/>
      <w:i/>
    </w:rPr>
  </w:style>
  <w:style w:type="paragraph" w:styleId="5">
    <w:name w:val="heading 4"/>
    <w:basedOn w:val="1"/>
    <w:next w:val="1"/>
    <w:link w:val="53"/>
    <w:semiHidden/>
    <w:unhideWhenUsed/>
    <w:qFormat/>
    <w:uiPriority w:val="0"/>
    <w:pPr>
      <w:keepNext/>
      <w:keepLines/>
      <w:suppressAutoHyphens w:val="0"/>
      <w:spacing w:before="40"/>
      <w:outlineLvl w:val="3"/>
    </w:pPr>
    <w:rPr>
      <w:rFonts w:ascii="Cambria" w:hAnsi="Cambria" w:eastAsia="Cambria" w:cs="Cambria"/>
      <w:i/>
      <w:iCs/>
      <w:color w:val="365F91"/>
      <w:szCs w:val="24"/>
      <w:lang w:eastAsia="pt-BR"/>
    </w:rPr>
  </w:style>
  <w:style w:type="paragraph" w:styleId="6">
    <w:name w:val="heading 5"/>
    <w:basedOn w:val="1"/>
    <w:next w:val="1"/>
    <w:link w:val="266"/>
    <w:semiHidden/>
    <w:unhideWhenUsed/>
    <w:qFormat/>
    <w:uiPriority w:val="9"/>
    <w:pPr>
      <w:keepNext/>
      <w:keepLines/>
      <w:suppressAutoHyphens w:val="0"/>
      <w:spacing w:before="80" w:after="40" w:line="259" w:lineRule="auto"/>
      <w:outlineLvl w:val="4"/>
    </w:pPr>
    <w:rPr>
      <w:rFonts w:asciiTheme="minorHAnsi" w:hAnsiTheme="minorHAnsi" w:eastAsiaTheme="majorEastAsia" w:cstheme="majorBidi"/>
      <w:color w:val="2F5597" w:themeColor="accent1" w:themeShade="BF"/>
      <w:kern w:val="2"/>
      <w:sz w:val="22"/>
      <w:szCs w:val="22"/>
      <w:lang w:eastAsia="en-US"/>
      <w14:ligatures w14:val="standardContextual"/>
    </w:rPr>
  </w:style>
  <w:style w:type="paragraph" w:styleId="7">
    <w:name w:val="heading 6"/>
    <w:basedOn w:val="1"/>
    <w:next w:val="1"/>
    <w:link w:val="186"/>
    <w:semiHidden/>
    <w:unhideWhenUsed/>
    <w:qFormat/>
    <w:uiPriority w:val="9"/>
    <w:pPr>
      <w:keepNext/>
      <w:keepLines/>
      <w:suppressAutoHyphens w:val="0"/>
      <w:spacing w:before="40" w:line="259" w:lineRule="auto"/>
      <w:outlineLvl w:val="5"/>
    </w:pPr>
    <w:rPr>
      <w:rFonts w:ascii="Calibri" w:hAnsi="Calibri" w:eastAsia="MS Gothic"/>
      <w:color w:val="243F60"/>
      <w:sz w:val="22"/>
      <w:szCs w:val="22"/>
      <w:lang w:eastAsia="en-US"/>
    </w:rPr>
  </w:style>
  <w:style w:type="paragraph" w:styleId="8">
    <w:name w:val="heading 7"/>
    <w:basedOn w:val="1"/>
    <w:next w:val="1"/>
    <w:link w:val="267"/>
    <w:semiHidden/>
    <w:unhideWhenUsed/>
    <w:qFormat/>
    <w:uiPriority w:val="9"/>
    <w:pPr>
      <w:keepNext/>
      <w:keepLines/>
      <w:suppressAutoHyphens w:val="0"/>
      <w:spacing w:before="40" w:line="259" w:lineRule="auto"/>
      <w:outlineLvl w:val="6"/>
    </w:pPr>
    <w:rPr>
      <w:rFonts w:asciiTheme="minorHAnsi" w:hAnsiTheme="minorHAnsi" w:eastAsiaTheme="majorEastAsia" w:cstheme="majorBidi"/>
      <w:color w:val="595959" w:themeColor="text1" w:themeTint="A6"/>
      <w:kern w:val="2"/>
      <w:sz w:val="22"/>
      <w:szCs w:val="22"/>
      <w:lang w:eastAsia="en-US"/>
      <w14:textFill>
        <w14:solidFill>
          <w14:schemeClr w14:val="tx1">
            <w14:lumMod w14:val="65000"/>
            <w14:lumOff w14:val="35000"/>
          </w14:schemeClr>
        </w14:solidFill>
      </w14:textFill>
      <w14:ligatures w14:val="standardContextual"/>
    </w:rPr>
  </w:style>
  <w:style w:type="paragraph" w:styleId="9">
    <w:name w:val="heading 8"/>
    <w:basedOn w:val="1"/>
    <w:next w:val="1"/>
    <w:link w:val="268"/>
    <w:semiHidden/>
    <w:unhideWhenUsed/>
    <w:qFormat/>
    <w:uiPriority w:val="9"/>
    <w:pPr>
      <w:keepNext/>
      <w:keepLines/>
      <w:suppressAutoHyphens w:val="0"/>
      <w:spacing w:line="259" w:lineRule="auto"/>
      <w:outlineLvl w:val="7"/>
    </w:pPr>
    <w:rPr>
      <w:rFonts w:asciiTheme="minorHAnsi" w:hAnsiTheme="minorHAnsi" w:eastAsiaTheme="majorEastAsia" w:cstheme="majorBidi"/>
      <w:i/>
      <w:iCs/>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paragraph" w:styleId="10">
    <w:name w:val="heading 9"/>
    <w:basedOn w:val="1"/>
    <w:next w:val="1"/>
    <w:link w:val="269"/>
    <w:semiHidden/>
    <w:unhideWhenUsed/>
    <w:qFormat/>
    <w:uiPriority w:val="9"/>
    <w:pPr>
      <w:keepNext/>
      <w:keepLines/>
      <w:suppressAutoHyphens w:val="0"/>
      <w:spacing w:line="259" w:lineRule="auto"/>
      <w:outlineLvl w:val="8"/>
    </w:pPr>
    <w:rPr>
      <w:rFonts w:asciiTheme="minorHAnsi" w:hAnsiTheme="minorHAnsi" w:eastAsiaTheme="majorEastAsia" w:cstheme="majorBidi"/>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Strong"/>
    <w:qFormat/>
    <w:uiPriority w:val="22"/>
    <w:rPr>
      <w:b/>
      <w:bCs/>
    </w:rPr>
  </w:style>
  <w:style w:type="character" w:styleId="14">
    <w:name w:val="annotation reference"/>
    <w:unhideWhenUsed/>
    <w:qFormat/>
    <w:uiPriority w:val="0"/>
    <w:rPr>
      <w:sz w:val="16"/>
      <w:szCs w:val="16"/>
    </w:rPr>
  </w:style>
  <w:style w:type="character" w:styleId="15">
    <w:name w:val="FollowedHyperlink"/>
    <w:semiHidden/>
    <w:unhideWhenUsed/>
    <w:qFormat/>
    <w:uiPriority w:val="99"/>
    <w:rPr>
      <w:color w:val="800080"/>
      <w:u w:val="single"/>
    </w:rPr>
  </w:style>
  <w:style w:type="character" w:styleId="16">
    <w:name w:val="Emphasis"/>
    <w:qFormat/>
    <w:uiPriority w:val="20"/>
    <w:rPr>
      <w:i/>
      <w:iCs/>
    </w:rPr>
  </w:style>
  <w:style w:type="character" w:styleId="17">
    <w:name w:val="Hyperlink"/>
    <w:uiPriority w:val="0"/>
    <w:rPr>
      <w:color w:val="000080"/>
      <w:u w:val="single"/>
    </w:rPr>
  </w:style>
  <w:style w:type="character" w:styleId="18">
    <w:name w:val="page number"/>
    <w:qFormat/>
    <w:uiPriority w:val="0"/>
  </w:style>
  <w:style w:type="paragraph" w:styleId="19">
    <w:name w:val="List"/>
    <w:basedOn w:val="20"/>
    <w:qFormat/>
    <w:uiPriority w:val="0"/>
    <w:rPr>
      <w:rFonts w:cs="Lohit Devanagari"/>
    </w:rPr>
  </w:style>
  <w:style w:type="paragraph" w:styleId="20">
    <w:name w:val="Body Text"/>
    <w:basedOn w:val="1"/>
    <w:link w:val="76"/>
    <w:qFormat/>
    <w:uiPriority w:val="99"/>
    <w:pPr>
      <w:spacing w:after="140" w:line="276" w:lineRule="auto"/>
    </w:pPr>
  </w:style>
  <w:style w:type="paragraph" w:styleId="21">
    <w:name w:val="annotation text"/>
    <w:basedOn w:val="1"/>
    <w:link w:val="62"/>
    <w:unhideWhenUsed/>
    <w:qFormat/>
    <w:uiPriority w:val="99"/>
    <w:pPr>
      <w:suppressAutoHyphens w:val="0"/>
    </w:pPr>
    <w:rPr>
      <w:rFonts w:ascii="Ecofont_Spranq_eco_Sans" w:hAnsi="Ecofont_Spranq_eco_Sans" w:eastAsia="Calibri" w:cs="Tahoma"/>
      <w:sz w:val="20"/>
      <w:lang w:eastAsia="pt-BR"/>
    </w:rPr>
  </w:style>
  <w:style w:type="paragraph" w:styleId="22">
    <w:name w:val="Body Text Indent 2"/>
    <w:basedOn w:val="1"/>
    <w:link w:val="90"/>
    <w:semiHidden/>
    <w:unhideWhenUsed/>
    <w:uiPriority w:val="0"/>
    <w:pPr>
      <w:spacing w:after="120" w:line="480" w:lineRule="auto"/>
      <w:ind w:left="283"/>
    </w:pPr>
  </w:style>
  <w:style w:type="paragraph" w:styleId="23">
    <w:name w:val="Title"/>
    <w:basedOn w:val="1"/>
    <w:next w:val="20"/>
    <w:link w:val="66"/>
    <w:qFormat/>
    <w:uiPriority w:val="10"/>
    <w:pPr>
      <w:keepNext/>
      <w:spacing w:before="240" w:after="120"/>
    </w:pPr>
    <w:rPr>
      <w:rFonts w:ascii="Liberation Sans" w:hAnsi="Liberation Sans" w:eastAsia="Noto Sans CJK SC" w:cs="Lohit Devanagari"/>
      <w:sz w:val="28"/>
      <w:szCs w:val="28"/>
    </w:rPr>
  </w:style>
  <w:style w:type="paragraph" w:styleId="24">
    <w:name w:val="List Bullet 5"/>
    <w:basedOn w:val="1"/>
    <w:uiPriority w:val="99"/>
    <w:pPr>
      <w:numPr>
        <w:ilvl w:val="0"/>
        <w:numId w:val="1"/>
      </w:numPr>
      <w:suppressAutoHyphens w:val="0"/>
      <w:contextualSpacing/>
    </w:pPr>
    <w:rPr>
      <w:rFonts w:ascii="Ecofont_Spranq_eco_Sans" w:hAnsi="Ecofont_Spranq_eco_Sans" w:eastAsia="Calibri" w:cs="Tahoma"/>
      <w:szCs w:val="24"/>
      <w:lang w:eastAsia="pt-BR"/>
    </w:rPr>
  </w:style>
  <w:style w:type="paragraph" w:styleId="25">
    <w:name w:val="Normal (Web)"/>
    <w:basedOn w:val="1"/>
    <w:unhideWhenUsed/>
    <w:qFormat/>
    <w:uiPriority w:val="99"/>
    <w:pPr>
      <w:suppressAutoHyphens w:val="0"/>
      <w:spacing w:beforeAutospacing="1" w:afterAutospacing="1"/>
    </w:pPr>
    <w:rPr>
      <w:szCs w:val="24"/>
      <w:lang w:eastAsia="pt-BR"/>
    </w:rPr>
  </w:style>
  <w:style w:type="paragraph" w:styleId="26">
    <w:name w:val="Body Text 3"/>
    <w:basedOn w:val="1"/>
    <w:link w:val="130"/>
    <w:uiPriority w:val="0"/>
    <w:pPr>
      <w:suppressAutoHyphens w:val="0"/>
      <w:jc w:val="both"/>
    </w:pPr>
    <w:rPr>
      <w:lang w:eastAsia="pt-BR"/>
    </w:rPr>
  </w:style>
  <w:style w:type="paragraph" w:styleId="27">
    <w:name w:val="HTML Preformatted"/>
    <w:basedOn w:val="1"/>
    <w:link w:val="185"/>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28">
    <w:name w:val="Body Text 2"/>
    <w:basedOn w:val="1"/>
    <w:link w:val="129"/>
    <w:uiPriority w:val="0"/>
    <w:pPr>
      <w:suppressAutoHyphens w:val="0"/>
      <w:jc w:val="center"/>
    </w:pPr>
    <w:rPr>
      <w:lang w:eastAsia="pt-BR"/>
    </w:rPr>
  </w:style>
  <w:style w:type="paragraph" w:styleId="29">
    <w:name w:val="header"/>
    <w:basedOn w:val="1"/>
    <w:link w:val="39"/>
    <w:unhideWhenUsed/>
    <w:uiPriority w:val="99"/>
    <w:pPr>
      <w:tabs>
        <w:tab w:val="center" w:pos="4252"/>
        <w:tab w:val="right" w:pos="8504"/>
      </w:tabs>
      <w:suppressAutoHyphens w:val="0"/>
    </w:pPr>
    <w:rPr>
      <w:rFonts w:ascii="Calibri" w:hAnsi="Calibri" w:eastAsia="Calibri" w:cs="Calibri"/>
      <w:sz w:val="22"/>
      <w:szCs w:val="22"/>
      <w:lang w:eastAsia="en-US"/>
    </w:rPr>
  </w:style>
  <w:style w:type="paragraph" w:styleId="30">
    <w:name w:val="annotation subject"/>
    <w:basedOn w:val="21"/>
    <w:next w:val="21"/>
    <w:link w:val="63"/>
    <w:semiHidden/>
    <w:unhideWhenUsed/>
    <w:uiPriority w:val="99"/>
    <w:rPr>
      <w:b/>
      <w:bCs/>
    </w:rPr>
  </w:style>
  <w:style w:type="paragraph" w:styleId="31">
    <w:name w:val="footer"/>
    <w:basedOn w:val="1"/>
    <w:link w:val="40"/>
    <w:unhideWhenUsed/>
    <w:uiPriority w:val="99"/>
    <w:pPr>
      <w:tabs>
        <w:tab w:val="center" w:pos="4252"/>
        <w:tab w:val="right" w:pos="8504"/>
      </w:tabs>
      <w:suppressAutoHyphens w:val="0"/>
    </w:pPr>
    <w:rPr>
      <w:rFonts w:ascii="Calibri" w:hAnsi="Calibri" w:eastAsia="Calibri" w:cs="Calibri"/>
      <w:sz w:val="22"/>
      <w:szCs w:val="22"/>
      <w:lang w:eastAsia="en-US"/>
    </w:rPr>
  </w:style>
  <w:style w:type="paragraph" w:styleId="32">
    <w:name w:val="Document Map"/>
    <w:basedOn w:val="1"/>
    <w:link w:val="128"/>
    <w:semiHidden/>
    <w:uiPriority w:val="0"/>
    <w:pPr>
      <w:shd w:val="clear" w:color="auto" w:fill="000080"/>
      <w:suppressAutoHyphens w:val="0"/>
    </w:pPr>
    <w:rPr>
      <w:rFonts w:ascii="Tahoma" w:hAnsi="Tahoma"/>
      <w:sz w:val="20"/>
      <w:lang w:eastAsia="pt-BR"/>
    </w:rPr>
  </w:style>
  <w:style w:type="paragraph" w:styleId="33">
    <w:name w:val="caption"/>
    <w:basedOn w:val="1"/>
    <w:qFormat/>
    <w:uiPriority w:val="0"/>
    <w:pPr>
      <w:suppressLineNumbers/>
      <w:spacing w:before="120" w:after="120"/>
    </w:pPr>
    <w:rPr>
      <w:rFonts w:cs="Lohit Devanagari"/>
      <w:i/>
      <w:iCs/>
      <w:szCs w:val="24"/>
    </w:rPr>
  </w:style>
  <w:style w:type="paragraph" w:styleId="34">
    <w:name w:val="Balloon Text"/>
    <w:basedOn w:val="1"/>
    <w:link w:val="54"/>
    <w:uiPriority w:val="99"/>
    <w:pPr>
      <w:suppressAutoHyphens w:val="0"/>
    </w:pPr>
    <w:rPr>
      <w:rFonts w:ascii="Tahoma" w:hAnsi="Tahoma" w:eastAsia="Calibri" w:cs="Tahoma"/>
      <w:sz w:val="16"/>
      <w:szCs w:val="16"/>
      <w:lang w:eastAsia="pt-BR"/>
    </w:rPr>
  </w:style>
  <w:style w:type="paragraph" w:styleId="35">
    <w:name w:val="Subtitle"/>
    <w:basedOn w:val="1"/>
    <w:next w:val="1"/>
    <w:link w:val="270"/>
    <w:qFormat/>
    <w:uiPriority w:val="11"/>
    <w:pPr>
      <w:suppressAutoHyphens w:val="0"/>
      <w:spacing w:after="160" w:line="259" w:lineRule="auto"/>
    </w:pPr>
    <w:rPr>
      <w:rFonts w:asciiTheme="minorHAnsi" w:hAnsiTheme="minorHAnsi" w:eastAsiaTheme="majorEastAsia" w:cstheme="majorBidi"/>
      <w:color w:val="595959" w:themeColor="text1" w:themeTint="A6"/>
      <w:spacing w:val="15"/>
      <w:kern w:val="2"/>
      <w:sz w:val="28"/>
      <w:szCs w:val="28"/>
      <w:lang w:eastAsia="en-US"/>
      <w14:textFill>
        <w14:solidFill>
          <w14:schemeClr w14:val="tx1">
            <w14:lumMod w14:val="65000"/>
            <w14:lumOff w14:val="35000"/>
          </w14:schemeClr>
        </w14:solidFill>
      </w14:textFill>
      <w14:ligatures w14:val="standardContextual"/>
    </w:rPr>
  </w:style>
  <w:style w:type="paragraph" w:styleId="36">
    <w:name w:val="toc 1"/>
    <w:basedOn w:val="1"/>
    <w:next w:val="1"/>
    <w:autoRedefine/>
    <w:unhideWhenUsed/>
    <w:uiPriority w:val="39"/>
    <w:pPr>
      <w:tabs>
        <w:tab w:val="left" w:pos="426"/>
        <w:tab w:val="right" w:leader="dot" w:pos="9628"/>
      </w:tabs>
      <w:suppressAutoHyphens w:val="0"/>
      <w:spacing w:after="100"/>
    </w:pPr>
    <w:rPr>
      <w:rFonts w:ascii="Arial" w:hAnsi="Arial" w:cs="Tahoma"/>
      <w:sz w:val="20"/>
      <w:szCs w:val="24"/>
      <w:lang w:eastAsia="pt-BR"/>
    </w:rPr>
  </w:style>
  <w:style w:type="paragraph" w:styleId="37">
    <w:name w:val="Body Text Indent"/>
    <w:basedOn w:val="1"/>
    <w:link w:val="89"/>
    <w:unhideWhenUsed/>
    <w:uiPriority w:val="0"/>
    <w:pPr>
      <w:spacing w:after="120"/>
      <w:ind w:left="283"/>
    </w:pPr>
  </w:style>
  <w:style w:type="table" w:styleId="38">
    <w:name w:val="Table Grid"/>
    <w:basedOn w:val="12"/>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
    <w:name w:val="Cabeçalho Char"/>
    <w:basedOn w:val="11"/>
    <w:link w:val="29"/>
    <w:qFormat/>
    <w:uiPriority w:val="99"/>
  </w:style>
  <w:style w:type="character" w:customStyle="1" w:styleId="40">
    <w:name w:val="Rodapé Char"/>
    <w:basedOn w:val="11"/>
    <w:link w:val="31"/>
    <w:qFormat/>
    <w:uiPriority w:val="99"/>
  </w:style>
  <w:style w:type="character" w:customStyle="1" w:styleId="41">
    <w:name w:val="Título 3 Char"/>
    <w:link w:val="4"/>
    <w:qFormat/>
    <w:uiPriority w:val="9"/>
    <w:rPr>
      <w:rFonts w:ascii="Garamond" w:hAnsi="Garamond" w:eastAsia="Times New Roman" w:cs="Times New Roman"/>
      <w:b/>
      <w:i/>
      <w:sz w:val="24"/>
      <w:szCs w:val="20"/>
      <w:lang w:eastAsia="ar-SA"/>
    </w:rPr>
  </w:style>
  <w:style w:type="character" w:customStyle="1" w:styleId="42">
    <w:name w:val="Absatz-Standardschriftart"/>
    <w:qFormat/>
    <w:uiPriority w:val="0"/>
  </w:style>
  <w:style w:type="character" w:customStyle="1" w:styleId="43">
    <w:name w:val="apple-converted-space"/>
    <w:basedOn w:val="11"/>
    <w:qFormat/>
    <w:uiPriority w:val="0"/>
  </w:style>
  <w:style w:type="character" w:customStyle="1" w:styleId="44">
    <w:name w:val="Título 1 Char"/>
    <w:link w:val="2"/>
    <w:qFormat/>
    <w:uiPriority w:val="9"/>
    <w:rPr>
      <w:rFonts w:ascii="Cambria" w:hAnsi="Cambria" w:eastAsia="Cambria" w:cs="Cambria"/>
      <w:color w:val="365F91"/>
      <w:sz w:val="32"/>
      <w:szCs w:val="32"/>
      <w:lang w:eastAsia="ar-SA"/>
    </w:rPr>
  </w:style>
  <w:style w:type="character" w:customStyle="1" w:styleId="45">
    <w:name w:val="ui-pdp-color--black"/>
    <w:basedOn w:val="11"/>
    <w:qFormat/>
    <w:uiPriority w:val="0"/>
  </w:style>
  <w:style w:type="character" w:customStyle="1" w:styleId="46">
    <w:name w:val="text_exposed_show"/>
    <w:basedOn w:val="11"/>
    <w:qFormat/>
    <w:uiPriority w:val="0"/>
  </w:style>
  <w:style w:type="paragraph" w:customStyle="1" w:styleId="47">
    <w:name w:val="Índice"/>
    <w:basedOn w:val="1"/>
    <w:qFormat/>
    <w:uiPriority w:val="0"/>
    <w:pPr>
      <w:suppressLineNumbers/>
    </w:pPr>
    <w:rPr>
      <w:rFonts w:cs="Lohit Devanagari"/>
    </w:rPr>
  </w:style>
  <w:style w:type="paragraph" w:customStyle="1" w:styleId="48">
    <w:name w:val="Cabeçalho e Rodapé"/>
    <w:basedOn w:val="1"/>
    <w:qFormat/>
    <w:uiPriority w:val="0"/>
  </w:style>
  <w:style w:type="paragraph" w:styleId="49">
    <w:name w:val="List Paragraph"/>
    <w:basedOn w:val="1"/>
    <w:link w:val="206"/>
    <w:qFormat/>
    <w:uiPriority w:val="34"/>
    <w:pPr>
      <w:ind w:left="720"/>
      <w:contextualSpacing/>
    </w:pPr>
  </w:style>
  <w:style w:type="paragraph" w:customStyle="1" w:styleId="50">
    <w:name w:val="Default"/>
    <w:qFormat/>
    <w:uiPriority w:val="0"/>
    <w:pPr>
      <w:suppressAutoHyphens/>
    </w:pPr>
    <w:rPr>
      <w:rFonts w:ascii="Times New Roman" w:hAnsi="Times New Roman" w:eastAsia="Calibri" w:cs="Times New Roman"/>
      <w:color w:val="000000"/>
      <w:sz w:val="24"/>
      <w:szCs w:val="24"/>
      <w:lang w:val="pt-BR" w:eastAsia="en-US" w:bidi="ar-SA"/>
    </w:rPr>
  </w:style>
  <w:style w:type="paragraph" w:customStyle="1" w:styleId="51">
    <w:name w:val="ui-pdp-family--regular"/>
    <w:basedOn w:val="1"/>
    <w:qFormat/>
    <w:uiPriority w:val="0"/>
    <w:pPr>
      <w:suppressAutoHyphens w:val="0"/>
      <w:spacing w:beforeAutospacing="1" w:afterAutospacing="1"/>
    </w:pPr>
    <w:rPr>
      <w:szCs w:val="24"/>
      <w:lang w:eastAsia="pt-BR"/>
    </w:rPr>
  </w:style>
  <w:style w:type="character" w:customStyle="1" w:styleId="52">
    <w:name w:val="Título 2 Char"/>
    <w:link w:val="3"/>
    <w:uiPriority w:val="0"/>
    <w:rPr>
      <w:rFonts w:ascii="Times New Roman" w:hAnsi="Times New Roman" w:eastAsia="Calibri" w:cs="Times New Roman"/>
      <w:b/>
      <w:color w:val="000000"/>
      <w:sz w:val="24"/>
      <w:szCs w:val="20"/>
      <w:lang w:eastAsia="pt-BR"/>
    </w:rPr>
  </w:style>
  <w:style w:type="character" w:customStyle="1" w:styleId="53">
    <w:name w:val="Título 4 Char"/>
    <w:link w:val="5"/>
    <w:uiPriority w:val="0"/>
    <w:rPr>
      <w:rFonts w:ascii="Cambria" w:hAnsi="Cambria" w:eastAsia="Cambria" w:cs="Cambria"/>
      <w:i/>
      <w:iCs/>
      <w:color w:val="365F91"/>
      <w:sz w:val="24"/>
      <w:szCs w:val="24"/>
      <w:lang w:eastAsia="pt-BR"/>
    </w:rPr>
  </w:style>
  <w:style w:type="character" w:customStyle="1" w:styleId="54">
    <w:name w:val="Texto de balão Char"/>
    <w:link w:val="34"/>
    <w:uiPriority w:val="99"/>
    <w:rPr>
      <w:rFonts w:ascii="Tahoma" w:hAnsi="Tahoma" w:eastAsia="Calibri" w:cs="Tahoma"/>
      <w:sz w:val="16"/>
      <w:szCs w:val="16"/>
      <w:lang w:eastAsia="pt-BR"/>
    </w:rPr>
  </w:style>
  <w:style w:type="paragraph" w:customStyle="1" w:styleId="55">
    <w:name w:val="Nível 2"/>
    <w:basedOn w:val="1"/>
    <w:next w:val="1"/>
    <w:uiPriority w:val="99"/>
    <w:pPr>
      <w:suppressAutoHyphens w:val="0"/>
      <w:spacing w:after="120"/>
      <w:jc w:val="both"/>
    </w:pPr>
    <w:rPr>
      <w:rFonts w:ascii="Arial" w:hAnsi="Arial" w:eastAsia="Calibri"/>
      <w:b/>
      <w:lang w:eastAsia="pt-BR"/>
    </w:rPr>
  </w:style>
  <w:style w:type="character" w:customStyle="1" w:styleId="56">
    <w:name w:val="normal__char1"/>
    <w:uiPriority w:val="0"/>
    <w:rPr>
      <w:rFonts w:hint="default" w:ascii="Arial" w:hAnsi="Arial" w:cs="Arial"/>
      <w:sz w:val="24"/>
      <w:szCs w:val="24"/>
      <w:u w:val="none"/>
    </w:rPr>
  </w:style>
  <w:style w:type="character" w:customStyle="1" w:styleId="57">
    <w:name w:val="apple-style-span"/>
    <w:basedOn w:val="11"/>
    <w:uiPriority w:val="0"/>
  </w:style>
  <w:style w:type="paragraph" w:styleId="58">
    <w:name w:val="Quote"/>
    <w:basedOn w:val="1"/>
    <w:next w:val="1"/>
    <w:link w:val="59"/>
    <w:qFormat/>
    <w:uiPriority w:val="0"/>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Arial" w:hAnsi="Arial" w:eastAsia="Calibri" w:cs="Tahoma"/>
      <w:i/>
      <w:iCs/>
      <w:color w:val="000000"/>
      <w:sz w:val="20"/>
      <w:szCs w:val="24"/>
      <w:lang w:eastAsia="en-US"/>
    </w:rPr>
  </w:style>
  <w:style w:type="character" w:customStyle="1" w:styleId="59">
    <w:name w:val="Citação Char"/>
    <w:link w:val="58"/>
    <w:qFormat/>
    <w:uiPriority w:val="0"/>
    <w:rPr>
      <w:rFonts w:ascii="Arial" w:hAnsi="Arial" w:eastAsia="Calibri" w:cs="Tahoma"/>
      <w:i/>
      <w:iCs/>
      <w:color w:val="000000"/>
      <w:szCs w:val="24"/>
      <w:shd w:val="clear" w:color="auto" w:fill="FFFFCC"/>
    </w:rPr>
  </w:style>
  <w:style w:type="paragraph" w:customStyle="1" w:styleId="60">
    <w:name w:val="citação 2"/>
    <w:basedOn w:val="58"/>
    <w:link w:val="61"/>
    <w:qFormat/>
    <w:uiPriority w:val="99"/>
    <w:rPr>
      <w:szCs w:val="20"/>
    </w:rPr>
  </w:style>
  <w:style w:type="character" w:customStyle="1" w:styleId="61">
    <w:name w:val="citação 2 Char"/>
    <w:link w:val="60"/>
    <w:uiPriority w:val="0"/>
    <w:rPr>
      <w:rFonts w:ascii="Arial" w:hAnsi="Arial" w:eastAsia="Calibri" w:cs="Tahoma"/>
      <w:i/>
      <w:iCs/>
      <w:color w:val="000000"/>
      <w:szCs w:val="20"/>
      <w:shd w:val="clear" w:color="auto" w:fill="FFFFCC"/>
    </w:rPr>
  </w:style>
  <w:style w:type="character" w:customStyle="1" w:styleId="62">
    <w:name w:val="Texto de comentário Char"/>
    <w:link w:val="21"/>
    <w:qFormat/>
    <w:uiPriority w:val="99"/>
    <w:rPr>
      <w:rFonts w:ascii="Ecofont_Spranq_eco_Sans" w:hAnsi="Ecofont_Spranq_eco_Sans" w:eastAsia="Calibri" w:cs="Tahoma"/>
      <w:szCs w:val="20"/>
      <w:lang w:eastAsia="pt-BR"/>
    </w:rPr>
  </w:style>
  <w:style w:type="character" w:customStyle="1" w:styleId="63">
    <w:name w:val="Assunto do comentário Char"/>
    <w:link w:val="30"/>
    <w:semiHidden/>
    <w:uiPriority w:val="99"/>
    <w:rPr>
      <w:rFonts w:ascii="Ecofont_Spranq_eco_Sans" w:hAnsi="Ecofont_Spranq_eco_Sans" w:eastAsia="Calibri" w:cs="Tahoma"/>
      <w:b/>
      <w:bCs/>
      <w:szCs w:val="20"/>
      <w:lang w:eastAsia="pt-BR"/>
    </w:rPr>
  </w:style>
  <w:style w:type="paragraph" w:customStyle="1" w:styleId="64">
    <w:name w:val="Nivel 01"/>
    <w:basedOn w:val="2"/>
    <w:next w:val="1"/>
    <w:link w:val="67"/>
    <w:qFormat/>
    <w:uiPriority w:val="0"/>
    <w:pPr>
      <w:numPr>
        <w:ilvl w:val="0"/>
        <w:numId w:val="2"/>
      </w:numPr>
      <w:tabs>
        <w:tab w:val="left" w:pos="567"/>
      </w:tabs>
      <w:suppressAutoHyphens w:val="0"/>
      <w:jc w:val="both"/>
    </w:pPr>
    <w:rPr>
      <w:rFonts w:ascii="Ecofont_Spranq_eco_Sans" w:hAnsi="Ecofont_Spranq_eco_Sans" w:eastAsia="Noto Sans CJK SC" w:cs="Times New Roman"/>
      <w:b/>
      <w:bCs/>
      <w:color w:val="000000"/>
      <w:sz w:val="28"/>
      <w:szCs w:val="20"/>
    </w:rPr>
  </w:style>
  <w:style w:type="paragraph" w:customStyle="1" w:styleId="65">
    <w:name w:val="Nivel_01_Titulo"/>
    <w:basedOn w:val="64"/>
    <w:link w:val="68"/>
    <w:qFormat/>
    <w:uiPriority w:val="0"/>
    <w:pPr>
      <w:jc w:val="left"/>
    </w:pPr>
    <w:rPr>
      <w:rFonts w:cs="Cambria"/>
      <w:szCs w:val="52"/>
    </w:rPr>
  </w:style>
  <w:style w:type="character" w:customStyle="1" w:styleId="66">
    <w:name w:val="Título Char"/>
    <w:link w:val="23"/>
    <w:uiPriority w:val="99"/>
    <w:rPr>
      <w:rFonts w:ascii="Liberation Sans" w:hAnsi="Liberation Sans" w:eastAsia="Noto Sans CJK SC" w:cs="Lohit Devanagari"/>
      <w:sz w:val="28"/>
      <w:szCs w:val="28"/>
      <w:lang w:eastAsia="ar-SA"/>
    </w:rPr>
  </w:style>
  <w:style w:type="character" w:customStyle="1" w:styleId="67">
    <w:name w:val="Nivel 01 Char"/>
    <w:link w:val="64"/>
    <w:uiPriority w:val="0"/>
    <w:rPr>
      <w:rFonts w:ascii="Ecofont_Spranq_eco_Sans" w:hAnsi="Ecofont_Spranq_eco_Sans" w:eastAsia="Noto Sans CJK SC" w:cs="Times New Roman"/>
      <w:b/>
      <w:bCs/>
      <w:color w:val="000000"/>
      <w:sz w:val="28"/>
      <w:lang w:eastAsia="ar-SA"/>
    </w:rPr>
  </w:style>
  <w:style w:type="character" w:customStyle="1" w:styleId="68">
    <w:name w:val="Nivel_01_Titulo Char"/>
    <w:link w:val="65"/>
    <w:qFormat/>
    <w:uiPriority w:val="0"/>
    <w:rPr>
      <w:rFonts w:ascii="Ecofont_Spranq_eco_Sans" w:hAnsi="Ecofont_Spranq_eco_Sans" w:eastAsia="Noto Sans CJK SC" w:cs="Cambria"/>
      <w:b/>
      <w:bCs/>
      <w:color w:val="000000"/>
      <w:sz w:val="28"/>
      <w:szCs w:val="52"/>
      <w:lang w:eastAsia="ar-SA"/>
    </w:rPr>
  </w:style>
  <w:style w:type="paragraph" w:customStyle="1" w:styleId="69">
    <w:name w:val="PADRÃO"/>
    <w:uiPriority w:val="99"/>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70">
    <w:name w:val="Quote Char"/>
    <w:link w:val="71"/>
    <w:uiPriority w:val="0"/>
    <w:rPr>
      <w:rFonts w:ascii="Ecofont_Spranq_eco_Sans" w:hAnsi="Ecofont_Spranq_eco_Sans" w:eastAsia="Calibri" w:cs="Tahoma"/>
      <w:i/>
      <w:iCs/>
      <w:color w:val="000000"/>
      <w:shd w:val="clear" w:color="auto" w:fill="FFFFCC"/>
    </w:rPr>
  </w:style>
  <w:style w:type="paragraph" w:customStyle="1" w:styleId="71">
    <w:name w:val="Citação1"/>
    <w:basedOn w:val="1"/>
    <w:next w:val="1"/>
    <w:link w:val="70"/>
    <w:qFormat/>
    <w:uiPriority w:val="0"/>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Ecofont_Spranq_eco_Sans" w:hAnsi="Ecofont_Spranq_eco_Sans" w:eastAsia="Calibri" w:cs="Tahoma"/>
      <w:i/>
      <w:iCs/>
      <w:color w:val="000000"/>
      <w:sz w:val="20"/>
      <w:szCs w:val="22"/>
      <w:lang w:eastAsia="en-US"/>
    </w:rPr>
  </w:style>
  <w:style w:type="paragraph" w:customStyle="1" w:styleId="72">
    <w:name w:val="paragraph"/>
    <w:basedOn w:val="1"/>
    <w:uiPriority w:val="99"/>
    <w:pPr>
      <w:suppressAutoHyphens w:val="0"/>
      <w:spacing w:before="100" w:beforeAutospacing="1" w:after="100" w:afterAutospacing="1"/>
    </w:pPr>
    <w:rPr>
      <w:szCs w:val="24"/>
      <w:lang w:eastAsia="pt-BR"/>
    </w:rPr>
  </w:style>
  <w:style w:type="character" w:customStyle="1" w:styleId="73">
    <w:name w:val="normaltextrun"/>
    <w:basedOn w:val="11"/>
    <w:qFormat/>
    <w:uiPriority w:val="0"/>
  </w:style>
  <w:style w:type="character" w:customStyle="1" w:styleId="74">
    <w:name w:val="eop"/>
    <w:basedOn w:val="11"/>
    <w:uiPriority w:val="0"/>
  </w:style>
  <w:style w:type="character" w:customStyle="1" w:styleId="75">
    <w:name w:val="spellingerror"/>
    <w:basedOn w:val="11"/>
    <w:uiPriority w:val="0"/>
  </w:style>
  <w:style w:type="character" w:customStyle="1" w:styleId="76">
    <w:name w:val="Corpo de texto Char"/>
    <w:link w:val="20"/>
    <w:uiPriority w:val="99"/>
    <w:rPr>
      <w:rFonts w:ascii="Times New Roman" w:hAnsi="Times New Roman" w:eastAsia="Times New Roman" w:cs="Times New Roman"/>
      <w:sz w:val="24"/>
      <w:szCs w:val="20"/>
      <w:lang w:eastAsia="ar-SA"/>
    </w:rPr>
  </w:style>
  <w:style w:type="paragraph" w:customStyle="1" w:styleId="77">
    <w:name w:val="Nivel1"/>
    <w:basedOn w:val="2"/>
    <w:link w:val="78"/>
    <w:qFormat/>
    <w:uiPriority w:val="0"/>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78">
    <w:name w:val="Nivel1 Char"/>
    <w:link w:val="77"/>
    <w:uiPriority w:val="0"/>
    <w:rPr>
      <w:rFonts w:ascii="Arial" w:hAnsi="Arial" w:eastAsia="Cambria" w:cs="Arial"/>
      <w:b/>
      <w:color w:val="000000"/>
      <w:sz w:val="28"/>
      <w:szCs w:val="28"/>
      <w:lang w:eastAsia="pt-BR"/>
    </w:rPr>
  </w:style>
  <w:style w:type="paragraph" w:customStyle="1" w:styleId="79">
    <w:name w:val="Parágrafo da Lista1"/>
    <w:basedOn w:val="1"/>
    <w:qFormat/>
    <w:uiPriority w:val="99"/>
    <w:pPr>
      <w:suppressAutoHyphens w:val="0"/>
      <w:ind w:left="720"/>
    </w:pPr>
    <w:rPr>
      <w:rFonts w:ascii="Ecofont_Spranq_eco_Sans" w:hAnsi="Ecofont_Spranq_eco_Sans" w:cs="Ecofont_Spranq_eco_Sans"/>
      <w:szCs w:val="24"/>
      <w:lang w:eastAsia="pt-BR"/>
    </w:rPr>
  </w:style>
  <w:style w:type="paragraph" w:customStyle="1" w:styleId="80">
    <w:name w:val="Nivel 2"/>
    <w:link w:val="97"/>
    <w:qFormat/>
    <w:uiPriority w:val="0"/>
    <w:pPr>
      <w:numPr>
        <w:ilvl w:val="1"/>
        <w:numId w:val="3"/>
      </w:numPr>
      <w:spacing w:before="120" w:after="120" w:line="276" w:lineRule="auto"/>
      <w:ind w:left="858"/>
      <w:jc w:val="both"/>
    </w:pPr>
    <w:rPr>
      <w:rFonts w:ascii="Ecofont_Spranq_eco_Sans" w:hAnsi="Ecofont_Spranq_eco_Sans" w:eastAsia="Arial Unicode MS" w:cs="Times New Roman"/>
      <w:lang w:val="pt-BR" w:eastAsia="pt-BR" w:bidi="ar-SA"/>
    </w:rPr>
  </w:style>
  <w:style w:type="paragraph" w:customStyle="1" w:styleId="81">
    <w:name w:val="Nivel 1"/>
    <w:basedOn w:val="80"/>
    <w:next w:val="80"/>
    <w:qFormat/>
    <w:uiPriority w:val="0"/>
    <w:pPr>
      <w:numPr>
        <w:ilvl w:val="0"/>
      </w:numPr>
    </w:pPr>
    <w:rPr>
      <w:rFonts w:cs="Arial"/>
      <w:b/>
    </w:rPr>
  </w:style>
  <w:style w:type="paragraph" w:customStyle="1" w:styleId="82">
    <w:name w:val="Nivel 3"/>
    <w:basedOn w:val="80"/>
    <w:link w:val="221"/>
    <w:qFormat/>
    <w:uiPriority w:val="0"/>
    <w:pPr>
      <w:numPr>
        <w:ilvl w:val="2"/>
      </w:numPr>
    </w:pPr>
    <w:rPr>
      <w:rFonts w:cs="Arial"/>
      <w:color w:val="000000"/>
    </w:rPr>
  </w:style>
  <w:style w:type="paragraph" w:customStyle="1" w:styleId="83">
    <w:name w:val="Nivel 4"/>
    <w:basedOn w:val="82"/>
    <w:link w:val="85"/>
    <w:qFormat/>
    <w:uiPriority w:val="0"/>
    <w:pPr>
      <w:numPr>
        <w:ilvl w:val="3"/>
      </w:numPr>
    </w:pPr>
    <w:rPr>
      <w:color w:val="auto"/>
    </w:rPr>
  </w:style>
  <w:style w:type="paragraph" w:customStyle="1" w:styleId="84">
    <w:name w:val="Nivel 5"/>
    <w:basedOn w:val="83"/>
    <w:qFormat/>
    <w:uiPriority w:val="0"/>
    <w:pPr>
      <w:numPr>
        <w:ilvl w:val="4"/>
      </w:numPr>
      <w:tabs>
        <w:tab w:val="left" w:pos="360"/>
      </w:tabs>
      <w:ind w:left="3348" w:hanging="1080"/>
    </w:pPr>
  </w:style>
  <w:style w:type="character" w:customStyle="1" w:styleId="85">
    <w:name w:val="Nivel 4 Char"/>
    <w:link w:val="83"/>
    <w:qFormat/>
    <w:uiPriority w:val="0"/>
    <w:rPr>
      <w:rFonts w:ascii="Ecofont_Spranq_eco_Sans" w:hAnsi="Ecofont_Spranq_eco_Sans" w:eastAsia="Arial Unicode MS" w:cs="Arial"/>
    </w:rPr>
  </w:style>
  <w:style w:type="paragraph" w:customStyle="1" w:styleId="86">
    <w:name w:val="textbody"/>
    <w:basedOn w:val="1"/>
    <w:qFormat/>
    <w:uiPriority w:val="99"/>
    <w:pPr>
      <w:suppressAutoHyphens w:val="0"/>
      <w:spacing w:before="100" w:beforeAutospacing="1" w:after="100" w:afterAutospacing="1"/>
    </w:pPr>
    <w:rPr>
      <w:szCs w:val="24"/>
      <w:lang w:eastAsia="pt-BR"/>
    </w:rPr>
  </w:style>
  <w:style w:type="character" w:customStyle="1" w:styleId="87">
    <w:name w:val="Menção Pendente1"/>
    <w:semiHidden/>
    <w:unhideWhenUsed/>
    <w:uiPriority w:val="99"/>
    <w:rPr>
      <w:color w:val="605E5C"/>
      <w:shd w:val="clear" w:color="auto" w:fill="E1DFDD"/>
    </w:rPr>
  </w:style>
  <w:style w:type="character" w:customStyle="1" w:styleId="88">
    <w:name w:val="Menção Pendente2"/>
    <w:semiHidden/>
    <w:unhideWhenUsed/>
    <w:qFormat/>
    <w:uiPriority w:val="99"/>
    <w:rPr>
      <w:color w:val="605E5C"/>
      <w:shd w:val="clear" w:color="auto" w:fill="E1DFDD"/>
    </w:rPr>
  </w:style>
  <w:style w:type="character" w:customStyle="1" w:styleId="89">
    <w:name w:val="Recuo de corpo de texto Char"/>
    <w:link w:val="37"/>
    <w:qFormat/>
    <w:uiPriority w:val="0"/>
    <w:rPr>
      <w:rFonts w:ascii="Times New Roman" w:hAnsi="Times New Roman" w:eastAsia="Times New Roman" w:cs="Times New Roman"/>
      <w:sz w:val="24"/>
      <w:szCs w:val="20"/>
      <w:lang w:eastAsia="ar-SA"/>
    </w:rPr>
  </w:style>
  <w:style w:type="character" w:customStyle="1" w:styleId="90">
    <w:name w:val="Recuo de corpo de texto 2 Char"/>
    <w:link w:val="22"/>
    <w:semiHidden/>
    <w:qFormat/>
    <w:uiPriority w:val="0"/>
    <w:rPr>
      <w:rFonts w:ascii="Times New Roman" w:hAnsi="Times New Roman" w:eastAsia="Times New Roman" w:cs="Times New Roman"/>
      <w:sz w:val="24"/>
      <w:szCs w:val="20"/>
      <w:lang w:eastAsia="ar-SA"/>
    </w:rPr>
  </w:style>
  <w:style w:type="paragraph" w:customStyle="1" w:styleId="91">
    <w:name w:val="Recuo de corpo de texto 21"/>
    <w:basedOn w:val="1"/>
    <w:qFormat/>
    <w:uiPriority w:val="0"/>
    <w:pPr>
      <w:ind w:left="360"/>
      <w:jc w:val="both"/>
    </w:pPr>
    <w:rPr>
      <w:lang w:eastAsia="zh-CN"/>
    </w:rPr>
  </w:style>
  <w:style w:type="paragraph" w:customStyle="1" w:styleId="92">
    <w:name w:val="Corpo de texto1"/>
    <w:qFormat/>
    <w:uiPriority w:val="0"/>
    <w:pPr>
      <w:suppressAutoHyphens/>
      <w:jc w:val="center"/>
    </w:pPr>
    <w:rPr>
      <w:rFonts w:ascii="Bookman Old Style" w:hAnsi="Bookman Old Style" w:eastAsia="Times New Roman" w:cs="Bookman Old Style"/>
      <w:color w:val="000000"/>
      <w:sz w:val="24"/>
      <w:lang w:val="en-US" w:eastAsia="zh-CN" w:bidi="ar-SA"/>
    </w:rPr>
  </w:style>
  <w:style w:type="paragraph" w:customStyle="1" w:styleId="93">
    <w:name w:val="Corpo de texto 21"/>
    <w:basedOn w:val="1"/>
    <w:qFormat/>
    <w:uiPriority w:val="0"/>
    <w:pPr>
      <w:jc w:val="both"/>
    </w:pPr>
    <w:rPr>
      <w:b/>
      <w:sz w:val="28"/>
      <w:lang w:eastAsia="zh-CN"/>
    </w:rPr>
  </w:style>
  <w:style w:type="paragraph" w:styleId="94">
    <w:name w:val="No Spacing"/>
    <w:link w:val="95"/>
    <w:qFormat/>
    <w:uiPriority w:val="1"/>
    <w:rPr>
      <w:rFonts w:ascii="Calibri" w:hAnsi="Calibri" w:eastAsia="Calibri" w:cs="Calibri"/>
      <w:sz w:val="22"/>
      <w:szCs w:val="22"/>
      <w:lang w:val="pt-BR" w:eastAsia="pt-BR" w:bidi="ar-SA"/>
    </w:rPr>
  </w:style>
  <w:style w:type="character" w:customStyle="1" w:styleId="95">
    <w:name w:val="Sem Espaçamento Char"/>
    <w:link w:val="94"/>
    <w:qFormat/>
    <w:uiPriority w:val="1"/>
    <w:rPr>
      <w:rFonts w:eastAsia="Calibri"/>
      <w:sz w:val="22"/>
      <w:lang w:eastAsia="pt-BR"/>
    </w:rPr>
  </w:style>
  <w:style w:type="paragraph" w:customStyle="1" w:styleId="96">
    <w:name w:val="texto1"/>
    <w:basedOn w:val="1"/>
    <w:qFormat/>
    <w:uiPriority w:val="99"/>
    <w:pPr>
      <w:suppressAutoHyphens w:val="0"/>
      <w:spacing w:before="100" w:beforeAutospacing="1" w:after="100" w:afterAutospacing="1"/>
    </w:pPr>
    <w:rPr>
      <w:szCs w:val="24"/>
      <w:lang w:eastAsia="pt-BR"/>
    </w:rPr>
  </w:style>
  <w:style w:type="character" w:customStyle="1" w:styleId="97">
    <w:name w:val="Nivel 2 Char"/>
    <w:link w:val="80"/>
    <w:qFormat/>
    <w:uiPriority w:val="0"/>
    <w:rPr>
      <w:rFonts w:ascii="Ecofont_Spranq_eco_Sans" w:hAnsi="Ecofont_Spranq_eco_Sans" w:eastAsia="Arial Unicode MS" w:cs="Times New Roman"/>
    </w:rPr>
  </w:style>
  <w:style w:type="paragraph" w:customStyle="1" w:styleId="98">
    <w:name w:val="dou-paragraph"/>
    <w:basedOn w:val="1"/>
    <w:qFormat/>
    <w:uiPriority w:val="0"/>
    <w:pPr>
      <w:suppressAutoHyphens w:val="0"/>
      <w:spacing w:before="100" w:beforeAutospacing="1" w:after="100" w:afterAutospacing="1"/>
    </w:pPr>
    <w:rPr>
      <w:szCs w:val="24"/>
      <w:lang w:eastAsia="pt-BR"/>
    </w:rPr>
  </w:style>
  <w:style w:type="table" w:customStyle="1" w:styleId="99">
    <w:name w:val="Table Normal"/>
    <w:semiHidden/>
    <w:unhideWhenUsed/>
    <w:qFormat/>
    <w:uiPriority w:val="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100">
    <w:name w:val="Table Paragraph"/>
    <w:basedOn w:val="1"/>
    <w:qFormat/>
    <w:uiPriority w:val="1"/>
    <w:pPr>
      <w:widowControl w:val="0"/>
      <w:suppressAutoHyphens w:val="0"/>
      <w:autoSpaceDE w:val="0"/>
      <w:autoSpaceDN w:val="0"/>
      <w:spacing w:before="2"/>
    </w:pPr>
    <w:rPr>
      <w:rFonts w:ascii="Arial MT" w:hAnsi="Arial MT" w:eastAsia="Arial MT" w:cs="Arial MT"/>
      <w:sz w:val="22"/>
      <w:szCs w:val="22"/>
      <w:lang w:val="pt-PT" w:eastAsia="en-US"/>
    </w:rPr>
  </w:style>
  <w:style w:type="paragraph" w:customStyle="1" w:styleId="101">
    <w:name w:val="font5"/>
    <w:basedOn w:val="1"/>
    <w:uiPriority w:val="0"/>
    <w:pPr>
      <w:suppressAutoHyphens w:val="0"/>
      <w:spacing w:before="100" w:beforeAutospacing="1" w:after="100" w:afterAutospacing="1"/>
    </w:pPr>
    <w:rPr>
      <w:rFonts w:ascii="Arial" w:hAnsi="Arial" w:cs="Arial"/>
      <w:b/>
      <w:bCs/>
      <w:sz w:val="20"/>
      <w:lang w:eastAsia="pt-BR"/>
    </w:rPr>
  </w:style>
  <w:style w:type="paragraph" w:customStyle="1" w:styleId="102">
    <w:name w:val="font6"/>
    <w:basedOn w:val="1"/>
    <w:qFormat/>
    <w:uiPriority w:val="0"/>
    <w:pPr>
      <w:suppressAutoHyphens w:val="0"/>
      <w:spacing w:before="100" w:beforeAutospacing="1" w:after="100" w:afterAutospacing="1"/>
    </w:pPr>
    <w:rPr>
      <w:rFonts w:ascii="Arial MT" w:hAnsi="Arial MT"/>
      <w:sz w:val="14"/>
      <w:szCs w:val="14"/>
      <w:lang w:eastAsia="pt-BR"/>
    </w:rPr>
  </w:style>
  <w:style w:type="paragraph" w:customStyle="1" w:styleId="103">
    <w:name w:val="font7"/>
    <w:basedOn w:val="1"/>
    <w:qFormat/>
    <w:uiPriority w:val="0"/>
    <w:pPr>
      <w:suppressAutoHyphens w:val="0"/>
      <w:spacing w:before="100" w:beforeAutospacing="1" w:after="100" w:afterAutospacing="1"/>
    </w:pPr>
    <w:rPr>
      <w:rFonts w:ascii="Arial MT" w:hAnsi="Arial MT"/>
      <w:sz w:val="16"/>
      <w:szCs w:val="16"/>
      <w:lang w:eastAsia="pt-BR"/>
    </w:rPr>
  </w:style>
  <w:style w:type="paragraph" w:customStyle="1" w:styleId="104">
    <w:name w:val="font8"/>
    <w:basedOn w:val="1"/>
    <w:qFormat/>
    <w:uiPriority w:val="0"/>
    <w:pPr>
      <w:suppressAutoHyphens w:val="0"/>
      <w:spacing w:before="100" w:beforeAutospacing="1" w:after="100" w:afterAutospacing="1"/>
    </w:pPr>
    <w:rPr>
      <w:rFonts w:ascii="Arial" w:hAnsi="Arial" w:cs="Arial"/>
      <w:b/>
      <w:bCs/>
      <w:sz w:val="16"/>
      <w:szCs w:val="16"/>
      <w:lang w:eastAsia="pt-BR"/>
    </w:rPr>
  </w:style>
  <w:style w:type="paragraph" w:customStyle="1" w:styleId="105">
    <w:name w:val="xl65"/>
    <w:basedOn w:val="1"/>
    <w:qFormat/>
    <w:uiPriority w:val="0"/>
    <w:pPr>
      <w:pBdr>
        <w:top w:val="single" w:color="000000" w:sz="4" w:space="0"/>
        <w:left w:val="single" w:color="000000" w:sz="4" w:space="0"/>
        <w:bottom w:val="single" w:color="000000" w:sz="4" w:space="0"/>
        <w:right w:val="single" w:color="000000" w:sz="4" w:space="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106">
    <w:name w:val="xl66"/>
    <w:basedOn w:val="1"/>
    <w:qFormat/>
    <w:uiPriority w:val="0"/>
    <w:pPr>
      <w:pBdr>
        <w:top w:val="single" w:color="000000" w:sz="4" w:space="0"/>
        <w:left w:val="single" w:color="000000" w:sz="4" w:space="0"/>
        <w:bottom w:val="single" w:color="000000" w:sz="4" w:space="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107">
    <w:name w:val="xl67"/>
    <w:basedOn w:val="1"/>
    <w:qFormat/>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rFonts w:ascii="Arial MT" w:hAnsi="Arial MT"/>
      <w:sz w:val="16"/>
      <w:szCs w:val="16"/>
      <w:lang w:eastAsia="pt-BR"/>
    </w:rPr>
  </w:style>
  <w:style w:type="paragraph" w:customStyle="1" w:styleId="108">
    <w:name w:val="xl68"/>
    <w:basedOn w:val="1"/>
    <w:qFormat/>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rFonts w:ascii="Arial MT" w:hAnsi="Arial MT"/>
      <w:sz w:val="16"/>
      <w:szCs w:val="16"/>
      <w:lang w:eastAsia="pt-BR"/>
    </w:rPr>
  </w:style>
  <w:style w:type="paragraph" w:customStyle="1" w:styleId="109">
    <w:name w:val="xl69"/>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10">
    <w:name w:val="xl70"/>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textAlignment w:val="bottom"/>
    </w:pPr>
    <w:rPr>
      <w:szCs w:val="24"/>
      <w:lang w:eastAsia="pt-BR"/>
    </w:rPr>
  </w:style>
  <w:style w:type="paragraph" w:customStyle="1" w:styleId="111">
    <w:name w:val="xl71"/>
    <w:basedOn w:val="1"/>
    <w:uiPriority w:val="0"/>
    <w:pPr>
      <w:pBdr>
        <w:top w:val="single" w:color="000000" w:sz="4" w:space="0"/>
        <w:left w:val="single" w:color="000000" w:sz="4" w:space="0"/>
        <w:bottom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12">
    <w:name w:val="xl72"/>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13">
    <w:name w:val="xl73"/>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textAlignment w:val="center"/>
    </w:pPr>
    <w:rPr>
      <w:szCs w:val="24"/>
      <w:lang w:eastAsia="pt-BR"/>
    </w:rPr>
  </w:style>
  <w:style w:type="paragraph" w:customStyle="1" w:styleId="114">
    <w:name w:val="xl74"/>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szCs w:val="24"/>
      <w:lang w:eastAsia="pt-BR"/>
    </w:rPr>
  </w:style>
  <w:style w:type="paragraph" w:customStyle="1" w:styleId="115">
    <w:name w:val="xl75"/>
    <w:basedOn w:val="1"/>
    <w:uiPriority w:val="0"/>
    <w:pPr>
      <w:pBdr>
        <w:top w:val="single" w:color="000000" w:sz="4" w:space="0"/>
        <w:left w:val="single" w:color="000000" w:sz="4" w:space="0"/>
        <w:bottom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6">
    <w:name w:val="xl76"/>
    <w:basedOn w:val="1"/>
    <w:uiPriority w:val="0"/>
    <w:pPr>
      <w:pBdr>
        <w:top w:val="single" w:color="000000" w:sz="4" w:space="0"/>
        <w:bottom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7">
    <w:name w:val="xl77"/>
    <w:basedOn w:val="1"/>
    <w:uiPriority w:val="0"/>
    <w:pPr>
      <w:pBdr>
        <w:top w:val="single" w:color="000000" w:sz="4" w:space="0"/>
        <w:bottom w:val="single" w:color="000000" w:sz="4" w:space="0"/>
        <w:right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8">
    <w:name w:val="xl78"/>
    <w:basedOn w:val="1"/>
    <w:uiPriority w:val="0"/>
    <w:pPr>
      <w:pBdr>
        <w:top w:val="single" w:color="000000" w:sz="4" w:space="0"/>
        <w:left w:val="single" w:color="000000" w:sz="4" w:space="0"/>
        <w:bottom w:val="single" w:color="000000" w:sz="4" w:space="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119">
    <w:name w:val="xl79"/>
    <w:basedOn w:val="1"/>
    <w:uiPriority w:val="0"/>
    <w:pPr>
      <w:pBdr>
        <w:top w:val="single" w:color="000000" w:sz="4" w:space="0"/>
        <w:left w:val="single" w:color="000000" w:sz="4" w:space="0"/>
        <w:bottom w:val="single" w:color="000000" w:sz="4" w:space="0"/>
      </w:pBdr>
      <w:suppressAutoHyphens w:val="0"/>
      <w:spacing w:before="100" w:beforeAutospacing="1" w:after="100" w:afterAutospacing="1"/>
    </w:pPr>
    <w:rPr>
      <w:rFonts w:ascii="Arial MT" w:hAnsi="Arial MT"/>
      <w:sz w:val="14"/>
      <w:szCs w:val="14"/>
      <w:lang w:eastAsia="pt-BR"/>
    </w:rPr>
  </w:style>
  <w:style w:type="paragraph" w:customStyle="1" w:styleId="120">
    <w:name w:val="xl80"/>
    <w:basedOn w:val="1"/>
    <w:uiPriority w:val="0"/>
    <w:pPr>
      <w:pBdr>
        <w:top w:val="single" w:color="000000" w:sz="4" w:space="0"/>
        <w:left w:val="single" w:color="000000" w:sz="4" w:space="0"/>
        <w:bottom w:val="single" w:color="000000" w:sz="4" w:space="0"/>
      </w:pBdr>
      <w:suppressAutoHyphens w:val="0"/>
      <w:spacing w:before="100" w:beforeAutospacing="1" w:after="100" w:afterAutospacing="1"/>
    </w:pPr>
    <w:rPr>
      <w:szCs w:val="24"/>
      <w:lang w:eastAsia="pt-BR"/>
    </w:rPr>
  </w:style>
  <w:style w:type="paragraph" w:customStyle="1" w:styleId="121">
    <w:name w:val="Grade Colorida - Ênfase 11"/>
    <w:basedOn w:val="1"/>
    <w:next w:val="1"/>
    <w:link w:val="122"/>
    <w:qFormat/>
    <w:uiPriority w:val="29"/>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Arial" w:hAnsi="Arial" w:eastAsia="Calibri"/>
      <w:i/>
      <w:iCs/>
      <w:color w:val="000000"/>
      <w:sz w:val="20"/>
      <w:szCs w:val="24"/>
      <w:lang w:val="zh-CN" w:eastAsia="en-US"/>
    </w:rPr>
  </w:style>
  <w:style w:type="character" w:customStyle="1" w:styleId="122">
    <w:name w:val="Grade Colorida - Ênfase 1 Char"/>
    <w:link w:val="121"/>
    <w:uiPriority w:val="29"/>
    <w:rPr>
      <w:rFonts w:ascii="Arial" w:hAnsi="Arial" w:cs="Times New Roman"/>
      <w:i/>
      <w:iCs/>
      <w:color w:val="000000"/>
      <w:szCs w:val="24"/>
      <w:shd w:val="clear" w:color="auto" w:fill="FFFFCC"/>
      <w:lang w:val="zh-CN" w:eastAsia="en-US"/>
    </w:rPr>
  </w:style>
  <w:style w:type="paragraph" w:customStyle="1" w:styleId="123">
    <w:name w:val="Nivel_01"/>
    <w:basedOn w:val="2"/>
    <w:link w:val="124"/>
    <w:qFormat/>
    <w:uiPriority w:val="0"/>
    <w:pPr>
      <w:tabs>
        <w:tab w:val="left" w:pos="567"/>
      </w:tabs>
      <w:suppressAutoHyphens w:val="0"/>
      <w:jc w:val="both"/>
    </w:pPr>
    <w:rPr>
      <w:rFonts w:ascii="Ecofont_Spranq_eco_Sans" w:hAnsi="Ecofont_Spranq_eco_Sans" w:eastAsia="MS Gothic" w:cs="Times New Roman"/>
      <w:b/>
      <w:bCs/>
      <w:color w:val="auto"/>
      <w:sz w:val="20"/>
      <w:szCs w:val="20"/>
      <w:lang w:eastAsia="pt-BR"/>
    </w:rPr>
  </w:style>
  <w:style w:type="character" w:customStyle="1" w:styleId="124">
    <w:name w:val="Nivel_01 Char"/>
    <w:link w:val="123"/>
    <w:uiPriority w:val="0"/>
    <w:rPr>
      <w:rFonts w:ascii="Ecofont_Spranq_eco_Sans" w:hAnsi="Ecofont_Spranq_eco_Sans" w:eastAsia="MS Gothic" w:cs="Times New Roman"/>
      <w:b/>
      <w:bCs/>
    </w:rPr>
  </w:style>
  <w:style w:type="paragraph" w:customStyle="1" w:styleId="125">
    <w:name w:val="Sombreamento Médio 1 - Ênfase 31"/>
    <w:basedOn w:val="1"/>
    <w:next w:val="1"/>
    <w:uiPriority w:val="99"/>
    <w:pPr>
      <w:pBdr>
        <w:top w:val="single" w:color="000080" w:sz="4" w:space="1"/>
        <w:left w:val="single" w:color="000080" w:sz="4" w:space="4"/>
        <w:bottom w:val="single" w:color="000080" w:sz="4" w:space="1"/>
        <w:right w:val="single" w:color="000080" w:sz="4" w:space="4"/>
      </w:pBdr>
      <w:shd w:val="clear" w:color="auto" w:fill="FFFFCC"/>
      <w:spacing w:before="120"/>
      <w:jc w:val="both"/>
    </w:pPr>
    <w:rPr>
      <w:rFonts w:ascii="Ecofont_Spranq_eco_Sans" w:hAnsi="Ecofont_Spranq_eco_Sans" w:eastAsia="Calibri" w:cs="Tahoma"/>
      <w:i/>
      <w:iCs/>
      <w:color w:val="000000"/>
      <w:sz w:val="20"/>
      <w:szCs w:val="24"/>
      <w:lang w:eastAsia="zh-CN"/>
    </w:rPr>
  </w:style>
  <w:style w:type="character" w:customStyle="1" w:styleId="126">
    <w:name w:val="scayt-misspell-word"/>
    <w:uiPriority w:val="0"/>
  </w:style>
  <w:style w:type="character" w:customStyle="1" w:styleId="127">
    <w:name w:val="highlight"/>
    <w:uiPriority w:val="0"/>
  </w:style>
  <w:style w:type="character" w:customStyle="1" w:styleId="128">
    <w:name w:val="Mapa do Documento Char"/>
    <w:link w:val="32"/>
    <w:semiHidden/>
    <w:uiPriority w:val="0"/>
    <w:rPr>
      <w:rFonts w:ascii="Tahoma" w:hAnsi="Tahoma" w:eastAsia="Times New Roman" w:cs="Times New Roman"/>
      <w:shd w:val="clear" w:color="auto" w:fill="000080"/>
    </w:rPr>
  </w:style>
  <w:style w:type="character" w:customStyle="1" w:styleId="129">
    <w:name w:val="Corpo de texto 2 Char"/>
    <w:link w:val="28"/>
    <w:uiPriority w:val="0"/>
    <w:rPr>
      <w:rFonts w:ascii="Times New Roman" w:hAnsi="Times New Roman" w:eastAsia="Times New Roman" w:cs="Times New Roman"/>
      <w:sz w:val="24"/>
    </w:rPr>
  </w:style>
  <w:style w:type="character" w:customStyle="1" w:styleId="130">
    <w:name w:val="Corpo de texto 3 Char"/>
    <w:link w:val="26"/>
    <w:uiPriority w:val="0"/>
    <w:rPr>
      <w:rFonts w:ascii="Times New Roman" w:hAnsi="Times New Roman" w:eastAsia="Times New Roman" w:cs="Times New Roman"/>
      <w:sz w:val="24"/>
    </w:rPr>
  </w:style>
  <w:style w:type="paragraph" w:customStyle="1" w:styleId="131">
    <w:name w:val="texto_justificado"/>
    <w:basedOn w:val="1"/>
    <w:uiPriority w:val="0"/>
    <w:pPr>
      <w:suppressAutoHyphens w:val="0"/>
      <w:spacing w:before="100" w:beforeAutospacing="1" w:after="100" w:afterAutospacing="1"/>
    </w:pPr>
    <w:rPr>
      <w:szCs w:val="24"/>
      <w:lang w:eastAsia="pt-BR"/>
    </w:rPr>
  </w:style>
  <w:style w:type="paragraph" w:customStyle="1" w:styleId="132">
    <w:name w:val="tabela_texto_centralizado"/>
    <w:basedOn w:val="1"/>
    <w:uiPriority w:val="0"/>
    <w:pPr>
      <w:suppressAutoHyphens w:val="0"/>
      <w:spacing w:before="100" w:beforeAutospacing="1" w:after="100" w:afterAutospacing="1"/>
    </w:pPr>
    <w:rPr>
      <w:szCs w:val="24"/>
      <w:lang w:eastAsia="pt-BR"/>
    </w:rPr>
  </w:style>
  <w:style w:type="paragraph" w:customStyle="1" w:styleId="133">
    <w:name w:val="coment1"/>
    <w:basedOn w:val="1"/>
    <w:qFormat/>
    <w:uiPriority w:val="0"/>
    <w:pPr>
      <w:suppressAutoHyphens w:val="0"/>
      <w:spacing w:before="100" w:beforeAutospacing="1" w:after="100" w:afterAutospacing="1"/>
    </w:pPr>
    <w:rPr>
      <w:szCs w:val="24"/>
      <w:lang w:eastAsia="pt-BR"/>
    </w:rPr>
  </w:style>
  <w:style w:type="paragraph" w:customStyle="1" w:styleId="134">
    <w:name w:val="item_nivel2"/>
    <w:basedOn w:val="1"/>
    <w:qFormat/>
    <w:uiPriority w:val="0"/>
    <w:pPr>
      <w:suppressAutoHyphens w:val="0"/>
      <w:spacing w:before="100" w:beforeAutospacing="1" w:after="100" w:afterAutospacing="1"/>
    </w:pPr>
    <w:rPr>
      <w:szCs w:val="24"/>
      <w:lang w:eastAsia="pt-BR"/>
    </w:rPr>
  </w:style>
  <w:style w:type="paragraph" w:customStyle="1" w:styleId="135">
    <w:name w:val="item_nivel3"/>
    <w:basedOn w:val="1"/>
    <w:qFormat/>
    <w:uiPriority w:val="0"/>
    <w:pPr>
      <w:suppressAutoHyphens w:val="0"/>
      <w:spacing w:before="100" w:beforeAutospacing="1" w:after="100" w:afterAutospacing="1"/>
    </w:pPr>
    <w:rPr>
      <w:szCs w:val="24"/>
      <w:lang w:eastAsia="pt-BR"/>
    </w:rPr>
  </w:style>
  <w:style w:type="character" w:customStyle="1" w:styleId="136">
    <w:name w:val="Recuo de corpo de texto 2 Char1"/>
    <w:semiHidden/>
    <w:qFormat/>
    <w:uiPriority w:val="99"/>
  </w:style>
  <w:style w:type="paragraph" w:customStyle="1" w:styleId="137">
    <w:name w:val="Style5"/>
    <w:basedOn w:val="1"/>
    <w:qFormat/>
    <w:uiPriority w:val="99"/>
    <w:pPr>
      <w:widowControl w:val="0"/>
      <w:suppressAutoHyphens w:val="0"/>
      <w:autoSpaceDE w:val="0"/>
      <w:autoSpaceDN w:val="0"/>
      <w:adjustRightInd w:val="0"/>
      <w:spacing w:line="261" w:lineRule="exact"/>
      <w:jc w:val="both"/>
    </w:pPr>
    <w:rPr>
      <w:rFonts w:ascii="Arial Unicode MS" w:hAnsi="Calibri" w:eastAsia="Arial Unicode MS" w:cs="Arial Unicode MS"/>
      <w:szCs w:val="24"/>
      <w:lang w:eastAsia="pt-BR"/>
    </w:rPr>
  </w:style>
  <w:style w:type="character" w:customStyle="1" w:styleId="138">
    <w:name w:val="Font Style13"/>
    <w:qFormat/>
    <w:uiPriority w:val="99"/>
    <w:rPr>
      <w:rFonts w:hint="eastAsia" w:ascii="Arial Unicode MS" w:hAnsi="Arial Unicode MS" w:eastAsia="Arial Unicode MS" w:cs="Arial Unicode MS"/>
      <w:b/>
      <w:bCs/>
      <w:sz w:val="18"/>
      <w:szCs w:val="18"/>
    </w:rPr>
  </w:style>
  <w:style w:type="character" w:customStyle="1" w:styleId="139">
    <w:name w:val="Font Style14"/>
    <w:qFormat/>
    <w:uiPriority w:val="99"/>
    <w:rPr>
      <w:rFonts w:hint="eastAsia" w:ascii="Arial Unicode MS" w:hAnsi="Arial Unicode MS" w:eastAsia="Arial Unicode MS" w:cs="Arial Unicode MS"/>
      <w:sz w:val="18"/>
      <w:szCs w:val="18"/>
    </w:rPr>
  </w:style>
  <w:style w:type="paragraph" w:customStyle="1" w:styleId="140">
    <w:name w:val="font_8"/>
    <w:basedOn w:val="1"/>
    <w:qFormat/>
    <w:uiPriority w:val="0"/>
    <w:pPr>
      <w:suppressAutoHyphens w:val="0"/>
      <w:spacing w:before="100" w:beforeAutospacing="1" w:after="100" w:afterAutospacing="1"/>
    </w:pPr>
    <w:rPr>
      <w:szCs w:val="24"/>
      <w:lang w:eastAsia="pt-BR"/>
    </w:rPr>
  </w:style>
  <w:style w:type="character" w:customStyle="1" w:styleId="141">
    <w:name w:val="color_15"/>
    <w:qFormat/>
    <w:uiPriority w:val="0"/>
  </w:style>
  <w:style w:type="character" w:customStyle="1" w:styleId="142">
    <w:name w:val="wixguard"/>
    <w:qFormat/>
    <w:uiPriority w:val="0"/>
  </w:style>
  <w:style w:type="character" w:customStyle="1" w:styleId="143">
    <w:name w:val="fontstyle01"/>
    <w:qFormat/>
    <w:uiPriority w:val="0"/>
    <w:rPr>
      <w:rFonts w:hint="default" w:ascii="Arial" w:hAnsi="Arial" w:cs="Arial"/>
      <w:color w:val="000000"/>
      <w:sz w:val="20"/>
      <w:szCs w:val="20"/>
    </w:rPr>
  </w:style>
  <w:style w:type="table" w:customStyle="1" w:styleId="144">
    <w:name w:val="Tabela com grade1"/>
    <w:basedOn w:val="12"/>
    <w:qFormat/>
    <w:uiPriority w:val="0"/>
    <w:rPr>
      <w:rFonts w:cs="Arial"/>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5">
    <w:name w:val="Tabela com grade2"/>
    <w:basedOn w:val="12"/>
    <w:qFormat/>
    <w:uiPriority w:val="59"/>
    <w:rPr>
      <w:rFonts w:cs="Arial"/>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6">
    <w:name w:val="01_Título"/>
    <w:basedOn w:val="2"/>
    <w:link w:val="147"/>
    <w:autoRedefine/>
    <w:qFormat/>
    <w:uiPriority w:val="0"/>
    <w:pPr>
      <w:keepLines w:val="0"/>
      <w:widowControl w:val="0"/>
      <w:shd w:val="clear" w:color="auto" w:fill="FFFFFF"/>
      <w:autoSpaceDN w:val="0"/>
      <w:spacing w:before="0"/>
      <w:jc w:val="both"/>
      <w:textAlignment w:val="baseline"/>
    </w:pPr>
    <w:rPr>
      <w:rFonts w:ascii="Courier New" w:hAnsi="Courier New" w:eastAsia="Times New Roman" w:cs="Courier New"/>
      <w:bCs/>
      <w:caps/>
      <w:color w:val="000000"/>
      <w:kern w:val="36"/>
      <w:sz w:val="20"/>
      <w:szCs w:val="20"/>
      <w:lang w:eastAsia="en-US"/>
    </w:rPr>
  </w:style>
  <w:style w:type="character" w:customStyle="1" w:styleId="147">
    <w:name w:val="01_Título Char"/>
    <w:link w:val="146"/>
    <w:qFormat/>
    <w:uiPriority w:val="0"/>
    <w:rPr>
      <w:rFonts w:ascii="Courier New" w:hAnsi="Courier New" w:eastAsia="Times New Roman" w:cs="Courier New"/>
      <w:bCs/>
      <w:caps/>
      <w:color w:val="000000"/>
      <w:kern w:val="36"/>
      <w:shd w:val="clear" w:color="auto" w:fill="FFFFFF"/>
      <w:lang w:eastAsia="en-US"/>
    </w:rPr>
  </w:style>
  <w:style w:type="paragraph" w:customStyle="1" w:styleId="148">
    <w:name w:val="WW-Lista 2"/>
    <w:basedOn w:val="1"/>
    <w:qFormat/>
    <w:uiPriority w:val="0"/>
    <w:pPr>
      <w:overflowPunct w:val="0"/>
      <w:autoSpaceDE w:val="0"/>
      <w:ind w:left="566" w:hanging="283"/>
      <w:textAlignment w:val="baseline"/>
    </w:pPr>
    <w:rPr>
      <w:lang w:eastAsia="zh-CN"/>
    </w:rPr>
  </w:style>
  <w:style w:type="character" w:customStyle="1" w:styleId="149">
    <w:name w:val="fontstyle21"/>
    <w:qFormat/>
    <w:uiPriority w:val="0"/>
    <w:rPr>
      <w:rFonts w:hint="default" w:ascii="Calibri-Bold" w:hAnsi="Calibri-Bold"/>
      <w:b/>
      <w:bCs/>
      <w:color w:val="000000"/>
      <w:sz w:val="24"/>
      <w:szCs w:val="24"/>
    </w:rPr>
  </w:style>
  <w:style w:type="paragraph" w:customStyle="1" w:styleId="150">
    <w:name w:val="ui-pdp-description__content"/>
    <w:basedOn w:val="1"/>
    <w:qFormat/>
    <w:uiPriority w:val="0"/>
    <w:pPr>
      <w:suppressAutoHyphens w:val="0"/>
      <w:spacing w:before="100" w:beforeAutospacing="1" w:after="100" w:afterAutospacing="1"/>
    </w:pPr>
    <w:rPr>
      <w:szCs w:val="24"/>
      <w:lang w:eastAsia="pt-BR"/>
    </w:rPr>
  </w:style>
  <w:style w:type="character" w:customStyle="1" w:styleId="151">
    <w:name w:val="base"/>
    <w:qFormat/>
    <w:uiPriority w:val="0"/>
  </w:style>
  <w:style w:type="paragraph" w:customStyle="1" w:styleId="152">
    <w:name w:val="msonormal"/>
    <w:basedOn w:val="1"/>
    <w:qFormat/>
    <w:uiPriority w:val="99"/>
    <w:pPr>
      <w:suppressAutoHyphens w:val="0"/>
      <w:spacing w:before="100" w:beforeAutospacing="1" w:after="100" w:afterAutospacing="1"/>
    </w:pPr>
    <w:rPr>
      <w:szCs w:val="24"/>
      <w:lang w:eastAsia="pt-BR"/>
    </w:rPr>
  </w:style>
  <w:style w:type="paragraph" w:customStyle="1" w:styleId="153">
    <w:name w:val="nome"/>
    <w:basedOn w:val="1"/>
    <w:semiHidden/>
    <w:qFormat/>
    <w:uiPriority w:val="99"/>
    <w:pPr>
      <w:suppressAutoHyphens w:val="0"/>
      <w:spacing w:before="100" w:beforeAutospacing="1" w:after="100" w:afterAutospacing="1"/>
    </w:pPr>
    <w:rPr>
      <w:szCs w:val="24"/>
      <w:lang w:eastAsia="pt-BR"/>
    </w:rPr>
  </w:style>
  <w:style w:type="character" w:customStyle="1" w:styleId="154">
    <w:name w:val="Estilo1 Char"/>
    <w:semiHidden/>
    <w:qFormat/>
    <w:locked/>
    <w:uiPriority w:val="0"/>
    <w:rPr>
      <w:rFonts w:ascii="Arial" w:hAnsi="Arial" w:eastAsia="Times New Roman" w:cs="Arial"/>
      <w:b/>
      <w:bCs/>
      <w:caps/>
      <w:color w:val="5B5B5B"/>
      <w:spacing w:val="4"/>
      <w:sz w:val="33"/>
      <w:szCs w:val="33"/>
      <w:shd w:val="clear" w:color="auto" w:fill="FFFFFF"/>
      <w:lang w:val="pt-PT" w:eastAsia="ar-SA"/>
    </w:rPr>
  </w:style>
  <w:style w:type="paragraph" w:customStyle="1" w:styleId="155">
    <w:name w:val="xl63"/>
    <w:basedOn w:val="1"/>
    <w:qFormat/>
    <w:uiPriority w:val="0"/>
    <w:pPr>
      <w:suppressAutoHyphens w:val="0"/>
      <w:spacing w:before="100" w:beforeAutospacing="1" w:after="100" w:afterAutospacing="1"/>
    </w:pPr>
    <w:rPr>
      <w:sz w:val="20"/>
      <w:lang w:eastAsia="pt-BR"/>
    </w:rPr>
  </w:style>
  <w:style w:type="paragraph" w:customStyle="1" w:styleId="156">
    <w:name w:val="xl64"/>
    <w:basedOn w:val="1"/>
    <w:qFormat/>
    <w:uiPriority w:val="0"/>
    <w:pPr>
      <w:suppressAutoHyphens w:val="0"/>
      <w:spacing w:before="100" w:beforeAutospacing="1" w:after="100" w:afterAutospacing="1"/>
      <w:jc w:val="center"/>
    </w:pPr>
    <w:rPr>
      <w:sz w:val="20"/>
      <w:lang w:eastAsia="pt-BR"/>
    </w:rPr>
  </w:style>
  <w:style w:type="paragraph" w:customStyle="1" w:styleId="157">
    <w:name w:val="xl81"/>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58">
    <w:name w:val="xl82"/>
    <w:basedOn w:val="1"/>
    <w:qFormat/>
    <w:uiPriority w:val="0"/>
    <w:pPr>
      <w:pBdr>
        <w:top w:val="single" w:color="auto" w:sz="8" w:space="0"/>
        <w:left w:val="single" w:color="auto" w:sz="4" w:space="0"/>
        <w:bottom w:val="single" w:color="auto" w:sz="4"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59">
    <w:name w:val="xl83"/>
    <w:basedOn w:val="1"/>
    <w:qFormat/>
    <w:uiPriority w:val="0"/>
    <w:pPr>
      <w:pBdr>
        <w:top w:val="single" w:color="auto" w:sz="4" w:space="0"/>
        <w:left w:val="single" w:color="auto" w:sz="8" w:space="0"/>
        <w:bottom w:val="single" w:color="auto" w:sz="4" w:space="0"/>
        <w:right w:val="single" w:color="auto" w:sz="4" w:space="0"/>
      </w:pBdr>
      <w:suppressAutoHyphens w:val="0"/>
      <w:spacing w:before="100" w:beforeAutospacing="1" w:after="100" w:afterAutospacing="1"/>
      <w:jc w:val="center"/>
    </w:pPr>
    <w:rPr>
      <w:sz w:val="20"/>
      <w:lang w:eastAsia="pt-BR"/>
    </w:rPr>
  </w:style>
  <w:style w:type="paragraph" w:customStyle="1" w:styleId="160">
    <w:name w:val="xl84"/>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61">
    <w:name w:val="xl85"/>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color w:val="000000"/>
      <w:szCs w:val="24"/>
      <w:lang w:eastAsia="pt-BR"/>
    </w:rPr>
  </w:style>
  <w:style w:type="paragraph" w:customStyle="1" w:styleId="162">
    <w:name w:val="xl86"/>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b/>
      <w:bCs/>
      <w:color w:val="000000"/>
      <w:szCs w:val="24"/>
      <w:lang w:eastAsia="pt-BR"/>
    </w:rPr>
  </w:style>
  <w:style w:type="paragraph" w:customStyle="1" w:styleId="163">
    <w:name w:val="xl87"/>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b/>
      <w:bCs/>
      <w:color w:val="000000"/>
      <w:szCs w:val="24"/>
      <w:lang w:eastAsia="pt-BR"/>
    </w:rPr>
  </w:style>
  <w:style w:type="paragraph" w:customStyle="1" w:styleId="164">
    <w:name w:val="xl88"/>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szCs w:val="24"/>
      <w:lang w:eastAsia="pt-BR"/>
    </w:rPr>
  </w:style>
  <w:style w:type="paragraph" w:customStyle="1" w:styleId="165">
    <w:name w:val="xl89"/>
    <w:basedOn w:val="1"/>
    <w:qFormat/>
    <w:uiPriority w:val="0"/>
    <w:pPr>
      <w:pBdr>
        <w:top w:val="single" w:color="auto" w:sz="4" w:space="0"/>
        <w:left w:val="single" w:color="auto" w:sz="4" w:space="0"/>
        <w:bottom w:val="single" w:color="auto" w:sz="8" w:space="0"/>
        <w:right w:val="single" w:color="auto" w:sz="4" w:space="0"/>
      </w:pBdr>
      <w:shd w:val="clear" w:color="auto" w:fill="00B050"/>
      <w:suppressAutoHyphens w:val="0"/>
      <w:spacing w:before="100" w:beforeAutospacing="1" w:after="100" w:afterAutospacing="1"/>
      <w:jc w:val="center"/>
    </w:pPr>
    <w:rPr>
      <w:sz w:val="20"/>
      <w:lang w:eastAsia="pt-BR"/>
    </w:rPr>
  </w:style>
  <w:style w:type="paragraph" w:customStyle="1" w:styleId="166">
    <w:name w:val="xl90"/>
    <w:basedOn w:val="1"/>
    <w:qFormat/>
    <w:uiPriority w:val="0"/>
    <w:pPr>
      <w:pBdr>
        <w:top w:val="single" w:color="auto" w:sz="4" w:space="0"/>
        <w:left w:val="single" w:color="auto" w:sz="4" w:space="0"/>
        <w:bottom w:val="single" w:color="auto" w:sz="8" w:space="0"/>
        <w:right w:val="single" w:color="auto" w:sz="4" w:space="0"/>
      </w:pBdr>
      <w:shd w:val="clear" w:color="auto" w:fill="00B0F0"/>
      <w:suppressAutoHyphens w:val="0"/>
      <w:spacing w:before="100" w:beforeAutospacing="1" w:after="100" w:afterAutospacing="1"/>
      <w:jc w:val="center"/>
    </w:pPr>
    <w:rPr>
      <w:sz w:val="20"/>
      <w:lang w:eastAsia="pt-BR"/>
    </w:rPr>
  </w:style>
  <w:style w:type="paragraph" w:customStyle="1" w:styleId="167">
    <w:name w:val="xl91"/>
    <w:basedOn w:val="1"/>
    <w:qFormat/>
    <w:uiPriority w:val="0"/>
    <w:pPr>
      <w:pBdr>
        <w:top w:val="single" w:color="auto" w:sz="8" w:space="0"/>
        <w:left w:val="single" w:color="auto" w:sz="4" w:space="0"/>
        <w:bottom w:val="single" w:color="auto" w:sz="4"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68">
    <w:name w:val="xl92"/>
    <w:basedOn w:val="1"/>
    <w:qFormat/>
    <w:uiPriority w:val="0"/>
    <w:pPr>
      <w:pBdr>
        <w:top w:val="single" w:color="auto" w:sz="4" w:space="0"/>
        <w:left w:val="single" w:color="auto" w:sz="4" w:space="0"/>
        <w:bottom w:val="single" w:color="auto" w:sz="4"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69">
    <w:name w:val="xl93"/>
    <w:basedOn w:val="1"/>
    <w:qFormat/>
    <w:uiPriority w:val="0"/>
    <w:pPr>
      <w:pBdr>
        <w:top w:val="single" w:color="auto" w:sz="4" w:space="0"/>
        <w:left w:val="single" w:color="auto" w:sz="8" w:space="0"/>
        <w:bottom w:val="single" w:color="auto" w:sz="8" w:space="0"/>
        <w:right w:val="single" w:color="auto" w:sz="4" w:space="0"/>
      </w:pBdr>
      <w:suppressAutoHyphens w:val="0"/>
      <w:spacing w:before="100" w:beforeAutospacing="1" w:after="100" w:afterAutospacing="1"/>
      <w:jc w:val="center"/>
    </w:pPr>
    <w:rPr>
      <w:sz w:val="20"/>
      <w:lang w:eastAsia="pt-BR"/>
    </w:rPr>
  </w:style>
  <w:style w:type="paragraph" w:customStyle="1" w:styleId="170">
    <w:name w:val="xl94"/>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szCs w:val="24"/>
      <w:lang w:eastAsia="pt-BR"/>
    </w:rPr>
  </w:style>
  <w:style w:type="paragraph" w:customStyle="1" w:styleId="171">
    <w:name w:val="xl95"/>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sz w:val="20"/>
      <w:lang w:eastAsia="pt-BR"/>
    </w:rPr>
  </w:style>
  <w:style w:type="paragraph" w:customStyle="1" w:styleId="172">
    <w:name w:val="xl96"/>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paragraph" w:customStyle="1" w:styleId="173">
    <w:name w:val="xl97"/>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paragraph" w:customStyle="1" w:styleId="174">
    <w:name w:val="xl98"/>
    <w:basedOn w:val="1"/>
    <w:qFormat/>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 w:val="20"/>
      <w:lang w:eastAsia="pt-BR"/>
    </w:rPr>
  </w:style>
  <w:style w:type="paragraph" w:customStyle="1" w:styleId="175">
    <w:name w:val="xl99"/>
    <w:basedOn w:val="1"/>
    <w:qFormat/>
    <w:uiPriority w:val="99"/>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 w:val="20"/>
      <w:lang w:eastAsia="pt-BR"/>
    </w:rPr>
  </w:style>
  <w:style w:type="paragraph" w:customStyle="1" w:styleId="176">
    <w:name w:val="xl100"/>
    <w:basedOn w:val="1"/>
    <w:qFormat/>
    <w:uiPriority w:val="99"/>
    <w:pPr>
      <w:pBdr>
        <w:top w:val="single" w:color="auto" w:sz="4" w:space="0"/>
        <w:left w:val="single" w:color="auto" w:sz="4" w:space="0"/>
        <w:bottom w:val="single" w:color="auto" w:sz="8"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77">
    <w:name w:val="xl101"/>
    <w:basedOn w:val="1"/>
    <w:qFormat/>
    <w:uiPriority w:val="99"/>
    <w:pPr>
      <w:pBdr>
        <w:top w:val="single" w:color="auto" w:sz="4" w:space="0"/>
        <w:left w:val="single" w:color="auto" w:sz="4" w:space="0"/>
        <w:bottom w:val="single" w:color="auto" w:sz="8"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78">
    <w:name w:val="xl102"/>
    <w:basedOn w:val="1"/>
    <w:qFormat/>
    <w:uiPriority w:val="99"/>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79">
    <w:name w:val="xl103"/>
    <w:basedOn w:val="1"/>
    <w:qFormat/>
    <w:uiPriority w:val="99"/>
    <w:pPr>
      <w:pBdr>
        <w:top w:val="single" w:color="auto" w:sz="8"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80">
    <w:name w:val="xl104"/>
    <w:basedOn w:val="1"/>
    <w:qFormat/>
    <w:uiPriority w:val="99"/>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81">
    <w:name w:val="xl105"/>
    <w:basedOn w:val="1"/>
    <w:qFormat/>
    <w:uiPriority w:val="99"/>
    <w:pPr>
      <w:pBdr>
        <w:top w:val="single" w:color="auto" w:sz="8"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82">
    <w:name w:val="xl106"/>
    <w:basedOn w:val="1"/>
    <w:qFormat/>
    <w:uiPriority w:val="99"/>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character" w:customStyle="1" w:styleId="183">
    <w:name w:val="tex3b"/>
    <w:qFormat/>
    <w:uiPriority w:val="0"/>
  </w:style>
  <w:style w:type="character" w:customStyle="1" w:styleId="184">
    <w:name w:val="tex3"/>
    <w:qFormat/>
    <w:uiPriority w:val="0"/>
  </w:style>
  <w:style w:type="character" w:customStyle="1" w:styleId="185">
    <w:name w:val="Pré-formatação HTML Char"/>
    <w:link w:val="27"/>
    <w:qFormat/>
    <w:uiPriority w:val="99"/>
    <w:rPr>
      <w:rFonts w:ascii="Courier New" w:hAnsi="Courier New" w:eastAsia="Times New Roman" w:cs="Courier New"/>
    </w:rPr>
  </w:style>
  <w:style w:type="character" w:customStyle="1" w:styleId="186">
    <w:name w:val="Título 6 Char"/>
    <w:link w:val="7"/>
    <w:semiHidden/>
    <w:qFormat/>
    <w:uiPriority w:val="9"/>
    <w:rPr>
      <w:rFonts w:eastAsia="MS Gothic" w:cs="Times New Roman"/>
      <w:color w:val="243F60"/>
      <w:sz w:val="22"/>
      <w:szCs w:val="22"/>
      <w:lang w:eastAsia="en-US"/>
    </w:rPr>
  </w:style>
  <w:style w:type="paragraph" w:customStyle="1" w:styleId="187">
    <w:name w:val="Nota explicativa"/>
    <w:basedOn w:val="58"/>
    <w:link w:val="188"/>
    <w:qFormat/>
    <w:uiPriority w:val="0"/>
    <w:rPr>
      <w:szCs w:val="20"/>
    </w:rPr>
  </w:style>
  <w:style w:type="character" w:customStyle="1" w:styleId="188">
    <w:name w:val="Nota explicativa Char"/>
    <w:link w:val="187"/>
    <w:qFormat/>
    <w:uiPriority w:val="0"/>
    <w:rPr>
      <w:rFonts w:ascii="Arial" w:hAnsi="Arial" w:cs="Tahoma"/>
      <w:i/>
      <w:iCs/>
      <w:color w:val="000000"/>
      <w:shd w:val="clear" w:color="auto" w:fill="FFFFCC"/>
      <w:lang w:eastAsia="en-US"/>
    </w:rPr>
  </w:style>
  <w:style w:type="paragraph" w:customStyle="1" w:styleId="189">
    <w:name w:val="em_0020ementa"/>
    <w:basedOn w:val="1"/>
    <w:qFormat/>
    <w:uiPriority w:val="99"/>
    <w:pPr>
      <w:suppressAutoHyphens w:val="0"/>
      <w:ind w:left="4160"/>
      <w:jc w:val="both"/>
    </w:pPr>
    <w:rPr>
      <w:sz w:val="28"/>
      <w:szCs w:val="28"/>
      <w:lang w:eastAsia="pt-BR"/>
    </w:rPr>
  </w:style>
  <w:style w:type="character" w:customStyle="1" w:styleId="190">
    <w:name w:val="cp_0020corpodespacho__char1"/>
    <w:qFormat/>
    <w:uiPriority w:val="0"/>
    <w:rPr>
      <w:rFonts w:hint="default" w:ascii="Times New Roman" w:hAnsi="Times New Roman" w:cs="Times New Roman"/>
      <w:sz w:val="26"/>
      <w:szCs w:val="26"/>
      <w:u w:val="none"/>
    </w:rPr>
  </w:style>
  <w:style w:type="character" w:customStyle="1" w:styleId="191">
    <w:name w:val="em_0020ementa__char1"/>
    <w:qFormat/>
    <w:uiPriority w:val="0"/>
    <w:rPr>
      <w:rFonts w:hint="default" w:ascii="Times New Roman" w:hAnsi="Times New Roman" w:cs="Times New Roman"/>
      <w:sz w:val="28"/>
      <w:szCs w:val="28"/>
      <w:u w:val="none"/>
    </w:rPr>
  </w:style>
  <w:style w:type="paragraph" w:customStyle="1" w:styleId="192">
    <w:name w:val="Revisão1"/>
    <w:hidden/>
    <w:semiHidden/>
    <w:qFormat/>
    <w:uiPriority w:val="99"/>
    <w:rPr>
      <w:rFonts w:ascii="Ecofont_Spranq_eco_Sans" w:hAnsi="Ecofont_Spranq_eco_Sans" w:eastAsia="Times New Roman" w:cs="Tahoma"/>
      <w:sz w:val="24"/>
      <w:szCs w:val="24"/>
      <w:lang w:val="pt-BR" w:eastAsia="pt-BR" w:bidi="ar-SA"/>
    </w:rPr>
  </w:style>
  <w:style w:type="character" w:customStyle="1" w:styleId="193">
    <w:name w:val="Manoel"/>
    <w:qFormat/>
    <w:uiPriority w:val="0"/>
    <w:rPr>
      <w:rFonts w:ascii="Arial" w:hAnsi="Arial" w:cs="Arial"/>
      <w:color w:val="7030A0"/>
      <w:sz w:val="20"/>
    </w:rPr>
  </w:style>
  <w:style w:type="character" w:customStyle="1" w:styleId="194">
    <w:name w:val="ListLabel 12"/>
    <w:qFormat/>
    <w:uiPriority w:val="0"/>
    <w:rPr>
      <w:b/>
    </w:rPr>
  </w:style>
  <w:style w:type="paragraph" w:customStyle="1" w:styleId="195">
    <w:name w:val="x_western"/>
    <w:basedOn w:val="1"/>
    <w:qFormat/>
    <w:uiPriority w:val="99"/>
    <w:pPr>
      <w:suppressAutoHyphens w:val="0"/>
      <w:spacing w:before="100" w:beforeAutospacing="1" w:after="100" w:afterAutospacing="1"/>
    </w:pPr>
    <w:rPr>
      <w:szCs w:val="24"/>
      <w:lang w:eastAsia="pt-BR"/>
    </w:rPr>
  </w:style>
  <w:style w:type="paragraph" w:customStyle="1" w:styleId="196">
    <w:name w:val="TCU - Ac - item 9 - §§_0"/>
    <w:basedOn w:val="1"/>
    <w:qFormat/>
    <w:uiPriority w:val="99"/>
    <w:pPr>
      <w:suppressAutoHyphens w:val="0"/>
      <w:ind w:firstLine="1134"/>
      <w:jc w:val="both"/>
    </w:pPr>
    <w:rPr>
      <w:szCs w:val="22"/>
      <w:lang w:eastAsia="en-US"/>
    </w:rPr>
  </w:style>
  <w:style w:type="paragraph" w:customStyle="1" w:styleId="197">
    <w:name w:val="Normal_1"/>
    <w:qFormat/>
    <w:uiPriority w:val="99"/>
    <w:rPr>
      <w:rFonts w:ascii="Times New Roman" w:hAnsi="Times New Roman" w:eastAsia="Times New Roman" w:cs="Times New Roman"/>
      <w:sz w:val="24"/>
      <w:szCs w:val="22"/>
      <w:lang w:val="pt-BR" w:eastAsia="en-US" w:bidi="ar-SA"/>
    </w:rPr>
  </w:style>
  <w:style w:type="paragraph" w:customStyle="1" w:styleId="198">
    <w:name w:val="tcu_-__ac_-_item_9_-_1ª_linha"/>
    <w:basedOn w:val="1"/>
    <w:qFormat/>
    <w:uiPriority w:val="99"/>
    <w:pPr>
      <w:suppressAutoHyphens w:val="0"/>
      <w:spacing w:before="100" w:beforeAutospacing="1" w:after="100" w:afterAutospacing="1"/>
    </w:pPr>
    <w:rPr>
      <w:szCs w:val="24"/>
      <w:lang w:eastAsia="pt-BR"/>
    </w:rPr>
  </w:style>
  <w:style w:type="paragraph" w:customStyle="1" w:styleId="199">
    <w:name w:val="texto_justificado_recuo_primeira_linha"/>
    <w:basedOn w:val="1"/>
    <w:qFormat/>
    <w:uiPriority w:val="99"/>
    <w:pPr>
      <w:suppressAutoHyphens w:val="0"/>
      <w:spacing w:before="100" w:beforeAutospacing="1" w:after="100" w:afterAutospacing="1"/>
    </w:pPr>
    <w:rPr>
      <w:szCs w:val="24"/>
      <w:lang w:eastAsia="pt-BR"/>
    </w:rPr>
  </w:style>
  <w:style w:type="character" w:customStyle="1" w:styleId="200">
    <w:name w:val="Menção Pendente21"/>
    <w:semiHidden/>
    <w:unhideWhenUsed/>
    <w:qFormat/>
    <w:uiPriority w:val="99"/>
    <w:rPr>
      <w:color w:val="605E5C"/>
      <w:shd w:val="clear" w:color="auto" w:fill="E1DFDD"/>
    </w:rPr>
  </w:style>
  <w:style w:type="paragraph" w:customStyle="1" w:styleId="201">
    <w:name w:val="Nível 2 Opcional"/>
    <w:basedOn w:val="80"/>
    <w:link w:val="203"/>
    <w:qFormat/>
    <w:uiPriority w:val="0"/>
    <w:pPr>
      <w:numPr>
        <w:ilvl w:val="0"/>
        <w:numId w:val="0"/>
      </w:numPr>
      <w:ind w:left="432" w:hanging="432"/>
    </w:pPr>
    <w:rPr>
      <w:rFonts w:ascii="Arial" w:hAnsi="Arial" w:eastAsia="Times New Roman" w:cs="Arial"/>
      <w:i/>
      <w:color w:val="FF0000"/>
    </w:rPr>
  </w:style>
  <w:style w:type="paragraph" w:customStyle="1" w:styleId="202">
    <w:name w:val="Nível 3 Opcional"/>
    <w:basedOn w:val="82"/>
    <w:link w:val="204"/>
    <w:qFormat/>
    <w:uiPriority w:val="0"/>
    <w:pPr>
      <w:numPr>
        <w:ilvl w:val="0"/>
        <w:numId w:val="0"/>
      </w:numPr>
      <w:ind w:left="1072" w:hanging="504"/>
    </w:pPr>
    <w:rPr>
      <w:rFonts w:ascii="Arial" w:hAnsi="Arial" w:eastAsia="Times New Roman"/>
      <w:i/>
      <w:iCs/>
      <w:color w:val="FF0000"/>
    </w:rPr>
  </w:style>
  <w:style w:type="character" w:customStyle="1" w:styleId="203">
    <w:name w:val="Nível 2 Opcional Char"/>
    <w:link w:val="201"/>
    <w:qFormat/>
    <w:uiPriority w:val="0"/>
    <w:rPr>
      <w:rFonts w:ascii="Arial" w:hAnsi="Arial" w:eastAsia="Times New Roman" w:cs="Arial"/>
      <w:i/>
      <w:color w:val="FF0000"/>
    </w:rPr>
  </w:style>
  <w:style w:type="character" w:customStyle="1" w:styleId="204">
    <w:name w:val="Nível 3 Opcional Char"/>
    <w:link w:val="202"/>
    <w:qFormat/>
    <w:uiPriority w:val="0"/>
    <w:rPr>
      <w:rFonts w:ascii="Arial" w:hAnsi="Arial" w:eastAsia="Times New Roman" w:cs="Arial"/>
      <w:i/>
      <w:iCs/>
      <w:color w:val="FF0000"/>
    </w:rPr>
  </w:style>
  <w:style w:type="character" w:styleId="205">
    <w:name w:val="Placeholder Text"/>
    <w:semiHidden/>
    <w:qFormat/>
    <w:uiPriority w:val="67"/>
    <w:rPr>
      <w:color w:val="808080"/>
    </w:rPr>
  </w:style>
  <w:style w:type="character" w:customStyle="1" w:styleId="206">
    <w:name w:val="Parágrafo da Lista Char"/>
    <w:link w:val="49"/>
    <w:qFormat/>
    <w:uiPriority w:val="34"/>
    <w:rPr>
      <w:rFonts w:ascii="Times New Roman" w:hAnsi="Times New Roman" w:eastAsia="Times New Roman" w:cs="Times New Roman"/>
      <w:sz w:val="24"/>
      <w:lang w:eastAsia="ar-SA"/>
    </w:rPr>
  </w:style>
  <w:style w:type="paragraph" w:customStyle="1" w:styleId="207">
    <w:name w:val="corpo"/>
    <w:basedOn w:val="1"/>
    <w:qFormat/>
    <w:uiPriority w:val="99"/>
    <w:pPr>
      <w:suppressAutoHyphens w:val="0"/>
      <w:spacing w:before="100" w:beforeAutospacing="1" w:after="100" w:afterAutospacing="1"/>
    </w:pPr>
    <w:rPr>
      <w:szCs w:val="24"/>
      <w:lang w:eastAsia="pt-BR"/>
    </w:rPr>
  </w:style>
  <w:style w:type="paragraph" w:customStyle="1" w:styleId="208">
    <w:name w:val="item_nivel1"/>
    <w:basedOn w:val="1"/>
    <w:qFormat/>
    <w:uiPriority w:val="99"/>
    <w:pPr>
      <w:suppressAutoHyphens w:val="0"/>
      <w:spacing w:before="100" w:beforeAutospacing="1" w:after="100" w:afterAutospacing="1"/>
    </w:pPr>
    <w:rPr>
      <w:szCs w:val="24"/>
      <w:lang w:eastAsia="pt-BR"/>
    </w:rPr>
  </w:style>
  <w:style w:type="paragraph" w:customStyle="1" w:styleId="209">
    <w:name w:val="item_alinea_letra"/>
    <w:basedOn w:val="1"/>
    <w:qFormat/>
    <w:uiPriority w:val="99"/>
    <w:pPr>
      <w:suppressAutoHyphens w:val="0"/>
      <w:spacing w:before="100" w:beforeAutospacing="1" w:after="100" w:afterAutospacing="1"/>
    </w:pPr>
    <w:rPr>
      <w:szCs w:val="24"/>
      <w:lang w:eastAsia="pt-BR"/>
    </w:rPr>
  </w:style>
  <w:style w:type="character" w:customStyle="1" w:styleId="210">
    <w:name w:val="markedcontent"/>
    <w:basedOn w:val="11"/>
    <w:qFormat/>
    <w:uiPriority w:val="0"/>
  </w:style>
  <w:style w:type="paragraph" w:customStyle="1" w:styleId="211">
    <w:name w:val="Standard"/>
    <w:qFormat/>
    <w:uiPriority w:val="0"/>
    <w:pPr>
      <w:suppressAutoHyphens/>
      <w:autoSpaceDN w:val="0"/>
    </w:pPr>
    <w:rPr>
      <w:rFonts w:ascii="Liberation Serif" w:hAnsi="Liberation Serif" w:eastAsia="NSimSun" w:cs="Lucida Sans"/>
      <w:kern w:val="3"/>
      <w:sz w:val="24"/>
      <w:szCs w:val="24"/>
      <w:lang w:val="pt-BR" w:eastAsia="zh-CN" w:bidi="hi-IN"/>
    </w:rPr>
  </w:style>
  <w:style w:type="paragraph" w:customStyle="1" w:styleId="212">
    <w:name w:val="Text body"/>
    <w:basedOn w:val="211"/>
    <w:qFormat/>
    <w:uiPriority w:val="99"/>
    <w:pPr>
      <w:spacing w:after="140" w:line="276" w:lineRule="auto"/>
    </w:pPr>
  </w:style>
  <w:style w:type="character" w:customStyle="1" w:styleId="213">
    <w:name w:val="Menção Pendente3"/>
    <w:semiHidden/>
    <w:unhideWhenUsed/>
    <w:qFormat/>
    <w:uiPriority w:val="99"/>
    <w:rPr>
      <w:color w:val="605E5C"/>
      <w:shd w:val="clear" w:color="auto" w:fill="E1DFDD"/>
    </w:rPr>
  </w:style>
  <w:style w:type="character" w:customStyle="1" w:styleId="214">
    <w:name w:val="Menção Pendente4"/>
    <w:semiHidden/>
    <w:unhideWhenUsed/>
    <w:qFormat/>
    <w:uiPriority w:val="99"/>
    <w:rPr>
      <w:color w:val="605E5C"/>
      <w:shd w:val="clear" w:color="auto" w:fill="E1DFDD"/>
    </w:rPr>
  </w:style>
  <w:style w:type="paragraph" w:customStyle="1" w:styleId="215">
    <w:name w:val="ou"/>
    <w:basedOn w:val="49"/>
    <w:link w:val="216"/>
    <w:qFormat/>
    <w:uiPriority w:val="0"/>
    <w:pPr>
      <w:suppressAutoHyphens w:val="0"/>
      <w:spacing w:before="60" w:after="60" w:line="259" w:lineRule="auto"/>
      <w:ind w:left="0"/>
      <w:contextualSpacing w:val="0"/>
      <w:jc w:val="center"/>
    </w:pPr>
    <w:rPr>
      <w:rFonts w:ascii="Arial" w:hAnsi="Arial" w:eastAsia="Cambria" w:cs="Arial"/>
      <w:b/>
      <w:bCs/>
      <w:i/>
      <w:iCs/>
      <w:color w:val="FF0000"/>
      <w:szCs w:val="24"/>
      <w:u w:val="single"/>
      <w:lang w:eastAsia="pt-BR"/>
    </w:rPr>
  </w:style>
  <w:style w:type="character" w:customStyle="1" w:styleId="216">
    <w:name w:val="ou Char"/>
    <w:link w:val="215"/>
    <w:qFormat/>
    <w:uiPriority w:val="0"/>
    <w:rPr>
      <w:rFonts w:ascii="Arial" w:hAnsi="Arial" w:eastAsia="Cambria" w:cs="Arial"/>
      <w:b/>
      <w:bCs/>
      <w:i/>
      <w:iCs/>
      <w:color w:val="FF0000"/>
      <w:sz w:val="24"/>
      <w:szCs w:val="24"/>
      <w:u w:val="single"/>
    </w:rPr>
  </w:style>
  <w:style w:type="paragraph" w:customStyle="1" w:styleId="217">
    <w:name w:val="Nível 2 -Red"/>
    <w:basedOn w:val="80"/>
    <w:link w:val="219"/>
    <w:qFormat/>
    <w:uiPriority w:val="0"/>
    <w:pPr>
      <w:numPr>
        <w:numId w:val="2"/>
      </w:numPr>
      <w:ind w:left="0" w:firstLine="0"/>
    </w:pPr>
    <w:rPr>
      <w:rFonts w:ascii="Arial" w:hAnsi="Arial" w:eastAsia="MS Mincho" w:cs="Arial"/>
      <w:i/>
      <w:iCs/>
      <w:color w:val="FF0000"/>
    </w:rPr>
  </w:style>
  <w:style w:type="paragraph" w:customStyle="1" w:styleId="218">
    <w:name w:val="Nível 3-R"/>
    <w:basedOn w:val="82"/>
    <w:link w:val="222"/>
    <w:qFormat/>
    <w:uiPriority w:val="0"/>
    <w:pPr>
      <w:numPr>
        <w:numId w:val="2"/>
      </w:numPr>
      <w:ind w:left="284" w:firstLine="0"/>
    </w:pPr>
    <w:rPr>
      <w:rFonts w:ascii="Arial" w:hAnsi="Arial" w:eastAsia="MS Mincho"/>
      <w:i/>
      <w:iCs/>
      <w:color w:val="FF0000"/>
    </w:rPr>
  </w:style>
  <w:style w:type="character" w:customStyle="1" w:styleId="219">
    <w:name w:val="Nível 2 -Red Char"/>
    <w:link w:val="217"/>
    <w:qFormat/>
    <w:uiPriority w:val="0"/>
    <w:rPr>
      <w:rFonts w:ascii="Arial" w:hAnsi="Arial" w:eastAsia="MS Mincho" w:cs="Arial"/>
      <w:i/>
      <w:iCs/>
      <w:color w:val="FF0000"/>
    </w:rPr>
  </w:style>
  <w:style w:type="paragraph" w:customStyle="1" w:styleId="220">
    <w:name w:val="Nível 4-R"/>
    <w:basedOn w:val="83"/>
    <w:link w:val="224"/>
    <w:qFormat/>
    <w:uiPriority w:val="0"/>
    <w:pPr>
      <w:numPr>
        <w:numId w:val="2"/>
      </w:numPr>
      <w:ind w:left="567" w:firstLine="0"/>
    </w:pPr>
    <w:rPr>
      <w:rFonts w:ascii="Arial" w:hAnsi="Arial" w:eastAsia="MS Mincho"/>
      <w:i/>
      <w:iCs/>
      <w:color w:val="FF0000"/>
    </w:rPr>
  </w:style>
  <w:style w:type="character" w:customStyle="1" w:styleId="221">
    <w:name w:val="Nivel 3 Char"/>
    <w:link w:val="82"/>
    <w:qFormat/>
    <w:uiPriority w:val="0"/>
    <w:rPr>
      <w:rFonts w:ascii="Ecofont_Spranq_eco_Sans" w:hAnsi="Ecofont_Spranq_eco_Sans" w:eastAsia="Arial Unicode MS" w:cs="Arial"/>
      <w:color w:val="000000"/>
    </w:rPr>
  </w:style>
  <w:style w:type="character" w:customStyle="1" w:styleId="222">
    <w:name w:val="Nível 3-R Char"/>
    <w:link w:val="218"/>
    <w:qFormat/>
    <w:uiPriority w:val="0"/>
    <w:rPr>
      <w:rFonts w:ascii="Arial" w:hAnsi="Arial" w:eastAsia="MS Mincho" w:cs="Arial"/>
      <w:i/>
      <w:iCs/>
      <w:color w:val="FF0000"/>
    </w:rPr>
  </w:style>
  <w:style w:type="paragraph" w:customStyle="1" w:styleId="223">
    <w:name w:val="Nível 1-Sem Num"/>
    <w:basedOn w:val="64"/>
    <w:link w:val="226"/>
    <w:qFormat/>
    <w:uiPriority w:val="0"/>
    <w:pPr>
      <w:numPr>
        <w:numId w:val="0"/>
      </w:numPr>
      <w:spacing w:beforeLines="120" w:afterLines="120" w:line="312" w:lineRule="auto"/>
      <w:outlineLvl w:val="1"/>
    </w:pPr>
    <w:rPr>
      <w:rFonts w:ascii="Arial" w:hAnsi="Arial" w:eastAsia="MS Gothic" w:cs="Arial"/>
      <w:color w:val="FF0000"/>
      <w:sz w:val="20"/>
      <w:lang w:eastAsia="en-US"/>
    </w:rPr>
  </w:style>
  <w:style w:type="character" w:customStyle="1" w:styleId="224">
    <w:name w:val="Nível 4-R Char"/>
    <w:link w:val="220"/>
    <w:qFormat/>
    <w:uiPriority w:val="0"/>
    <w:rPr>
      <w:rFonts w:ascii="Arial" w:hAnsi="Arial" w:eastAsia="MS Mincho" w:cs="Arial"/>
      <w:i/>
      <w:iCs/>
      <w:color w:val="FF0000"/>
    </w:rPr>
  </w:style>
  <w:style w:type="character" w:customStyle="1" w:styleId="225">
    <w:name w:val="Link da Internet"/>
    <w:unhideWhenUsed/>
    <w:qFormat/>
    <w:uiPriority w:val="99"/>
    <w:rPr>
      <w:color w:val="0000FF"/>
      <w:u w:val="single"/>
    </w:rPr>
  </w:style>
  <w:style w:type="character" w:customStyle="1" w:styleId="226">
    <w:name w:val="Nível 1-Sem Num Char"/>
    <w:link w:val="223"/>
    <w:qFormat/>
    <w:uiPriority w:val="0"/>
    <w:rPr>
      <w:rFonts w:ascii="Arial" w:hAnsi="Arial" w:eastAsia="MS Gothic" w:cs="Arial"/>
      <w:b/>
      <w:bCs/>
      <w:color w:val="FF0000"/>
      <w:lang w:eastAsia="en-US"/>
    </w:rPr>
  </w:style>
  <w:style w:type="paragraph" w:customStyle="1" w:styleId="227">
    <w:name w:val="Preâmbulo"/>
    <w:basedOn w:val="1"/>
    <w:link w:val="228"/>
    <w:qFormat/>
    <w:uiPriority w:val="0"/>
    <w:pPr>
      <w:suppressAutoHyphens w:val="0"/>
      <w:spacing w:before="480" w:after="120" w:line="360" w:lineRule="auto"/>
      <w:ind w:left="4253" w:right="-17"/>
      <w:jc w:val="both"/>
    </w:pPr>
    <w:rPr>
      <w:rFonts w:ascii="Arial" w:hAnsi="Arial" w:eastAsia="Arial" w:cs="Arial"/>
      <w:bCs/>
      <w:sz w:val="20"/>
      <w:lang w:eastAsia="pt-BR"/>
    </w:rPr>
  </w:style>
  <w:style w:type="character" w:customStyle="1" w:styleId="228">
    <w:name w:val="Preâmbulo Char"/>
    <w:link w:val="227"/>
    <w:qFormat/>
    <w:uiPriority w:val="0"/>
    <w:rPr>
      <w:rFonts w:ascii="Arial" w:hAnsi="Arial" w:eastAsia="Arial" w:cs="Arial"/>
      <w:bCs/>
    </w:rPr>
  </w:style>
  <w:style w:type="character" w:customStyle="1" w:styleId="229">
    <w:name w:val="Menção Pendente5"/>
    <w:semiHidden/>
    <w:unhideWhenUsed/>
    <w:qFormat/>
    <w:uiPriority w:val="99"/>
    <w:rPr>
      <w:color w:val="605E5C"/>
      <w:shd w:val="clear" w:color="auto" w:fill="E1DFDD"/>
    </w:rPr>
  </w:style>
  <w:style w:type="paragraph" w:customStyle="1" w:styleId="230">
    <w:name w:val="Cabeçalho do Sumário1"/>
    <w:basedOn w:val="2"/>
    <w:next w:val="1"/>
    <w:unhideWhenUsed/>
    <w:qFormat/>
    <w:uiPriority w:val="39"/>
    <w:pPr>
      <w:suppressAutoHyphens w:val="0"/>
      <w:spacing w:line="259" w:lineRule="auto"/>
      <w:outlineLvl w:val="9"/>
    </w:pPr>
    <w:rPr>
      <w:rFonts w:ascii="Calibri" w:hAnsi="Calibri" w:eastAsia="MS Gothic" w:cs="Times New Roman"/>
      <w:lang w:eastAsia="pt-BR"/>
    </w:rPr>
  </w:style>
  <w:style w:type="character" w:customStyle="1" w:styleId="231">
    <w:name w:val="Menção Pendente6"/>
    <w:semiHidden/>
    <w:unhideWhenUsed/>
    <w:qFormat/>
    <w:uiPriority w:val="99"/>
    <w:rPr>
      <w:color w:val="605E5C"/>
      <w:shd w:val="clear" w:color="auto" w:fill="E1DFDD"/>
    </w:rPr>
  </w:style>
  <w:style w:type="character" w:customStyle="1" w:styleId="232">
    <w:name w:val="Mention non résolue1"/>
    <w:semiHidden/>
    <w:unhideWhenUsed/>
    <w:qFormat/>
    <w:uiPriority w:val="99"/>
    <w:rPr>
      <w:color w:val="605E5C"/>
      <w:shd w:val="clear" w:color="auto" w:fill="E1DFDD"/>
    </w:rPr>
  </w:style>
  <w:style w:type="character" w:customStyle="1" w:styleId="233">
    <w:name w:val="Menção Pendente7"/>
    <w:semiHidden/>
    <w:unhideWhenUsed/>
    <w:qFormat/>
    <w:uiPriority w:val="99"/>
    <w:rPr>
      <w:color w:val="605E5C"/>
      <w:shd w:val="clear" w:color="auto" w:fill="E1DFDD"/>
    </w:rPr>
  </w:style>
  <w:style w:type="paragraph" w:customStyle="1" w:styleId="234">
    <w:name w:val="pf0"/>
    <w:basedOn w:val="1"/>
    <w:qFormat/>
    <w:uiPriority w:val="0"/>
    <w:pPr>
      <w:suppressAutoHyphens w:val="0"/>
      <w:spacing w:before="100" w:beforeAutospacing="1" w:after="100" w:afterAutospacing="1"/>
    </w:pPr>
    <w:rPr>
      <w:szCs w:val="24"/>
      <w:lang w:eastAsia="pt-BR"/>
    </w:rPr>
  </w:style>
  <w:style w:type="character" w:customStyle="1" w:styleId="235">
    <w:name w:val="cf01"/>
    <w:qFormat/>
    <w:uiPriority w:val="0"/>
    <w:rPr>
      <w:rFonts w:hint="default" w:ascii="Segoe UI" w:hAnsi="Segoe UI" w:cs="Segoe UI"/>
      <w:b/>
      <w:bCs/>
      <w:i/>
      <w:iCs/>
      <w:sz w:val="18"/>
      <w:szCs w:val="18"/>
    </w:rPr>
  </w:style>
  <w:style w:type="character" w:customStyle="1" w:styleId="236">
    <w:name w:val="cf11"/>
    <w:qFormat/>
    <w:uiPriority w:val="0"/>
    <w:rPr>
      <w:rFonts w:hint="default" w:ascii="Segoe UI" w:hAnsi="Segoe UI" w:cs="Segoe UI"/>
      <w:i/>
      <w:iCs/>
      <w:sz w:val="18"/>
      <w:szCs w:val="18"/>
    </w:rPr>
  </w:style>
  <w:style w:type="character" w:customStyle="1" w:styleId="237">
    <w:name w:val="cf21"/>
    <w:qFormat/>
    <w:uiPriority w:val="0"/>
    <w:rPr>
      <w:rFonts w:hint="default" w:ascii="Segoe UI" w:hAnsi="Segoe UI" w:cs="Segoe UI"/>
      <w:i/>
      <w:iCs/>
      <w:sz w:val="18"/>
      <w:szCs w:val="18"/>
    </w:rPr>
  </w:style>
  <w:style w:type="character" w:customStyle="1" w:styleId="238">
    <w:name w:val="Nível 1-Sem Num Preto Char"/>
    <w:link w:val="239"/>
    <w:qFormat/>
    <w:locked/>
    <w:uiPriority w:val="0"/>
    <w:rPr>
      <w:rFonts w:ascii="Arial" w:hAnsi="Arial" w:cs="Arial"/>
      <w:b/>
      <w:bCs/>
      <w:color w:val="000000"/>
      <w:lang w:eastAsia="zh-CN" w:bidi="hi-IN"/>
    </w:rPr>
  </w:style>
  <w:style w:type="paragraph" w:customStyle="1" w:styleId="239">
    <w:name w:val="Nível 1-Sem Num Preto"/>
    <w:basedOn w:val="1"/>
    <w:link w:val="238"/>
    <w:qFormat/>
    <w:uiPriority w:val="0"/>
    <w:pPr>
      <w:keepNext/>
      <w:keepLines/>
      <w:tabs>
        <w:tab w:val="left" w:pos="567"/>
      </w:tabs>
      <w:suppressAutoHyphens w:val="0"/>
      <w:spacing w:before="240" w:after="120" w:line="276" w:lineRule="auto"/>
      <w:jc w:val="both"/>
      <w:outlineLvl w:val="1"/>
    </w:pPr>
    <w:rPr>
      <w:rFonts w:ascii="Arial" w:hAnsi="Arial" w:eastAsia="Calibri" w:cs="Arial"/>
      <w:b/>
      <w:bCs/>
      <w:color w:val="000000"/>
      <w:sz w:val="20"/>
      <w:lang w:eastAsia="zh-CN" w:bidi="hi-IN"/>
    </w:rPr>
  </w:style>
  <w:style w:type="character" w:customStyle="1" w:styleId="240">
    <w:name w:val="Menção Pendente8"/>
    <w:semiHidden/>
    <w:unhideWhenUsed/>
    <w:qFormat/>
    <w:uiPriority w:val="99"/>
    <w:rPr>
      <w:color w:val="605E5C"/>
      <w:shd w:val="clear" w:color="auto" w:fill="E1DFDD"/>
    </w:rPr>
  </w:style>
  <w:style w:type="paragraph" w:customStyle="1" w:styleId="241">
    <w:name w:val="Nível 01-Sem Numeração"/>
    <w:basedOn w:val="1"/>
    <w:link w:val="242"/>
    <w:autoRedefine/>
    <w:qFormat/>
    <w:uiPriority w:val="0"/>
    <w:pPr>
      <w:keepNext/>
      <w:keepLines/>
      <w:suppressAutoHyphens w:val="0"/>
      <w:spacing w:before="240" w:after="120" w:line="276" w:lineRule="auto"/>
      <w:jc w:val="both"/>
      <w:outlineLvl w:val="1"/>
    </w:pPr>
    <w:rPr>
      <w:rFonts w:eastAsia="MS Gothic"/>
      <w:b/>
      <w:szCs w:val="24"/>
      <w:lang w:eastAsia="pt-BR"/>
    </w:rPr>
  </w:style>
  <w:style w:type="character" w:customStyle="1" w:styleId="242">
    <w:name w:val="Nível 01-Sem Numeração Char"/>
    <w:link w:val="241"/>
    <w:qFormat/>
    <w:uiPriority w:val="1"/>
    <w:rPr>
      <w:rFonts w:ascii="Times New Roman" w:hAnsi="Times New Roman" w:eastAsia="MS Gothic" w:cs="Times New Roman"/>
      <w:b/>
      <w:sz w:val="24"/>
      <w:szCs w:val="24"/>
    </w:rPr>
  </w:style>
  <w:style w:type="paragraph" w:customStyle="1" w:styleId="243">
    <w:name w:val="Nível 3"/>
    <w:basedOn w:val="218"/>
    <w:link w:val="245"/>
    <w:qFormat/>
    <w:uiPriority w:val="0"/>
    <w:rPr>
      <w:rFonts w:eastAsia="Times New Roman"/>
      <w:i w:val="0"/>
      <w:iCs w:val="0"/>
      <w:color w:val="auto"/>
    </w:rPr>
  </w:style>
  <w:style w:type="paragraph" w:customStyle="1" w:styleId="244">
    <w:name w:val="Nível 4"/>
    <w:basedOn w:val="243"/>
    <w:link w:val="246"/>
    <w:qFormat/>
    <w:uiPriority w:val="0"/>
    <w:pPr>
      <w:numPr>
        <w:ilvl w:val="0"/>
        <w:numId w:val="0"/>
      </w:numPr>
      <w:ind w:left="567"/>
    </w:pPr>
  </w:style>
  <w:style w:type="character" w:customStyle="1" w:styleId="245">
    <w:name w:val="Nível 3 Char"/>
    <w:basedOn w:val="11"/>
    <w:link w:val="243"/>
    <w:qFormat/>
    <w:uiPriority w:val="0"/>
    <w:rPr>
      <w:rFonts w:ascii="Arial" w:hAnsi="Arial" w:eastAsia="Times New Roman" w:cs="Arial"/>
    </w:rPr>
  </w:style>
  <w:style w:type="character" w:customStyle="1" w:styleId="246">
    <w:name w:val="Nível 4 Char"/>
    <w:basedOn w:val="245"/>
    <w:link w:val="244"/>
    <w:qFormat/>
    <w:uiPriority w:val="0"/>
    <w:rPr>
      <w:rFonts w:ascii="Arial" w:hAnsi="Arial" w:eastAsia="Times New Roman" w:cs="Arial"/>
    </w:rPr>
  </w:style>
  <w:style w:type="character" w:customStyle="1" w:styleId="247">
    <w:name w:val="Menção Pendente9"/>
    <w:basedOn w:val="11"/>
    <w:semiHidden/>
    <w:unhideWhenUsed/>
    <w:qFormat/>
    <w:uiPriority w:val="99"/>
    <w:rPr>
      <w:color w:val="605E5C"/>
      <w:shd w:val="clear" w:color="auto" w:fill="E1DFDD"/>
    </w:rPr>
  </w:style>
  <w:style w:type="character" w:customStyle="1" w:styleId="248">
    <w:name w:val="Menção Pendente10"/>
    <w:semiHidden/>
    <w:unhideWhenUsed/>
    <w:qFormat/>
    <w:uiPriority w:val="99"/>
    <w:rPr>
      <w:color w:val="605E5C"/>
      <w:shd w:val="clear" w:color="auto" w:fill="E1DFDD"/>
    </w:rPr>
  </w:style>
  <w:style w:type="character" w:customStyle="1" w:styleId="249">
    <w:name w:val="findhit"/>
    <w:basedOn w:val="11"/>
    <w:qFormat/>
    <w:uiPriority w:val="0"/>
  </w:style>
  <w:style w:type="paragraph" w:customStyle="1" w:styleId="250">
    <w:name w:val="Nivel 3-erro"/>
    <w:basedOn w:val="82"/>
    <w:link w:val="251"/>
    <w:qFormat/>
    <w:uiPriority w:val="99"/>
    <w:pPr>
      <w:numPr>
        <w:numId w:val="4"/>
      </w:numPr>
      <w:spacing w:line="240" w:lineRule="auto"/>
      <w:ind w:left="425" w:firstLine="0"/>
    </w:pPr>
    <w:rPr>
      <w:rFonts w:ascii="Arial" w:hAnsi="Arial" w:cs="Tahoma" w:eastAsiaTheme="minorEastAsia"/>
      <w:color w:val="auto"/>
      <w:szCs w:val="24"/>
    </w:rPr>
  </w:style>
  <w:style w:type="character" w:customStyle="1" w:styleId="251">
    <w:name w:val="Nivel 3-erro Char"/>
    <w:basedOn w:val="11"/>
    <w:link w:val="250"/>
    <w:qFormat/>
    <w:uiPriority w:val="99"/>
    <w:rPr>
      <w:rFonts w:ascii="Arial" w:hAnsi="Arial" w:cs="Tahoma" w:eastAsiaTheme="minorEastAsia"/>
      <w:szCs w:val="24"/>
    </w:rPr>
  </w:style>
  <w:style w:type="paragraph" w:customStyle="1" w:styleId="252">
    <w:name w:val="Alterações"/>
    <w:basedOn w:val="1"/>
    <w:link w:val="253"/>
    <w:qFormat/>
    <w:uiPriority w:val="1"/>
    <w:pPr>
      <w:suppressAutoHyphens w:val="0"/>
      <w:spacing w:before="120" w:after="120" w:line="276" w:lineRule="auto"/>
      <w:jc w:val="both"/>
      <w:outlineLvl w:val="1"/>
    </w:pPr>
    <w:rPr>
      <w:rFonts w:ascii="Arial" w:hAnsi="Arial" w:cs="Arial" w:eastAsiaTheme="minorEastAsia"/>
      <w:i/>
      <w:iCs/>
      <w:color w:val="0000FF"/>
      <w:sz w:val="20"/>
      <w:lang w:eastAsia="pt-BR"/>
    </w:rPr>
  </w:style>
  <w:style w:type="character" w:customStyle="1" w:styleId="253">
    <w:name w:val="Alterações Char"/>
    <w:basedOn w:val="11"/>
    <w:link w:val="252"/>
    <w:qFormat/>
    <w:uiPriority w:val="1"/>
    <w:rPr>
      <w:rFonts w:ascii="Arial" w:hAnsi="Arial" w:cs="Arial" w:eastAsiaTheme="minorEastAsia"/>
      <w:i/>
      <w:iCs/>
      <w:color w:val="0000FF"/>
    </w:rPr>
  </w:style>
  <w:style w:type="character" w:customStyle="1" w:styleId="254">
    <w:name w:val="Menção1"/>
    <w:basedOn w:val="11"/>
    <w:unhideWhenUsed/>
    <w:qFormat/>
    <w:uiPriority w:val="99"/>
    <w:rPr>
      <w:color w:val="2B579A"/>
      <w:shd w:val="clear" w:color="auto" w:fill="E6E6E6"/>
    </w:rPr>
  </w:style>
  <w:style w:type="character" w:customStyle="1" w:styleId="255">
    <w:name w:val="cf41"/>
    <w:basedOn w:val="11"/>
    <w:uiPriority w:val="0"/>
    <w:rPr>
      <w:rFonts w:hint="default" w:ascii="Segoe UI" w:hAnsi="Segoe UI" w:cs="Segoe UI"/>
      <w:i/>
      <w:iCs/>
      <w:sz w:val="18"/>
      <w:szCs w:val="18"/>
    </w:rPr>
  </w:style>
  <w:style w:type="character" w:customStyle="1" w:styleId="256">
    <w:name w:val="cf31"/>
    <w:basedOn w:val="11"/>
    <w:uiPriority w:val="0"/>
    <w:rPr>
      <w:rFonts w:hint="default" w:ascii="Segoe UI" w:hAnsi="Segoe UI" w:cs="Segoe UI"/>
      <w:i/>
      <w:iCs/>
      <w:sz w:val="18"/>
      <w:szCs w:val="18"/>
    </w:rPr>
  </w:style>
  <w:style w:type="character" w:customStyle="1" w:styleId="257">
    <w:name w:val="Cabeçalho Char1"/>
    <w:basedOn w:val="11"/>
    <w:semiHidden/>
    <w:uiPriority w:val="0"/>
    <w:rPr>
      <w:rFonts w:ascii="Times New Roman" w:hAnsi="Times New Roman" w:eastAsia="Times New Roman" w:cs="Times New Roman"/>
      <w:sz w:val="24"/>
      <w:lang w:eastAsia="ar-SA"/>
    </w:rPr>
  </w:style>
  <w:style w:type="character" w:customStyle="1" w:styleId="258">
    <w:name w:val="Rodapé Char1"/>
    <w:basedOn w:val="11"/>
    <w:semiHidden/>
    <w:uiPriority w:val="99"/>
    <w:rPr>
      <w:rFonts w:ascii="Times New Roman" w:hAnsi="Times New Roman" w:eastAsia="Times New Roman" w:cs="Times New Roman"/>
      <w:sz w:val="24"/>
      <w:lang w:eastAsia="ar-SA"/>
    </w:rPr>
  </w:style>
  <w:style w:type="character" w:customStyle="1" w:styleId="259">
    <w:name w:val="Citação Char1"/>
    <w:basedOn w:val="11"/>
    <w:qFormat/>
    <w:uiPriority w:val="0"/>
    <w:rPr>
      <w:rFonts w:ascii="Ecofont_Spranq_eco_Sans" w:hAnsi="Ecofont_Spranq_eco_Sans" w:cs="Tahoma" w:eastAsiaTheme="minorEastAsia"/>
      <w:i/>
      <w:iCs/>
      <w:color w:val="404040" w:themeColor="text1" w:themeTint="BF"/>
      <w:sz w:val="24"/>
      <w:szCs w:val="24"/>
      <w14:textFill>
        <w14:solidFill>
          <w14:schemeClr w14:val="tx1">
            <w14:lumMod w14:val="75000"/>
            <w14:lumOff w14:val="25000"/>
          </w14:schemeClr>
        </w14:solidFill>
      </w14:textFill>
    </w:rPr>
  </w:style>
  <w:style w:type="character" w:customStyle="1" w:styleId="260">
    <w:name w:val="Menção Pendente11"/>
    <w:basedOn w:val="11"/>
    <w:semiHidden/>
    <w:unhideWhenUsed/>
    <w:qFormat/>
    <w:uiPriority w:val="99"/>
    <w:rPr>
      <w:color w:val="605E5C"/>
      <w:shd w:val="clear" w:color="auto" w:fill="E1DFDD"/>
    </w:rPr>
  </w:style>
  <w:style w:type="paragraph" w:customStyle="1" w:styleId="261">
    <w:name w:val="Body Text Indent 21"/>
    <w:basedOn w:val="1"/>
    <w:qFormat/>
    <w:uiPriority w:val="0"/>
    <w:pPr>
      <w:spacing w:after="120" w:line="480" w:lineRule="auto"/>
      <w:ind w:left="283"/>
    </w:pPr>
    <w:rPr>
      <w:sz w:val="20"/>
      <w:lang w:eastAsia="zh-CN"/>
    </w:rPr>
  </w:style>
  <w:style w:type="character" w:customStyle="1" w:styleId="262">
    <w:name w:val="Menção Pendente12"/>
    <w:basedOn w:val="11"/>
    <w:semiHidden/>
    <w:unhideWhenUsed/>
    <w:qFormat/>
    <w:uiPriority w:val="99"/>
    <w:rPr>
      <w:color w:val="605E5C"/>
      <w:shd w:val="clear" w:color="auto" w:fill="E1DFDD"/>
    </w:rPr>
  </w:style>
  <w:style w:type="character" w:customStyle="1" w:styleId="263">
    <w:name w:val="Menção Pendente13"/>
    <w:basedOn w:val="11"/>
    <w:semiHidden/>
    <w:unhideWhenUsed/>
    <w:uiPriority w:val="99"/>
    <w:rPr>
      <w:color w:val="605E5C"/>
      <w:shd w:val="clear" w:color="auto" w:fill="E1DFDD"/>
    </w:rPr>
  </w:style>
  <w:style w:type="character" w:customStyle="1" w:styleId="264">
    <w:name w:val="Internet link1"/>
    <w:basedOn w:val="11"/>
    <w:qFormat/>
    <w:uiPriority w:val="0"/>
    <w:rPr>
      <w:color w:val="0563C1"/>
      <w:u w:val="single"/>
    </w:rPr>
  </w:style>
  <w:style w:type="paragraph" w:customStyle="1" w:styleId="265">
    <w:name w:val="Texto Normal"/>
    <w:qFormat/>
    <w:uiPriority w:val="0"/>
    <w:pPr>
      <w:suppressAutoHyphens/>
      <w:spacing w:line="276" w:lineRule="auto"/>
      <w:jc w:val="both"/>
    </w:pPr>
    <w:rPr>
      <w:rFonts w:ascii="Arial" w:hAnsi="Arial" w:eastAsia="Calibri" w:cs="Times New Roman"/>
      <w:color w:val="000000"/>
      <w:sz w:val="24"/>
      <w:szCs w:val="24"/>
      <w:lang w:val="pt-BR" w:eastAsia="en-US" w:bidi="ar-SA"/>
    </w:rPr>
  </w:style>
  <w:style w:type="character" w:customStyle="1" w:styleId="266">
    <w:name w:val="Título 5 Char"/>
    <w:basedOn w:val="11"/>
    <w:link w:val="6"/>
    <w:semiHidden/>
    <w:uiPriority w:val="9"/>
    <w:rPr>
      <w:rFonts w:asciiTheme="minorHAnsi" w:hAnsiTheme="minorHAnsi" w:eastAsiaTheme="majorEastAsia" w:cstheme="majorBidi"/>
      <w:color w:val="2F5597" w:themeColor="accent1" w:themeShade="BF"/>
      <w:kern w:val="2"/>
      <w:sz w:val="22"/>
      <w:szCs w:val="22"/>
      <w:lang w:eastAsia="en-US"/>
      <w14:ligatures w14:val="standardContextual"/>
    </w:rPr>
  </w:style>
  <w:style w:type="character" w:customStyle="1" w:styleId="267">
    <w:name w:val="Título 7 Char"/>
    <w:basedOn w:val="11"/>
    <w:link w:val="8"/>
    <w:semiHidden/>
    <w:uiPriority w:val="9"/>
    <w:rPr>
      <w:rFonts w:asciiTheme="minorHAnsi" w:hAnsiTheme="minorHAnsi" w:eastAsiaTheme="majorEastAsia" w:cstheme="majorBidi"/>
      <w:color w:val="595959" w:themeColor="text1" w:themeTint="A6"/>
      <w:kern w:val="2"/>
      <w:sz w:val="22"/>
      <w:szCs w:val="22"/>
      <w:lang w:eastAsia="en-US"/>
      <w14:textFill>
        <w14:solidFill>
          <w14:schemeClr w14:val="tx1">
            <w14:lumMod w14:val="65000"/>
            <w14:lumOff w14:val="35000"/>
          </w14:schemeClr>
        </w14:solidFill>
      </w14:textFill>
      <w14:ligatures w14:val="standardContextual"/>
    </w:rPr>
  </w:style>
  <w:style w:type="character" w:customStyle="1" w:styleId="268">
    <w:name w:val="Título 8 Char"/>
    <w:basedOn w:val="11"/>
    <w:link w:val="9"/>
    <w:semiHidden/>
    <w:uiPriority w:val="9"/>
    <w:rPr>
      <w:rFonts w:asciiTheme="minorHAnsi" w:hAnsiTheme="minorHAnsi" w:eastAsiaTheme="majorEastAsia" w:cstheme="majorBidi"/>
      <w:i/>
      <w:iCs/>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character" w:customStyle="1" w:styleId="269">
    <w:name w:val="Título 9 Char"/>
    <w:basedOn w:val="11"/>
    <w:link w:val="10"/>
    <w:semiHidden/>
    <w:uiPriority w:val="9"/>
    <w:rPr>
      <w:rFonts w:asciiTheme="minorHAnsi" w:hAnsiTheme="minorHAnsi" w:eastAsiaTheme="majorEastAsia" w:cstheme="majorBidi"/>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character" w:customStyle="1" w:styleId="270">
    <w:name w:val="Subtítulo Char"/>
    <w:basedOn w:val="11"/>
    <w:link w:val="35"/>
    <w:uiPriority w:val="11"/>
    <w:rPr>
      <w:rFonts w:asciiTheme="minorHAnsi" w:hAnsiTheme="minorHAnsi" w:eastAsiaTheme="majorEastAsia" w:cstheme="majorBidi"/>
      <w:color w:val="595959" w:themeColor="text1" w:themeTint="A6"/>
      <w:spacing w:val="15"/>
      <w:kern w:val="2"/>
      <w:sz w:val="28"/>
      <w:szCs w:val="28"/>
      <w:lang w:eastAsia="en-US"/>
      <w14:textFill>
        <w14:solidFill>
          <w14:schemeClr w14:val="tx1">
            <w14:lumMod w14:val="65000"/>
            <w14:lumOff w14:val="35000"/>
          </w14:schemeClr>
        </w14:solidFill>
      </w14:textFill>
      <w14:ligatures w14:val="standardContextual"/>
    </w:rPr>
  </w:style>
  <w:style w:type="character" w:customStyle="1" w:styleId="271">
    <w:name w:val="Intense Emphasis"/>
    <w:basedOn w:val="11"/>
    <w:qFormat/>
    <w:uiPriority w:val="21"/>
    <w:rPr>
      <w:i/>
      <w:iCs/>
      <w:color w:val="2F5597" w:themeColor="accent1" w:themeShade="BF"/>
    </w:rPr>
  </w:style>
  <w:style w:type="paragraph" w:styleId="272">
    <w:name w:val="Intense Quote"/>
    <w:basedOn w:val="1"/>
    <w:next w:val="1"/>
    <w:link w:val="273"/>
    <w:qFormat/>
    <w:uiPriority w:val="30"/>
    <w:pPr>
      <w:pBdr>
        <w:top w:val="single" w:color="2F5496" w:themeColor="accent1" w:themeShade="BF" w:sz="4" w:space="10"/>
        <w:bottom w:val="single" w:color="2F5496" w:themeColor="accent1" w:themeShade="BF" w:sz="4" w:space="10"/>
      </w:pBdr>
      <w:suppressAutoHyphens w:val="0"/>
      <w:spacing w:before="360" w:after="360" w:line="259" w:lineRule="auto"/>
      <w:ind w:left="864" w:right="864"/>
      <w:jc w:val="center"/>
    </w:pPr>
    <w:rPr>
      <w:rFonts w:asciiTheme="minorHAnsi" w:hAnsiTheme="minorHAnsi" w:eastAsiaTheme="minorHAnsi" w:cstheme="minorBidi"/>
      <w:i/>
      <w:iCs/>
      <w:color w:val="2F5597" w:themeColor="accent1" w:themeShade="BF"/>
      <w:kern w:val="2"/>
      <w:sz w:val="22"/>
      <w:szCs w:val="22"/>
      <w:lang w:eastAsia="en-US"/>
      <w14:ligatures w14:val="standardContextual"/>
    </w:rPr>
  </w:style>
  <w:style w:type="character" w:customStyle="1" w:styleId="273">
    <w:name w:val="Citação Intensa Char"/>
    <w:basedOn w:val="11"/>
    <w:link w:val="272"/>
    <w:uiPriority w:val="30"/>
    <w:rPr>
      <w:rFonts w:asciiTheme="minorHAnsi" w:hAnsiTheme="minorHAnsi" w:eastAsiaTheme="minorHAnsi" w:cstheme="minorBidi"/>
      <w:i/>
      <w:iCs/>
      <w:color w:val="2F5597" w:themeColor="accent1" w:themeShade="BF"/>
      <w:kern w:val="2"/>
      <w:sz w:val="22"/>
      <w:szCs w:val="22"/>
      <w:lang w:eastAsia="en-US"/>
      <w14:ligatures w14:val="standardContextual"/>
    </w:rPr>
  </w:style>
  <w:style w:type="character" w:customStyle="1" w:styleId="274">
    <w:name w:val="Intense Reference"/>
    <w:basedOn w:val="11"/>
    <w:qFormat/>
    <w:uiPriority w:val="32"/>
    <w:rPr>
      <w:b/>
      <w:bCs/>
      <w:smallCaps/>
      <w:color w:val="2F5597" w:themeColor="accent1" w:themeShade="BF"/>
      <w:spacing w:val="5"/>
    </w:rPr>
  </w:style>
  <w:style w:type="paragraph" w:customStyle="1" w:styleId="275">
    <w:name w:val="xl107"/>
    <w:basedOn w:val="1"/>
    <w:uiPriority w:val="0"/>
    <w:pPr>
      <w:pBdr>
        <w:top w:val="single" w:color="auto" w:sz="4" w:space="0"/>
        <w:left w:val="single" w:color="auto" w:sz="4" w:space="0"/>
        <w:bottom w:val="single" w:color="auto" w:sz="8" w:space="0"/>
        <w:right w:val="single" w:color="auto" w:sz="4" w:space="0"/>
      </w:pBdr>
      <w:suppressAutoHyphens w:val="0"/>
      <w:spacing w:before="100" w:beforeAutospacing="1" w:after="100" w:afterAutospacing="1"/>
      <w:jc w:val="center"/>
      <w:textAlignment w:val="center"/>
    </w:pPr>
    <w:rPr>
      <w:szCs w:val="24"/>
      <w:lang w:eastAsia="pt-BR"/>
    </w:rPr>
  </w:style>
  <w:style w:type="paragraph" w:customStyle="1" w:styleId="276">
    <w:name w:val="xl108"/>
    <w:basedOn w:val="1"/>
    <w:uiPriority w:val="0"/>
    <w:pPr>
      <w:pBdr>
        <w:top w:val="single" w:color="auto" w:sz="4" w:space="0"/>
        <w:left w:val="single" w:color="auto" w:sz="4" w:space="0"/>
        <w:bottom w:val="single" w:color="auto" w:sz="8" w:space="0"/>
        <w:right w:val="single" w:color="auto" w:sz="4" w:space="0"/>
      </w:pBdr>
      <w:suppressAutoHyphens w:val="0"/>
      <w:spacing w:before="100" w:beforeAutospacing="1" w:after="100" w:afterAutospacing="1"/>
      <w:textAlignment w:val="center"/>
    </w:pPr>
    <w:rPr>
      <w:szCs w:val="24"/>
      <w:lang w:eastAsia="pt-BR"/>
    </w:rPr>
  </w:style>
  <w:style w:type="paragraph" w:customStyle="1" w:styleId="277">
    <w:name w:val="xl109"/>
    <w:basedOn w:val="1"/>
    <w:uiPriority w:val="0"/>
    <w:pPr>
      <w:pBdr>
        <w:top w:val="single" w:color="auto" w:sz="4" w:space="0"/>
        <w:left w:val="single" w:color="auto" w:sz="4" w:space="0"/>
        <w:bottom w:val="single" w:color="auto" w:sz="8" w:space="0"/>
        <w:right w:val="single" w:color="auto" w:sz="4" w:space="0"/>
      </w:pBdr>
      <w:suppressAutoHyphens w:val="0"/>
      <w:spacing w:before="100" w:beforeAutospacing="1" w:after="100" w:afterAutospacing="1"/>
      <w:jc w:val="center"/>
      <w:textAlignment w:val="center"/>
    </w:pPr>
    <w:rPr>
      <w:szCs w:val="24"/>
      <w:lang w:eastAsia="pt-BR"/>
    </w:rPr>
  </w:style>
  <w:style w:type="paragraph" w:customStyle="1" w:styleId="278">
    <w:name w:val="xl110"/>
    <w:basedOn w:val="1"/>
    <w:uiPriority w:val="0"/>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center"/>
      <w:textAlignment w:val="center"/>
    </w:pPr>
    <w:rPr>
      <w:szCs w:val="24"/>
      <w:lang w:eastAsia="pt-BR"/>
    </w:rPr>
  </w:style>
  <w:style w:type="paragraph" w:customStyle="1" w:styleId="279">
    <w:name w:val="xl111"/>
    <w:basedOn w:val="1"/>
    <w:uiPriority w:val="0"/>
    <w:pPr>
      <w:pBdr>
        <w:top w:val="single" w:color="auto" w:sz="8" w:space="0"/>
        <w:left w:val="single" w:color="auto" w:sz="8" w:space="0"/>
        <w:bottom w:val="single" w:color="auto" w:sz="8" w:space="0"/>
        <w:right w:val="single" w:color="auto" w:sz="4" w:space="0"/>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280">
    <w:name w:val="xl112"/>
    <w:basedOn w:val="1"/>
    <w:uiPriority w:val="0"/>
    <w:pPr>
      <w:pBdr>
        <w:top w:val="single" w:color="auto" w:sz="8" w:space="0"/>
        <w:left w:val="single" w:color="auto" w:sz="4" w:space="0"/>
        <w:bottom w:val="single" w:color="auto" w:sz="8" w:space="0"/>
        <w:right w:val="single" w:color="auto" w:sz="4" w:space="0"/>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281">
    <w:name w:val="xl113"/>
    <w:basedOn w:val="1"/>
    <w:uiPriority w:val="0"/>
    <w:pPr>
      <w:pBdr>
        <w:top w:val="single" w:color="auto" w:sz="8" w:space="0"/>
        <w:left w:val="single" w:color="auto" w:sz="4" w:space="0"/>
        <w:bottom w:val="single" w:color="auto" w:sz="8" w:space="0"/>
        <w:right w:val="single" w:color="auto" w:sz="8" w:space="0"/>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282">
    <w:name w:val="xl114"/>
    <w:basedOn w:val="1"/>
    <w:uiPriority w:val="0"/>
    <w:pPr>
      <w:pBdr>
        <w:top w:val="single" w:color="auto" w:sz="8" w:space="0"/>
        <w:left w:val="single" w:color="auto" w:sz="8" w:space="0"/>
        <w:bottom w:val="single" w:color="auto" w:sz="8" w:space="0"/>
        <w:right w:val="single" w:color="auto" w:sz="4" w:space="0"/>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283">
    <w:name w:val="xl115"/>
    <w:basedOn w:val="1"/>
    <w:uiPriority w:val="0"/>
    <w:pPr>
      <w:pBdr>
        <w:top w:val="single" w:color="auto" w:sz="8" w:space="0"/>
        <w:left w:val="single" w:color="auto" w:sz="4" w:space="0"/>
        <w:bottom w:val="single" w:color="auto" w:sz="8" w:space="0"/>
        <w:right w:val="single" w:color="auto" w:sz="4" w:space="0"/>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284">
    <w:name w:val="xl116"/>
    <w:basedOn w:val="1"/>
    <w:uiPriority w:val="0"/>
    <w:pPr>
      <w:pBdr>
        <w:top w:val="single" w:color="auto" w:sz="8" w:space="0"/>
        <w:left w:val="single" w:color="auto" w:sz="4" w:space="0"/>
        <w:bottom w:val="single" w:color="auto" w:sz="8" w:space="0"/>
        <w:right w:val="single" w:color="auto" w:sz="8" w:space="0"/>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285">
    <w:name w:val="xl117"/>
    <w:basedOn w:val="1"/>
    <w:uiPriority w:val="0"/>
    <w:pPr>
      <w:pBdr>
        <w:top w:val="single" w:color="auto" w:sz="8" w:space="0"/>
        <w:left w:val="single" w:color="auto" w:sz="4" w:space="0"/>
        <w:bottom w:val="single" w:color="auto" w:sz="8" w:space="0"/>
        <w:right w:val="single" w:color="auto" w:sz="8" w:space="0"/>
      </w:pBdr>
      <w:suppressAutoHyphens w:val="0"/>
      <w:spacing w:before="100" w:beforeAutospacing="1" w:after="100" w:afterAutospacing="1"/>
      <w:textAlignment w:val="center"/>
    </w:pPr>
    <w:rPr>
      <w:b/>
      <w:bCs/>
      <w:szCs w:val="24"/>
      <w:lang w:eastAsia="pt-BR"/>
    </w:rPr>
  </w:style>
  <w:style w:type="paragraph" w:customStyle="1" w:styleId="286">
    <w:name w:val="Revision"/>
    <w:hidden/>
    <w:unhideWhenUsed/>
    <w:uiPriority w:val="99"/>
    <w:rPr>
      <w:rFonts w:ascii="Times New Roman" w:hAnsi="Times New Roman" w:eastAsia="Times New Roman" w:cs="Times New Roman"/>
      <w:sz w:val="24"/>
      <w:lang w:val="pt-BR" w:eastAsia="ar-SA" w:bidi="ar-SA"/>
    </w:rPr>
  </w:style>
  <w:style w:type="character" w:customStyle="1" w:styleId="287">
    <w:name w:val="Menção Pendente14"/>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54"/>
    <customShpInfo spid="_x0000_s1026" textRotate="1"/>
    <customShpInfo spid="_x0000_s2053"/>
    <customShpInfo spid="_x0000_s205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39A085-E03D-482F-9CF9-17AF2619DA44}">
  <ds:schemaRefs/>
</ds:datastoreItem>
</file>

<file path=docProps/app.xml><?xml version="1.0" encoding="utf-8"?>
<Properties xmlns="http://schemas.openxmlformats.org/officeDocument/2006/extended-properties" xmlns:vt="http://schemas.openxmlformats.org/officeDocument/2006/docPropsVTypes">
  <Template>Normal</Template>
  <Pages>61</Pages>
  <Words>25070</Words>
  <Characters>135380</Characters>
  <Lines>1128</Lines>
  <Paragraphs>320</Paragraphs>
  <TotalTime>934</TotalTime>
  <ScaleCrop>false</ScaleCrop>
  <LinksUpToDate>false</LinksUpToDate>
  <CharactersWithSpaces>160130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2026-03-12T20:12:00Z</dcterms:created>
  <dc:creator>Administrador</dc:creator>
  <cp:lastModifiedBy>User</cp:lastModifiedBy>
  <cp:lastPrinted>2025-08-18T20:35:00Z</cp:lastPrinted>
  <dcterms:modified xsi:type="dcterms:W3CDTF">2026-03-13T17:43:25Z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1046-12.2.0.23196</vt:lpwstr>
  </property>
  <property fmtid="{D5CDD505-2E9C-101B-9397-08002B2CF9AE}" pid="9" name="ICV">
    <vt:lpwstr>46731528BBC048D1A82C272D954530C8_13</vt:lpwstr>
  </property>
</Properties>
</file>