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3BF1EF">
      <w:pPr>
        <w:spacing w:before="120" w:after="120" w:line="276" w:lineRule="auto"/>
        <w:jc w:val="both"/>
        <w:rPr>
          <w:b/>
          <w:bCs/>
          <w:color w:val="4472C4" w:themeColor="accent1"/>
          <w:sz w:val="32"/>
          <w:szCs w:val="32"/>
          <w14:textFill>
            <w14:solidFill>
              <w14:schemeClr w14:val="accent1"/>
            </w14:solidFill>
          </w14:textFill>
        </w:rPr>
      </w:pPr>
      <w:bookmarkStart w:id="0" w:name="_Hlk156141427"/>
      <w:r>
        <w:rPr>
          <w:b/>
          <w:bCs/>
          <w:color w:val="4472C4" w:themeColor="accent1"/>
          <w:sz w:val="32"/>
          <w:szCs w:val="32"/>
          <w14:textFill>
            <w14:solidFill>
              <w14:schemeClr w14:val="accent1"/>
            </w14:solidFill>
          </w14:textFill>
        </w:rPr>
        <w:t>PROCESSO ADMINISTRATIVO N ° 170/2025</w:t>
      </w:r>
    </w:p>
    <w:p w14:paraId="08BD2070">
      <w:pPr>
        <w:rPr>
          <w:b/>
          <w:bCs/>
          <w:color w:val="4472C4" w:themeColor="accent1"/>
          <w:sz w:val="32"/>
          <w:szCs w:val="32"/>
          <w14:textFill>
            <w14:solidFill>
              <w14:schemeClr w14:val="accent1"/>
            </w14:solidFill>
          </w14:textFill>
        </w:rPr>
      </w:pPr>
      <w:r>
        <w:rPr>
          <w:b/>
          <w:bCs/>
          <w:color w:val="4472C4" w:themeColor="accent1"/>
          <w:sz w:val="32"/>
          <w:szCs w:val="32"/>
          <w14:textFill>
            <w14:solidFill>
              <w14:schemeClr w14:val="accent1"/>
            </w14:solidFill>
          </w14:textFill>
        </w:rPr>
        <w:t>CONCORRÊNCIA ELETRÔNICA N° 03/2026</w:t>
      </w:r>
    </w:p>
    <w:p w14:paraId="5A922E85">
      <w:pPr>
        <w:autoSpaceDE w:val="0"/>
        <w:autoSpaceDN w:val="0"/>
        <w:adjustRightInd w:val="0"/>
        <w:spacing w:line="252" w:lineRule="auto"/>
        <w:rPr>
          <w:rFonts w:eastAsia="Calibri"/>
          <w:b/>
          <w:bCs/>
          <w:color w:val="000000" w:themeColor="text1"/>
          <w:sz w:val="32"/>
          <w:szCs w:val="32"/>
          <w:lang w:eastAsia="pt-BR"/>
          <w14:textFill>
            <w14:solidFill>
              <w14:schemeClr w14:val="tx1"/>
            </w14:solidFill>
          </w14:textFill>
        </w:rPr>
      </w:pPr>
    </w:p>
    <w:p w14:paraId="350F893F">
      <w:pPr>
        <w:autoSpaceDE w:val="0"/>
        <w:autoSpaceDN w:val="0"/>
        <w:adjustRightInd w:val="0"/>
        <w:spacing w:line="252" w:lineRule="auto"/>
        <w:rPr>
          <w:rFonts w:eastAsia="Calibri"/>
          <w:b/>
          <w:bCs/>
          <w:color w:val="4472C4" w:themeColor="accent1"/>
          <w:sz w:val="32"/>
          <w:szCs w:val="32"/>
          <w:lang w:eastAsia="pt-BR"/>
          <w14:textFill>
            <w14:solidFill>
              <w14:schemeClr w14:val="accent1"/>
            </w14:solidFill>
          </w14:textFill>
        </w:rPr>
      </w:pPr>
      <w:r>
        <w:rPr>
          <w:rFonts w:eastAsia="Calibri"/>
          <w:b/>
          <w:bCs/>
          <w:color w:val="000000" w:themeColor="text1"/>
          <w:sz w:val="32"/>
          <w:szCs w:val="32"/>
          <w:lang w:eastAsia="pt-BR"/>
          <w14:textFill>
            <w14:solidFill>
              <w14:schemeClr w14:val="tx1"/>
            </w14:solidFill>
          </w14:textFill>
        </w:rPr>
        <w:t xml:space="preserve">CONTRATANTE </w:t>
      </w:r>
      <w:r>
        <w:rPr>
          <w:rFonts w:eastAsia="Calibri"/>
          <w:b/>
          <w:bCs/>
          <w:color w:val="4472C4" w:themeColor="accent1"/>
          <w:sz w:val="32"/>
          <w:szCs w:val="32"/>
          <w:lang w:eastAsia="pt-BR"/>
          <w14:textFill>
            <w14:solidFill>
              <w14:schemeClr w14:val="accent1"/>
            </w14:solidFill>
          </w14:textFill>
        </w:rPr>
        <w:t>MUNICÍPIO DE CARACOL/MS</w:t>
      </w:r>
    </w:p>
    <w:p w14:paraId="30110310">
      <w:pPr>
        <w:autoSpaceDE w:val="0"/>
        <w:autoSpaceDN w:val="0"/>
        <w:adjustRightInd w:val="0"/>
        <w:rPr>
          <w:rFonts w:eastAsia="Calibri"/>
          <w:b/>
          <w:bCs/>
          <w:color w:val="000000" w:themeColor="text1"/>
          <w:sz w:val="32"/>
          <w:szCs w:val="32"/>
          <w:lang w:eastAsia="pt-BR"/>
          <w14:textFill>
            <w14:solidFill>
              <w14:schemeClr w14:val="tx1"/>
            </w14:solidFill>
          </w14:textFill>
        </w:rPr>
      </w:pPr>
    </w:p>
    <w:p w14:paraId="3D205064">
      <w:pPr>
        <w:autoSpaceDE w:val="0"/>
        <w:autoSpaceDN w:val="0"/>
        <w:adjustRightInd w:val="0"/>
        <w:jc w:val="both"/>
        <w:rPr>
          <w:b/>
          <w:bCs/>
          <w:color w:val="000000" w:themeColor="text1"/>
          <w:sz w:val="32"/>
          <w:szCs w:val="32"/>
          <w14:textFill>
            <w14:solidFill>
              <w14:schemeClr w14:val="tx1"/>
            </w14:solidFill>
          </w14:textFill>
        </w:rPr>
      </w:pPr>
      <w:r>
        <w:rPr>
          <w:rFonts w:eastAsia="Calibri"/>
          <w:b/>
          <w:bCs/>
          <w:color w:val="000000" w:themeColor="text1"/>
          <w:sz w:val="32"/>
          <w:szCs w:val="32"/>
          <w:lang w:eastAsia="pt-BR"/>
          <w14:textFill>
            <w14:solidFill>
              <w14:schemeClr w14:val="tx1"/>
            </w14:solidFill>
          </w14:textFill>
        </w:rPr>
        <w:t xml:space="preserve">OBJETO </w:t>
      </w:r>
      <w:r>
        <w:rPr>
          <w:b/>
          <w:bCs/>
          <w:color w:val="4472C4" w:themeColor="accent1"/>
          <w:sz w:val="32"/>
          <w:szCs w:val="32"/>
          <w14:textFill>
            <w14:solidFill>
              <w14:schemeClr w14:val="accent1"/>
            </w14:solidFill>
          </w14:textFill>
        </w:rPr>
        <w:t>CONTRATAÇÃO DE EMPRESA PARA AMPLIAÇÃO DA ESCOLA INÁCIO SILVESTRE MONTEIRO, LOCALIZADA NO DISTRITO DO ALTO CARACOL, NO MUNICÍPIO DE CARACOL/MS</w:t>
      </w:r>
    </w:p>
    <w:p w14:paraId="1658587F">
      <w:pPr>
        <w:autoSpaceDE w:val="0"/>
        <w:autoSpaceDN w:val="0"/>
        <w:adjustRightInd w:val="0"/>
        <w:jc w:val="both"/>
        <w:rPr>
          <w:b/>
          <w:bCs/>
          <w:color w:val="000000" w:themeColor="text1"/>
          <w:sz w:val="32"/>
          <w:szCs w:val="32"/>
          <w:lang w:eastAsia="pt-BR"/>
          <w14:textFill>
            <w14:solidFill>
              <w14:schemeClr w14:val="tx1"/>
            </w14:solidFill>
          </w14:textFill>
        </w:rPr>
      </w:pPr>
    </w:p>
    <w:p w14:paraId="1BB8E7F8">
      <w:pPr>
        <w:autoSpaceDE w:val="0"/>
        <w:autoSpaceDN w:val="0"/>
        <w:adjustRightInd w:val="0"/>
        <w:jc w:val="both"/>
        <w:rPr>
          <w:rFonts w:eastAsia="Calibri"/>
          <w:b/>
          <w:bCs/>
          <w:color w:val="000000" w:themeColor="text1"/>
          <w:sz w:val="32"/>
          <w:szCs w:val="32"/>
          <w:lang w:eastAsia="pt-BR"/>
          <w14:textFill>
            <w14:solidFill>
              <w14:schemeClr w14:val="tx1"/>
            </w14:solidFill>
          </w14:textFill>
        </w:rPr>
      </w:pPr>
      <w:r>
        <w:rPr>
          <w:rFonts w:eastAsia="Calibri"/>
          <w:b/>
          <w:bCs/>
          <w:color w:val="000000" w:themeColor="text1"/>
          <w:sz w:val="32"/>
          <w:szCs w:val="32"/>
          <w:lang w:eastAsia="pt-BR"/>
          <w14:textFill>
            <w14:solidFill>
              <w14:schemeClr w14:val="tx1"/>
            </w14:solidFill>
          </w14:textFill>
        </w:rPr>
        <w:t>VALOR TOTAL DA CONTRATAÇÃO</w:t>
      </w:r>
      <w:r>
        <w:rPr>
          <w:rFonts w:eastAsia="Calibri"/>
          <w:b/>
          <w:bCs/>
          <w:color w:val="000000" w:themeColor="text1"/>
          <w:sz w:val="32"/>
          <w:szCs w:val="32"/>
          <w:lang w:val="en-US" w:eastAsia="pt-BR"/>
          <w14:textFill>
            <w14:solidFill>
              <w14:schemeClr w14:val="tx1"/>
            </w14:solidFill>
          </w14:textFill>
        </w:rPr>
        <w:t>:</w:t>
      </w:r>
      <w:r>
        <w:rPr>
          <w:rFonts w:eastAsia="Calibri"/>
          <w:color w:val="000000" w:themeColor="text1"/>
          <w:sz w:val="32"/>
          <w:szCs w:val="32"/>
          <w:lang w:val="en-US" w:eastAsia="pt-BR"/>
          <w14:textFill>
            <w14:solidFill>
              <w14:schemeClr w14:val="tx1"/>
            </w14:solidFill>
          </w14:textFill>
        </w:rPr>
        <w:t xml:space="preserve"> </w:t>
      </w:r>
      <w:r>
        <w:rPr>
          <w:rFonts w:eastAsia="Calibri"/>
          <w:b/>
          <w:bCs/>
          <w:color w:val="4472C4" w:themeColor="accent1"/>
          <w:sz w:val="32"/>
          <w:szCs w:val="32"/>
          <w:lang w:eastAsia="pt-BR"/>
          <w14:textFill>
            <w14:solidFill>
              <w14:schemeClr w14:val="accent1"/>
            </w14:solidFill>
          </w14:textFill>
        </w:rPr>
        <w:t xml:space="preserve">R$ </w:t>
      </w:r>
      <w:r>
        <w:rPr>
          <w:b/>
          <w:bCs/>
          <w:color w:val="4472C4" w:themeColor="accent1"/>
          <w:sz w:val="32"/>
          <w:szCs w:val="32"/>
          <w14:textFill>
            <w14:solidFill>
              <w14:schemeClr w14:val="accent1"/>
            </w14:solidFill>
          </w14:textFill>
        </w:rPr>
        <w:t>348.659,59</w:t>
      </w:r>
    </w:p>
    <w:p w14:paraId="1FA7CE31">
      <w:pPr>
        <w:autoSpaceDE w:val="0"/>
        <w:autoSpaceDN w:val="0"/>
        <w:adjustRightInd w:val="0"/>
        <w:rPr>
          <w:rFonts w:eastAsia="Calibri"/>
          <w:color w:val="4472C4" w:themeColor="accent1"/>
          <w:sz w:val="32"/>
          <w:szCs w:val="32"/>
          <w:lang w:eastAsia="pt-BR"/>
          <w14:textFill>
            <w14:solidFill>
              <w14:schemeClr w14:val="accent1"/>
            </w14:solidFill>
          </w14:textFill>
        </w:rPr>
      </w:pPr>
    </w:p>
    <w:p w14:paraId="039DF104">
      <w:pPr>
        <w:autoSpaceDE w:val="0"/>
        <w:autoSpaceDN w:val="0"/>
        <w:adjustRightInd w:val="0"/>
        <w:rPr>
          <w:rFonts w:eastAsia="Calibri"/>
          <w:b/>
          <w:bCs/>
          <w:color w:val="4472C4" w:themeColor="accent1"/>
          <w:sz w:val="32"/>
          <w:szCs w:val="32"/>
          <w:lang w:eastAsia="pt-BR"/>
          <w14:textFill>
            <w14:solidFill>
              <w14:schemeClr w14:val="accent1"/>
            </w14:solidFill>
          </w14:textFill>
        </w:rPr>
      </w:pPr>
      <w:r>
        <w:rPr>
          <w:rFonts w:eastAsia="Calibri"/>
          <w:b/>
          <w:bCs/>
          <w:color w:val="4472C4" w:themeColor="accent1"/>
          <w:sz w:val="32"/>
          <w:szCs w:val="32"/>
          <w:lang w:eastAsia="pt-BR"/>
          <w14:textFill>
            <w14:solidFill>
              <w14:schemeClr w14:val="accent1"/>
            </w14:solidFill>
          </w14:textFill>
        </w:rPr>
        <w:t>DATA DA SESSÃO PÚBLICA</w:t>
      </w:r>
    </w:p>
    <w:p w14:paraId="5D33D74E">
      <w:pPr>
        <w:rPr>
          <w:rFonts w:eastAsia="Calibri"/>
          <w:b/>
          <w:bCs/>
          <w:color w:val="4472C4" w:themeColor="accent1"/>
          <w:sz w:val="32"/>
          <w:szCs w:val="32"/>
          <w:highlight w:val="none"/>
          <w:lang w:eastAsia="pt-BR"/>
          <w14:textFill>
            <w14:solidFill>
              <w14:schemeClr w14:val="accent1"/>
            </w14:solidFill>
          </w14:textFill>
        </w:rPr>
      </w:pPr>
      <w:r>
        <w:rPr>
          <w:rFonts w:eastAsia="Calibri"/>
          <w:b/>
          <w:bCs/>
          <w:color w:val="4472C4" w:themeColor="accent1"/>
          <w:sz w:val="32"/>
          <w:szCs w:val="32"/>
          <w:highlight w:val="none"/>
          <w:lang w:eastAsia="pt-BR"/>
          <w14:textFill>
            <w14:solidFill>
              <w14:schemeClr w14:val="accent1"/>
            </w14:solidFill>
          </w14:textFill>
        </w:rPr>
        <w:t xml:space="preserve">Dia </w:t>
      </w:r>
      <w:r>
        <w:rPr>
          <w:rFonts w:hint="default" w:eastAsia="Calibri"/>
          <w:b/>
          <w:bCs/>
          <w:color w:val="4472C4" w:themeColor="accent1"/>
          <w:sz w:val="32"/>
          <w:szCs w:val="32"/>
          <w:highlight w:val="none"/>
          <w:lang w:val="en-US" w:eastAsia="pt-BR"/>
          <w14:textFill>
            <w14:solidFill>
              <w14:schemeClr w14:val="accent1"/>
            </w14:solidFill>
          </w14:textFill>
        </w:rPr>
        <w:t>13/03</w:t>
      </w:r>
      <w:r>
        <w:rPr>
          <w:rFonts w:eastAsia="Calibri"/>
          <w:b/>
          <w:bCs/>
          <w:color w:val="4472C4" w:themeColor="accent1"/>
          <w:sz w:val="32"/>
          <w:szCs w:val="32"/>
          <w:highlight w:val="none"/>
          <w:lang w:eastAsia="pt-BR"/>
          <w14:textFill>
            <w14:solidFill>
              <w14:schemeClr w14:val="accent1"/>
            </w14:solidFill>
          </w14:textFill>
        </w:rPr>
        <w:t>/2026</w:t>
      </w:r>
    </w:p>
    <w:p w14:paraId="28D7B5A9">
      <w:pPr>
        <w:autoSpaceDE w:val="0"/>
        <w:autoSpaceDN w:val="0"/>
        <w:adjustRightInd w:val="0"/>
        <w:rPr>
          <w:rFonts w:eastAsia="Calibri"/>
          <w:b/>
          <w:bCs/>
          <w:color w:val="4472C4" w:themeColor="accent1"/>
          <w:sz w:val="32"/>
          <w:szCs w:val="32"/>
          <w:lang w:eastAsia="pt-BR"/>
          <w14:textFill>
            <w14:solidFill>
              <w14:schemeClr w14:val="accent1"/>
            </w14:solidFill>
          </w14:textFill>
        </w:rPr>
      </w:pPr>
      <w:r>
        <w:rPr>
          <w:rFonts w:eastAsia="Calibri"/>
          <w:b/>
          <w:bCs/>
          <w:color w:val="4472C4" w:themeColor="accent1"/>
          <w:sz w:val="32"/>
          <w:szCs w:val="32"/>
          <w:highlight w:val="none"/>
          <w:lang w:eastAsia="pt-BR"/>
          <w14:textFill>
            <w14:solidFill>
              <w14:schemeClr w14:val="accent1"/>
            </w14:solidFill>
          </w14:textFill>
        </w:rPr>
        <w:t xml:space="preserve">às </w:t>
      </w:r>
      <w:r>
        <w:rPr>
          <w:rFonts w:hint="default" w:eastAsia="Calibri"/>
          <w:b/>
          <w:bCs/>
          <w:color w:val="4472C4" w:themeColor="accent1"/>
          <w:sz w:val="32"/>
          <w:szCs w:val="32"/>
          <w:highlight w:val="none"/>
          <w:lang w:val="en-US" w:eastAsia="pt-BR"/>
          <w14:textFill>
            <w14:solidFill>
              <w14:schemeClr w14:val="accent1"/>
            </w14:solidFill>
          </w14:textFill>
        </w:rPr>
        <w:t>09</w:t>
      </w:r>
      <w:r>
        <w:rPr>
          <w:rFonts w:eastAsia="Calibri"/>
          <w:b/>
          <w:bCs/>
          <w:color w:val="4472C4" w:themeColor="accent1"/>
          <w:sz w:val="32"/>
          <w:szCs w:val="32"/>
          <w:highlight w:val="none"/>
          <w:lang w:eastAsia="pt-BR"/>
          <w14:textFill>
            <w14:solidFill>
              <w14:schemeClr w14:val="accent1"/>
            </w14:solidFill>
          </w14:textFill>
        </w:rPr>
        <w:t>:00hr (horário de Brasília)</w:t>
      </w:r>
    </w:p>
    <w:p w14:paraId="7660E491">
      <w:pPr>
        <w:autoSpaceDE w:val="0"/>
        <w:autoSpaceDN w:val="0"/>
        <w:adjustRightInd w:val="0"/>
        <w:jc w:val="both"/>
        <w:rPr>
          <w:rFonts w:eastAsia="Calibri"/>
          <w:b/>
          <w:bCs/>
          <w:caps/>
          <w:color w:val="000000" w:themeColor="text1"/>
          <w:sz w:val="32"/>
          <w:szCs w:val="32"/>
          <w:lang w:eastAsia="pt-BR"/>
          <w14:textFill>
            <w14:solidFill>
              <w14:schemeClr w14:val="tx1"/>
            </w14:solidFill>
          </w14:textFill>
        </w:rPr>
      </w:pPr>
    </w:p>
    <w:p w14:paraId="7E2D7626">
      <w:pPr>
        <w:spacing w:line="276" w:lineRule="auto"/>
        <w:jc w:val="both"/>
        <w:rPr>
          <w:b/>
          <w:bCs/>
          <w:color w:val="4472C4" w:themeColor="accent1"/>
          <w:sz w:val="32"/>
          <w:szCs w:val="32"/>
          <w14:textFill>
            <w14:solidFill>
              <w14:schemeClr w14:val="accent1"/>
            </w14:solidFill>
          </w14:textFill>
        </w:rPr>
      </w:pPr>
      <w:r>
        <w:rPr>
          <w:b/>
          <w:bCs/>
          <w:caps/>
          <w:color w:val="000000" w:themeColor="text1"/>
          <w:sz w:val="32"/>
          <w:szCs w:val="32"/>
          <w14:textFill>
            <w14:solidFill>
              <w14:schemeClr w14:val="tx1"/>
            </w14:solidFill>
          </w14:textFill>
        </w:rPr>
        <w:t>Critério de Julgamento</w:t>
      </w:r>
      <w:r>
        <w:rPr>
          <w:rFonts w:eastAsia="Arial"/>
          <w:color w:val="4472C4" w:themeColor="accent1"/>
          <w:sz w:val="32"/>
          <w:szCs w:val="32"/>
          <w:lang w:eastAsia="pt-BR"/>
          <w14:textFill>
            <w14:solidFill>
              <w14:schemeClr w14:val="accent1"/>
            </w14:solidFill>
          </w14:textFill>
        </w:rPr>
        <w:t xml:space="preserve"> </w:t>
      </w:r>
      <w:r>
        <w:rPr>
          <w:rFonts w:eastAsia="Arial"/>
          <w:b/>
          <w:bCs/>
          <w:color w:val="4472C4" w:themeColor="accent1"/>
          <w:sz w:val="32"/>
          <w:szCs w:val="32"/>
          <w:lang w:eastAsia="pt-BR"/>
          <w14:textFill>
            <w14:solidFill>
              <w14:schemeClr w14:val="accent1"/>
            </w14:solidFill>
          </w14:textFill>
        </w:rPr>
        <w:t>MAIOR DESCONTO GLOBAL</w:t>
      </w:r>
      <w:r>
        <w:rPr>
          <w:rFonts w:eastAsia="Arial"/>
          <w:color w:val="4472C4" w:themeColor="accent1"/>
          <w:sz w:val="32"/>
          <w:szCs w:val="32"/>
          <w:lang w:eastAsia="pt-BR"/>
          <w14:textFill>
            <w14:solidFill>
              <w14:schemeClr w14:val="accent1"/>
            </w14:solidFill>
          </w14:textFill>
        </w:rPr>
        <w:t xml:space="preserve"> </w:t>
      </w:r>
    </w:p>
    <w:p w14:paraId="311A8A2A">
      <w:pPr>
        <w:jc w:val="both"/>
        <w:rPr>
          <w:b/>
          <w:bCs/>
          <w:color w:val="000000" w:themeColor="text1"/>
          <w:sz w:val="32"/>
          <w:szCs w:val="32"/>
          <w14:textFill>
            <w14:solidFill>
              <w14:schemeClr w14:val="tx1"/>
            </w14:solidFill>
          </w14:textFill>
        </w:rPr>
      </w:pPr>
    </w:p>
    <w:p w14:paraId="6233388F">
      <w:pPr>
        <w:jc w:val="both"/>
        <w:rPr>
          <w:b/>
          <w:bCs/>
          <w:color w:val="4472C4" w:themeColor="accent1"/>
          <w:sz w:val="32"/>
          <w:szCs w:val="32"/>
          <w14:textFill>
            <w14:solidFill>
              <w14:schemeClr w14:val="accent1"/>
            </w14:solidFill>
          </w14:textFill>
        </w:rPr>
      </w:pPr>
      <w:r>
        <w:rPr>
          <w:b/>
          <w:bCs/>
          <w:color w:val="000000" w:themeColor="text1"/>
          <w:sz w:val="32"/>
          <w:szCs w:val="32"/>
          <w14:textFill>
            <w14:solidFill>
              <w14:schemeClr w14:val="tx1"/>
            </w14:solidFill>
          </w14:textFill>
        </w:rPr>
        <w:t>REGIME DE EXECUÇÃO</w:t>
      </w:r>
      <w:r>
        <w:rPr>
          <w:color w:val="000000" w:themeColor="text1"/>
          <w:sz w:val="32"/>
          <w:szCs w:val="32"/>
          <w14:textFill>
            <w14:solidFill>
              <w14:schemeClr w14:val="tx1"/>
            </w14:solidFill>
          </w14:textFill>
        </w:rPr>
        <w:t xml:space="preserve"> </w:t>
      </w:r>
      <w:r>
        <w:rPr>
          <w:b/>
          <w:bCs/>
          <w:color w:val="4472C4" w:themeColor="accent1"/>
          <w:sz w:val="32"/>
          <w:szCs w:val="32"/>
          <w14:textFill>
            <w14:solidFill>
              <w14:schemeClr w14:val="accent1"/>
            </w14:solidFill>
          </w14:textFill>
        </w:rPr>
        <w:t>EMPREITADA POR PREÇO UNITÁRIO</w:t>
      </w:r>
    </w:p>
    <w:p w14:paraId="620DB4D7">
      <w:pPr>
        <w:jc w:val="both"/>
        <w:rPr>
          <w:b/>
          <w:bCs/>
          <w:color w:val="000000" w:themeColor="text1"/>
          <w:sz w:val="32"/>
          <w:szCs w:val="32"/>
          <w14:textFill>
            <w14:solidFill>
              <w14:schemeClr w14:val="tx1"/>
            </w14:solidFill>
          </w14:textFill>
        </w:rPr>
      </w:pPr>
    </w:p>
    <w:p w14:paraId="42DF95B7">
      <w:pPr>
        <w:jc w:val="both"/>
        <w:rPr>
          <w:color w:val="000000" w:themeColor="text1"/>
          <w:sz w:val="32"/>
          <w:szCs w:val="32"/>
          <w14:textFill>
            <w14:solidFill>
              <w14:schemeClr w14:val="tx1"/>
            </w14:solidFill>
          </w14:textFill>
        </w:rPr>
      </w:pPr>
      <w:r>
        <w:rPr>
          <w:b/>
          <w:bCs/>
          <w:caps/>
          <w:color w:val="000000" w:themeColor="text1"/>
          <w:sz w:val="32"/>
          <w:szCs w:val="32"/>
          <w14:textFill>
            <w14:solidFill>
              <w14:schemeClr w14:val="tx1"/>
            </w14:solidFill>
          </w14:textFill>
        </w:rPr>
        <w:t xml:space="preserve">Modo de disputa </w:t>
      </w:r>
      <w:r>
        <w:rPr>
          <w:b/>
          <w:bCs/>
          <w:caps/>
          <w:color w:val="4472C4" w:themeColor="accent1"/>
          <w:sz w:val="32"/>
          <w:szCs w:val="32"/>
          <w14:textFill>
            <w14:solidFill>
              <w14:schemeClr w14:val="accent1"/>
            </w14:solidFill>
          </w14:textFill>
        </w:rPr>
        <w:t>Aberto</w:t>
      </w:r>
      <w:r>
        <w:rPr>
          <w:b/>
          <w:bCs/>
          <w:caps/>
          <w:color w:val="000000" w:themeColor="text1"/>
          <w:sz w:val="32"/>
          <w:szCs w:val="32"/>
          <w14:textFill>
            <w14:solidFill>
              <w14:schemeClr w14:val="tx1"/>
            </w14:solidFill>
          </w14:textFill>
        </w:rPr>
        <w:t xml:space="preserve"> </w:t>
      </w:r>
    </w:p>
    <w:p w14:paraId="167F5FC1">
      <w:pPr>
        <w:jc w:val="both"/>
        <w:rPr>
          <w:b/>
          <w:bCs/>
          <w:color w:val="000000" w:themeColor="text1"/>
          <w:sz w:val="32"/>
          <w:szCs w:val="32"/>
          <w14:textFill>
            <w14:solidFill>
              <w14:schemeClr w14:val="tx1"/>
            </w14:solidFill>
          </w14:textFill>
        </w:rPr>
      </w:pPr>
    </w:p>
    <w:p w14:paraId="2F893386">
      <w:pPr>
        <w:jc w:val="both"/>
        <w:rPr>
          <w:b/>
          <w:bCs/>
          <w:color w:val="4472C4" w:themeColor="accent1"/>
          <w:sz w:val="32"/>
          <w:szCs w:val="32"/>
          <w14:textFill>
            <w14:solidFill>
              <w14:schemeClr w14:val="accent1"/>
            </w14:solidFill>
          </w14:textFill>
        </w:rPr>
      </w:pPr>
      <w:r>
        <w:rPr>
          <w:b/>
          <w:bCs/>
          <w:color w:val="000000" w:themeColor="text1"/>
          <w:sz w:val="32"/>
          <w:szCs w:val="32"/>
          <w14:textFill>
            <w14:solidFill>
              <w14:schemeClr w14:val="tx1"/>
            </w14:solidFill>
          </w14:textFill>
        </w:rPr>
        <w:t xml:space="preserve">PREFERÊNCIA ME/EPP: </w:t>
      </w:r>
      <w:r>
        <w:rPr>
          <w:b/>
          <w:bCs/>
          <w:color w:val="4472C4" w:themeColor="accent1"/>
          <w:sz w:val="32"/>
          <w:szCs w:val="32"/>
          <w14:textFill>
            <w14:solidFill>
              <w14:schemeClr w14:val="accent1"/>
            </w14:solidFill>
          </w14:textFill>
        </w:rPr>
        <w:t>NÃO</w:t>
      </w:r>
    </w:p>
    <w:p w14:paraId="3D8A6F4D">
      <w:pPr>
        <w:jc w:val="both"/>
        <w:rPr>
          <w:b/>
          <w:bCs/>
          <w:color w:val="000000" w:themeColor="text1"/>
          <w:sz w:val="32"/>
          <w:szCs w:val="32"/>
          <w14:textFill>
            <w14:solidFill>
              <w14:schemeClr w14:val="tx1"/>
            </w14:solidFill>
          </w14:textFill>
        </w:rPr>
      </w:pPr>
    </w:p>
    <w:p w14:paraId="02DCABBA">
      <w:pPr>
        <w:jc w:val="both"/>
        <w:rPr>
          <w:b/>
          <w:bCs/>
          <w:color w:val="4472C4" w:themeColor="accent1"/>
          <w:sz w:val="32"/>
          <w:szCs w:val="32"/>
          <w14:textFill>
            <w14:solidFill>
              <w14:schemeClr w14:val="accent1"/>
            </w14:solidFill>
          </w14:textFill>
        </w:rPr>
      </w:pPr>
      <w:r>
        <w:rPr>
          <w:b/>
          <w:bCs/>
          <w:color w:val="000000" w:themeColor="text1"/>
          <w:sz w:val="32"/>
          <w:szCs w:val="32"/>
          <w14:textFill>
            <w14:solidFill>
              <w14:schemeClr w14:val="tx1"/>
            </w14:solidFill>
          </w14:textFill>
        </w:rPr>
        <w:t xml:space="preserve">INVERSÃO DE FASES: </w:t>
      </w:r>
      <w:r>
        <w:rPr>
          <w:b/>
          <w:bCs/>
          <w:color w:val="4472C4" w:themeColor="accent1"/>
          <w:sz w:val="32"/>
          <w:szCs w:val="32"/>
          <w14:textFill>
            <w14:solidFill>
              <w14:schemeClr w14:val="accent1"/>
            </w14:solidFill>
          </w14:textFill>
        </w:rPr>
        <w:t>NÃO</w:t>
      </w:r>
    </w:p>
    <w:p w14:paraId="66B4AE5F">
      <w:pPr>
        <w:spacing w:line="276" w:lineRule="auto"/>
        <w:jc w:val="both"/>
        <w:rPr>
          <w:b/>
          <w:bCs/>
          <w:color w:val="4472C4" w:themeColor="accent1"/>
          <w:sz w:val="32"/>
          <w:szCs w:val="32"/>
          <w14:textFill>
            <w14:solidFill>
              <w14:schemeClr w14:val="accent1"/>
            </w14:solidFill>
          </w14:textFill>
        </w:rPr>
      </w:pPr>
    </w:p>
    <w:p w14:paraId="3C926E5F">
      <w:pPr>
        <w:spacing w:line="276" w:lineRule="auto"/>
        <w:jc w:val="both"/>
        <w:rPr>
          <w:b/>
          <w:bCs/>
          <w:color w:val="4472C4" w:themeColor="accent1"/>
          <w:sz w:val="32"/>
          <w:szCs w:val="32"/>
          <w14:textFill>
            <w14:solidFill>
              <w14:schemeClr w14:val="accent1"/>
            </w14:solidFill>
          </w14:textFill>
        </w:rPr>
      </w:pPr>
      <w:r>
        <w:rPr>
          <w:b/>
          <w:bCs/>
          <w:color w:val="4472C4" w:themeColor="accent1"/>
          <w:sz w:val="32"/>
          <w:szCs w:val="32"/>
          <w14:textFill>
            <w14:solidFill>
              <w14:schemeClr w14:val="accent1"/>
            </w14:solidFill>
          </w14:textFill>
        </w:rPr>
        <w:t>COMISSÃO DE CONTRATAÇÃO</w:t>
      </w:r>
    </w:p>
    <w:p w14:paraId="58A106A8">
      <w:pPr>
        <w:spacing w:line="276" w:lineRule="auto"/>
        <w:jc w:val="both"/>
        <w:rPr>
          <w:b/>
          <w:bCs/>
          <w:color w:val="4472C4" w:themeColor="accent1"/>
          <w:sz w:val="32"/>
          <w:szCs w:val="32"/>
          <w14:textFill>
            <w14:solidFill>
              <w14:schemeClr w14:val="accent1"/>
            </w14:solidFill>
          </w14:textFill>
        </w:rPr>
      </w:pPr>
      <w:r>
        <w:rPr>
          <w:b/>
          <w:bCs/>
          <w:color w:val="4472C4" w:themeColor="accent1"/>
          <w:sz w:val="32"/>
          <w:szCs w:val="32"/>
          <w14:textFill>
            <w14:solidFill>
              <w14:schemeClr w14:val="accent1"/>
            </w14:solidFill>
          </w14:textFill>
        </w:rPr>
        <w:t xml:space="preserve">JOSÉ ROBERTO PISSURNO </w:t>
      </w:r>
    </w:p>
    <w:p w14:paraId="34893432">
      <w:pPr>
        <w:spacing w:line="276" w:lineRule="auto"/>
        <w:jc w:val="both"/>
        <w:rPr>
          <w:b/>
          <w:bCs/>
          <w:color w:val="4472C4" w:themeColor="accent1"/>
          <w:sz w:val="32"/>
          <w:szCs w:val="32"/>
          <w14:textFill>
            <w14:solidFill>
              <w14:schemeClr w14:val="accent1"/>
            </w14:solidFill>
          </w14:textFill>
        </w:rPr>
      </w:pPr>
      <w:r>
        <w:rPr>
          <w:b/>
          <w:bCs/>
          <w:color w:val="4472C4" w:themeColor="accent1"/>
          <w:sz w:val="32"/>
          <w:szCs w:val="32"/>
          <w14:textFill>
            <w14:solidFill>
              <w14:schemeClr w14:val="accent1"/>
            </w14:solidFill>
          </w14:textFill>
        </w:rPr>
        <w:t>PATRICIA IBANES QUINTANA</w:t>
      </w:r>
    </w:p>
    <w:p w14:paraId="0EA441DA">
      <w:pPr>
        <w:spacing w:line="276" w:lineRule="auto"/>
        <w:jc w:val="both"/>
        <w:rPr>
          <w:b/>
          <w:bCs/>
          <w:color w:val="000000" w:themeColor="text1"/>
          <w:szCs w:val="24"/>
          <w14:textFill>
            <w14:solidFill>
              <w14:schemeClr w14:val="tx1"/>
            </w14:solidFill>
          </w14:textFill>
        </w:rPr>
      </w:pPr>
      <w:r>
        <w:rPr>
          <w:b/>
          <w:bCs/>
          <w:color w:val="4472C4" w:themeColor="accent1"/>
          <w:sz w:val="32"/>
          <w:szCs w:val="32"/>
          <w14:textFill>
            <w14:solidFill>
              <w14:schemeClr w14:val="accent1"/>
            </w14:solidFill>
          </w14:textFill>
        </w:rPr>
        <w:t>VANDERLI VIEIRA XIMENES</w:t>
      </w:r>
      <w:r>
        <w:rPr>
          <w:b/>
          <w:bCs/>
          <w:color w:val="4472C4" w:themeColor="accent1"/>
          <w:sz w:val="28"/>
          <w:szCs w:val="28"/>
          <w14:textFill>
            <w14:solidFill>
              <w14:schemeClr w14:val="accent1"/>
            </w14:solidFill>
          </w14:textFill>
        </w:rPr>
        <w:t xml:space="preserve"> </w:t>
      </w:r>
      <w:r>
        <w:rPr>
          <w:rFonts w:eastAsia="Calibri"/>
          <w:b/>
          <w:bCs/>
          <w:color w:val="000000" w:themeColor="text1"/>
          <w:szCs w:val="24"/>
          <w:lang w:eastAsia="pt-BR"/>
          <w14:textFill>
            <w14:solidFill>
              <w14:schemeClr w14:val="tx1"/>
            </w14:solidFill>
          </w14:textFill>
        </w:rPr>
        <w:br w:type="page"/>
      </w:r>
    </w:p>
    <w:p w14:paraId="74FEE6D3">
      <w:pPr>
        <w:ind w:firstLine="567"/>
        <w:jc w:val="center"/>
        <w:rPr>
          <w:b/>
          <w:bCs/>
          <w:color w:val="000000" w:themeColor="text1"/>
          <w:szCs w:val="24"/>
          <w14:textFill>
            <w14:solidFill>
              <w14:schemeClr w14:val="tx1"/>
            </w14:solidFill>
          </w14:textFill>
        </w:rPr>
      </w:pPr>
    </w:p>
    <w:p w14:paraId="4E7EF9F2">
      <w:pPr>
        <w:ind w:firstLine="567"/>
        <w:jc w:val="center"/>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PROCESSO ADMINISTRATIVO N° 170/2025</w:t>
      </w:r>
    </w:p>
    <w:p w14:paraId="7847AA21">
      <w:pPr>
        <w:ind w:firstLine="567"/>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CONCORRÊNCIA ELETRÔNICA Nº 03/2026 </w:t>
      </w:r>
    </w:p>
    <w:p w14:paraId="70569F6F">
      <w:pPr>
        <w:ind w:firstLine="567"/>
        <w:jc w:val="both"/>
        <w:rPr>
          <w:b/>
          <w:bCs/>
          <w:color w:val="000000" w:themeColor="text1"/>
          <w:szCs w:val="24"/>
          <w14:textFill>
            <w14:solidFill>
              <w14:schemeClr w14:val="tx1"/>
            </w14:solidFill>
          </w14:textFill>
        </w:rPr>
      </w:pPr>
    </w:p>
    <w:p w14:paraId="462F5172">
      <w:pPr>
        <w:pStyle w:val="86"/>
        <w:numPr>
          <w:ilvl w:val="0"/>
          <w:numId w:val="0"/>
        </w:numPr>
        <w:spacing w:before="72" w:beforeLines="30" w:after="72" w:afterLines="30" w:line="240" w:lineRule="auto"/>
        <w:rPr>
          <w:rFonts w:ascii="Times New Roman" w:hAnsi="Times New Roman" w:eastAsia="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Torna-se público que o Município de Caracol/MS por meio do setor de Licitações  sediado na Avenida Libindo Ferreira Leite  251 Centro Caracol/MS realizará licitação, </w:t>
      </w:r>
      <w:r>
        <w:rPr>
          <w:rFonts w:ascii="Times New Roman" w:hAnsi="Times New Roman"/>
          <w:b/>
          <w:bCs/>
          <w:color w:val="000000" w:themeColor="text1"/>
          <w:sz w:val="24"/>
          <w:szCs w:val="24"/>
          <w14:textFill>
            <w14:solidFill>
              <w14:schemeClr w14:val="tx1"/>
            </w14:solidFill>
          </w14:textFill>
        </w:rPr>
        <w:t>CONCORRÊNCIA,</w:t>
      </w:r>
      <w:r>
        <w:rPr>
          <w:rFonts w:ascii="Times New Roman" w:hAnsi="Times New Roman"/>
          <w:color w:val="000000" w:themeColor="text1"/>
          <w:sz w:val="24"/>
          <w:szCs w:val="24"/>
          <w14:textFill>
            <w14:solidFill>
              <w14:schemeClr w14:val="tx1"/>
            </w14:solidFill>
          </w14:textFill>
        </w:rPr>
        <w:t xml:space="preserve"> na forma </w:t>
      </w:r>
      <w:r>
        <w:rPr>
          <w:rFonts w:ascii="Times New Roman" w:hAnsi="Times New Roman"/>
          <w:b/>
          <w:bCs/>
          <w:color w:val="000000" w:themeColor="text1"/>
          <w:sz w:val="24"/>
          <w:szCs w:val="24"/>
          <w14:textFill>
            <w14:solidFill>
              <w14:schemeClr w14:val="tx1"/>
            </w14:solidFill>
          </w14:textFill>
        </w:rPr>
        <w:t>ELETRÔNICA</w:t>
      </w:r>
      <w:r>
        <w:rPr>
          <w:rFonts w:ascii="Times New Roman" w:hAnsi="Times New Roman"/>
          <w:color w:val="000000" w:themeColor="text1"/>
          <w:sz w:val="24"/>
          <w:szCs w:val="24"/>
          <w14:textFill>
            <w14:solidFill>
              <w14:schemeClr w14:val="tx1"/>
            </w14:solidFill>
          </w14:textFill>
        </w:rPr>
        <w:t xml:space="preserve">, nos termos da </w:t>
      </w:r>
      <w:r>
        <w:fldChar w:fldCharType="begin"/>
      </w:r>
      <w:r>
        <w:instrText xml:space="preserve"> HYPERLINK "http://www.planalto.gov.br/ccivil_03/_ato2019-2022/2021/lei/L14133.htm" </w:instrText>
      </w:r>
      <w:r>
        <w:fldChar w:fldCharType="separate"/>
      </w:r>
      <w:r>
        <w:rPr>
          <w:rStyle w:val="17"/>
          <w:rFonts w:ascii="Times New Roman" w:hAnsi="Times New Roman"/>
          <w:color w:val="000000" w:themeColor="text1"/>
          <w:sz w:val="24"/>
          <w:szCs w:val="24"/>
          <w14:textFill>
            <w14:solidFill>
              <w14:schemeClr w14:val="tx1"/>
            </w14:solidFill>
          </w14:textFill>
        </w:rPr>
        <w:t>Lei nº 14.133, de 1º de abril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e demais legislação aplicável (disponíveis no link </w:t>
      </w:r>
      <w:r>
        <w:fldChar w:fldCharType="begin"/>
      </w:r>
      <w:r>
        <w:instrText xml:space="preserve"> HYPERLINK "https://pmcaracol.ms.gov.br/category/lei-14133/" </w:instrText>
      </w:r>
      <w:r>
        <w:fldChar w:fldCharType="separate"/>
      </w:r>
      <w:r>
        <w:rPr>
          <w:rStyle w:val="17"/>
          <w:rFonts w:ascii="Times New Roman" w:hAnsi="Times New Roman"/>
          <w:color w:val="000000" w:themeColor="text1"/>
          <w:sz w:val="24"/>
          <w:szCs w:val="24"/>
          <w14:textFill>
            <w14:solidFill>
              <w14:schemeClr w14:val="tx1"/>
            </w14:solidFill>
          </w14:textFill>
        </w:rPr>
        <w:t>https://pmcaracol.ms.gov.br/category/lei-14133/</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 e ainda, de acordo com as condições estabelecidas neste Edital</w:t>
      </w:r>
      <w:r>
        <w:rPr>
          <w:rFonts w:ascii="Times New Roman" w:hAnsi="Times New Roman" w:eastAsia="Times New Roman"/>
          <w:color w:val="000000" w:themeColor="text1"/>
          <w:sz w:val="24"/>
          <w:szCs w:val="24"/>
          <w14:textFill>
            <w14:solidFill>
              <w14:schemeClr w14:val="tx1"/>
            </w14:solidFill>
          </w14:textFill>
        </w:rPr>
        <w:t>.</w:t>
      </w:r>
    </w:p>
    <w:p w14:paraId="20546074">
      <w:pPr>
        <w:pStyle w:val="86"/>
        <w:numPr>
          <w:ilvl w:val="0"/>
          <w:numId w:val="0"/>
        </w:numPr>
        <w:spacing w:before="72" w:beforeLines="30" w:after="72" w:afterLines="30" w:line="240" w:lineRule="auto"/>
        <w:rPr>
          <w:rFonts w:ascii="Times New Roman" w:hAnsi="Times New Roman" w:eastAsia="Times New Roman"/>
          <w:color w:val="000000" w:themeColor="text1"/>
          <w:sz w:val="24"/>
          <w:szCs w:val="24"/>
          <w14:textFill>
            <w14:solidFill>
              <w14:schemeClr w14:val="tx1"/>
            </w14:solidFill>
          </w14:textFill>
        </w:rPr>
      </w:pPr>
    </w:p>
    <w:p w14:paraId="6004F40B">
      <w:pPr>
        <w:spacing w:line="276" w:lineRule="auto"/>
        <w:jc w:val="both"/>
        <w:rPr>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Critério de Julgamento: </w:t>
      </w:r>
      <w:r>
        <w:rPr>
          <w:color w:val="000000" w:themeColor="text1"/>
          <w:szCs w:val="24"/>
          <w14:textFill>
            <w14:solidFill>
              <w14:schemeClr w14:val="tx1"/>
            </w14:solidFill>
          </w14:textFill>
        </w:rPr>
        <w:t>MAIOR DESCONTO GLOBAL</w:t>
      </w:r>
    </w:p>
    <w:p w14:paraId="391322C9">
      <w:pPr>
        <w:shd w:val="clear" w:color="auto" w:fill="FFFFFF"/>
        <w:spacing w:before="30" w:after="30"/>
        <w:jc w:val="both"/>
        <w:rPr>
          <w:color w:val="000000" w:themeColor="text1"/>
          <w:szCs w:val="24"/>
          <w14:textFill>
            <w14:solidFill>
              <w14:schemeClr w14:val="tx1"/>
            </w14:solidFill>
          </w14:textFill>
        </w:rPr>
      </w:pPr>
    </w:p>
    <w:p w14:paraId="2E2A5C3A">
      <w:pPr>
        <w:shd w:val="clear" w:color="auto" w:fill="FFFFFF"/>
        <w:spacing w:before="30" w:after="30"/>
        <w:jc w:val="both"/>
        <w:rPr>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Modo de Disputa: </w:t>
      </w:r>
      <w:r>
        <w:rPr>
          <w:color w:val="000000" w:themeColor="text1"/>
          <w:szCs w:val="24"/>
          <w14:textFill>
            <w14:solidFill>
              <w14:schemeClr w14:val="tx1"/>
            </w14:solidFill>
          </w14:textFill>
        </w:rPr>
        <w:t>Aberto</w:t>
      </w:r>
    </w:p>
    <w:p w14:paraId="2A20E36E">
      <w:pPr>
        <w:shd w:val="clear" w:color="auto" w:fill="FFFFFF"/>
        <w:spacing w:before="30" w:after="30"/>
        <w:jc w:val="both"/>
        <w:rPr>
          <w:rStyle w:val="17"/>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Endereço / Plataforma de Disputa: </w:t>
      </w:r>
      <w:r>
        <w:fldChar w:fldCharType="begin"/>
      </w:r>
      <w:r>
        <w:instrText xml:space="preserve"> HYPERLINK "https://bll.org.br/" </w:instrText>
      </w:r>
      <w:r>
        <w:fldChar w:fldCharType="separate"/>
      </w:r>
      <w:r>
        <w:rPr>
          <w:rStyle w:val="17"/>
          <w:color w:val="000000" w:themeColor="text1"/>
          <w:szCs w:val="24"/>
          <w14:textFill>
            <w14:solidFill>
              <w14:schemeClr w14:val="tx1"/>
            </w14:solidFill>
          </w14:textFill>
        </w:rPr>
        <w:t>https://bll.org.br/</w:t>
      </w:r>
      <w:r>
        <w:rPr>
          <w:rStyle w:val="17"/>
          <w:color w:val="000000" w:themeColor="text1"/>
          <w:szCs w:val="24"/>
          <w14:textFill>
            <w14:solidFill>
              <w14:schemeClr w14:val="tx1"/>
            </w14:solidFill>
          </w14:textFill>
        </w:rPr>
        <w:fldChar w:fldCharType="end"/>
      </w:r>
    </w:p>
    <w:p w14:paraId="4AC1BBF1">
      <w:pPr>
        <w:spacing w:before="288" w:beforeLines="120" w:after="288" w:afterLines="120"/>
        <w:jc w:val="both"/>
        <w:rPr>
          <w:b/>
          <w:bCs/>
          <w:color w:val="000000" w:themeColor="text1"/>
          <w:szCs w:val="24"/>
          <w:highlight w:val="none"/>
          <w14:textFill>
            <w14:solidFill>
              <w14:schemeClr w14:val="tx1"/>
            </w14:solidFill>
          </w14:textFill>
        </w:rPr>
      </w:pPr>
      <w:r>
        <w:rPr>
          <w:b/>
          <w:color w:val="000000" w:themeColor="text1"/>
          <w:szCs w:val="24"/>
          <w14:textFill>
            <w14:solidFill>
              <w14:schemeClr w14:val="tx1"/>
            </w14:solidFill>
          </w14:textFill>
        </w:rPr>
        <w:t>Data da realização do certame</w:t>
      </w:r>
      <w:r>
        <w:rPr>
          <w:bCs/>
          <w:color w:val="000000" w:themeColor="text1"/>
          <w:szCs w:val="24"/>
          <w:highlight w:val="none"/>
          <w14:textFill>
            <w14:solidFill>
              <w14:schemeClr w14:val="tx1"/>
            </w14:solidFill>
          </w14:textFill>
        </w:rPr>
        <w:t>:</w:t>
      </w:r>
      <w:r>
        <w:rPr>
          <w:rFonts w:hint="default"/>
          <w:bCs/>
          <w:color w:val="000000" w:themeColor="text1"/>
          <w:szCs w:val="24"/>
          <w:highlight w:val="none"/>
          <w:lang w:val="pt-BR"/>
          <w14:textFill>
            <w14:solidFill>
              <w14:schemeClr w14:val="tx1"/>
            </w14:solidFill>
          </w14:textFill>
        </w:rPr>
        <w:t>13/03</w:t>
      </w:r>
      <w:r>
        <w:rPr>
          <w:bCs/>
          <w:color w:val="000000" w:themeColor="text1"/>
          <w:szCs w:val="24"/>
          <w:highlight w:val="none"/>
          <w14:textFill>
            <w14:solidFill>
              <w14:schemeClr w14:val="tx1"/>
            </w14:solidFill>
          </w14:textFill>
        </w:rPr>
        <w:t xml:space="preserve">/2026 às </w:t>
      </w:r>
      <w:r>
        <w:rPr>
          <w:rFonts w:hint="default"/>
          <w:bCs/>
          <w:color w:val="000000" w:themeColor="text1"/>
          <w:szCs w:val="24"/>
          <w:highlight w:val="none"/>
          <w:lang w:val="pt-BR"/>
          <w14:textFill>
            <w14:solidFill>
              <w14:schemeClr w14:val="tx1"/>
            </w14:solidFill>
          </w14:textFill>
        </w:rPr>
        <w:t>09</w:t>
      </w:r>
      <w:r>
        <w:rPr>
          <w:bCs/>
          <w:color w:val="000000" w:themeColor="text1"/>
          <w:szCs w:val="24"/>
          <w:highlight w:val="none"/>
          <w14:textFill>
            <w14:solidFill>
              <w14:schemeClr w14:val="tx1"/>
            </w14:solidFill>
          </w14:textFill>
        </w:rPr>
        <w:t xml:space="preserve">:00 horas </w:t>
      </w:r>
      <w:r>
        <w:rPr>
          <w:color w:val="000000" w:themeColor="text1"/>
          <w:szCs w:val="24"/>
          <w:highlight w:val="none"/>
          <w14:textFill>
            <w14:solidFill>
              <w14:schemeClr w14:val="tx1"/>
            </w14:solidFill>
          </w14:textFill>
        </w:rPr>
        <w:t>(Horário de Brasília - DF).</w:t>
      </w:r>
    </w:p>
    <w:p w14:paraId="0553E33F">
      <w:pPr>
        <w:pStyle w:val="70"/>
        <w:spacing w:before="72" w:beforeLines="30" w:after="72" w:afterLines="30"/>
        <w:ind w:left="0" w:firstLine="0"/>
        <w:rPr>
          <w:rFonts w:ascii="Times New Roman" w:hAnsi="Times New Roman"/>
          <w:color w:val="000000" w:themeColor="text1"/>
          <w:sz w:val="24"/>
          <w:szCs w:val="24"/>
          <w:lang w:eastAsia="en-US"/>
          <w14:textFill>
            <w14:solidFill>
              <w14:schemeClr w14:val="tx1"/>
            </w14:solidFill>
          </w14:textFill>
        </w:rPr>
      </w:pPr>
      <w:bookmarkStart w:id="1" w:name="_Toc135469195"/>
      <w:r>
        <w:rPr>
          <w:rFonts w:ascii="Times New Roman" w:hAnsi="Times New Roman"/>
          <w:color w:val="000000" w:themeColor="text1"/>
          <w:sz w:val="24"/>
          <w:szCs w:val="24"/>
          <w:lang w:eastAsia="en-US"/>
          <w14:textFill>
            <w14:solidFill>
              <w14:schemeClr w14:val="tx1"/>
            </w14:solidFill>
          </w14:textFill>
        </w:rPr>
        <w:t xml:space="preserve">DO </w:t>
      </w:r>
      <w:r>
        <w:rPr>
          <w:rFonts w:ascii="Times New Roman" w:hAnsi="Times New Roman"/>
          <w:color w:val="000000" w:themeColor="text1"/>
          <w:sz w:val="24"/>
          <w:szCs w:val="24"/>
          <w14:textFill>
            <w14:solidFill>
              <w14:schemeClr w14:val="tx1"/>
            </w14:solidFill>
          </w14:textFill>
        </w:rPr>
        <w:t>OBJETO</w:t>
      </w:r>
      <w:bookmarkEnd w:id="1"/>
      <w:bookmarkStart w:id="52" w:name="_GoBack"/>
      <w:bookmarkEnd w:id="52"/>
    </w:p>
    <w:p w14:paraId="46DAC082">
      <w:pPr>
        <w:autoSpaceDE w:val="0"/>
        <w:autoSpaceDN w:val="0"/>
        <w:adjustRightInd w:val="0"/>
        <w:jc w:val="both"/>
        <w:rPr>
          <w:b/>
          <w:bCs/>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1.1. O objeto da presente licitação é a </w:t>
      </w:r>
      <w:r>
        <w:rPr>
          <w:b/>
          <w:bCs/>
          <w:color w:val="000000" w:themeColor="text1"/>
          <w:szCs w:val="24"/>
          <w14:textFill>
            <w14:solidFill>
              <w14:schemeClr w14:val="tx1"/>
            </w14:solidFill>
          </w14:textFill>
        </w:rPr>
        <w:t>CONTRATAÇÃO DE EMPRESA PARA AMPLIAÇÃO DA ESCOLA INÁCIO SILVESTRE MONTEIRO, LOCALIZADA NO DISTRITO DO ALTO CARACOL, NO MUNICÍPIO DE CARACOL/MS.</w:t>
      </w:r>
    </w:p>
    <w:p w14:paraId="36DAE5FC">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06B5B31E">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2.</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 xml:space="preserve">DO REGIME DE EXECUÇÃO, DO CRITÉRIO DE JULGAMENTO, DO MODO DE DISPUTA E DO ORÇAMENTO </w:t>
      </w:r>
    </w:p>
    <w:p w14:paraId="03A52CB7">
      <w:pPr>
        <w:pStyle w:val="70"/>
        <w:numPr>
          <w:ilvl w:val="0"/>
          <w:numId w:val="0"/>
        </w:numPr>
        <w:spacing w:before="72" w:beforeLines="30" w:after="72" w:afterLines="30"/>
        <w:rPr>
          <w:rFonts w:ascii="Times New Roman" w:hAnsi="Times New Roman"/>
          <w:b w:val="0"/>
          <w:bCs w:val="0"/>
          <w:color w:val="000000" w:themeColor="text1"/>
          <w:sz w:val="24"/>
          <w:szCs w:val="24"/>
          <w14:textFill>
            <w14:solidFill>
              <w14:schemeClr w14:val="tx1"/>
            </w14:solidFill>
          </w14:textFill>
        </w:rPr>
      </w:pPr>
      <w:r>
        <w:rPr>
          <w:rFonts w:ascii="Times New Roman" w:hAnsi="Times New Roman"/>
          <w:b w:val="0"/>
          <w:color w:val="000000" w:themeColor="text1"/>
          <w:sz w:val="24"/>
          <w:szCs w:val="24"/>
          <w14:textFill>
            <w14:solidFill>
              <w14:schemeClr w14:val="tx1"/>
            </w14:solidFill>
          </w14:textFill>
        </w:rPr>
        <w:t>2</w:t>
      </w:r>
      <w:r>
        <w:rPr>
          <w:rFonts w:ascii="Times New Roman" w:hAnsi="Times New Roman"/>
          <w:b w:val="0"/>
          <w:bCs w:val="0"/>
          <w:color w:val="000000" w:themeColor="text1"/>
          <w:sz w:val="24"/>
          <w:szCs w:val="24"/>
          <w14:textFill>
            <w14:solidFill>
              <w14:schemeClr w14:val="tx1"/>
            </w14:solidFill>
          </w14:textFill>
        </w:rPr>
        <w:t xml:space="preserve">.1. O regime de execução contratual será o de </w:t>
      </w:r>
      <w:r>
        <w:rPr>
          <w:rFonts w:ascii="Times New Roman" w:hAnsi="Times New Roman"/>
          <w:color w:val="000000" w:themeColor="text1"/>
          <w:sz w:val="24"/>
          <w:szCs w:val="24"/>
          <w14:textFill>
            <w14:solidFill>
              <w14:schemeClr w14:val="tx1"/>
            </w14:solidFill>
          </w14:textFill>
        </w:rPr>
        <w:t xml:space="preserve">EMPREITADA POR PREÇO UNITÁRIO </w:t>
      </w:r>
    </w:p>
    <w:p w14:paraId="72B11F66">
      <w:pPr>
        <w:pStyle w:val="70"/>
        <w:numPr>
          <w:ilvl w:val="0"/>
          <w:numId w:val="0"/>
        </w:numPr>
        <w:spacing w:before="72" w:beforeLines="30" w:after="72" w:afterLines="30"/>
        <w:rPr>
          <w:rFonts w:ascii="Times New Roman" w:hAnsi="Times New Roman"/>
          <w:b w:val="0"/>
          <w:bCs w:val="0"/>
          <w:color w:val="000000" w:themeColor="text1"/>
          <w:sz w:val="24"/>
          <w:szCs w:val="24"/>
          <w14:textFill>
            <w14:solidFill>
              <w14:schemeClr w14:val="tx1"/>
            </w14:solidFill>
          </w14:textFill>
        </w:rPr>
      </w:pPr>
      <w:r>
        <w:rPr>
          <w:rFonts w:ascii="Times New Roman" w:hAnsi="Times New Roman"/>
          <w:b w:val="0"/>
          <w:bCs w:val="0"/>
          <w:color w:val="000000" w:themeColor="text1"/>
          <w:sz w:val="24"/>
          <w:szCs w:val="24"/>
          <w14:textFill>
            <w14:solidFill>
              <w14:schemeClr w14:val="tx1"/>
            </w14:solidFill>
          </w14:textFill>
        </w:rPr>
        <w:t xml:space="preserve">2.2. O critério de julgamento será o de </w:t>
      </w:r>
      <w:r>
        <w:rPr>
          <w:rFonts w:ascii="Times New Roman" w:hAnsi="Times New Roman"/>
          <w:color w:val="000000" w:themeColor="text1"/>
          <w:sz w:val="24"/>
          <w:szCs w:val="24"/>
          <w14:textFill>
            <w14:solidFill>
              <w14:schemeClr w14:val="tx1"/>
            </w14:solidFill>
          </w14:textFill>
        </w:rPr>
        <w:t>MAIOR DESCONTO GLOBAL.</w:t>
      </w:r>
      <w:r>
        <w:rPr>
          <w:rFonts w:ascii="Times New Roman" w:hAnsi="Times New Roman"/>
          <w:b w:val="0"/>
          <w:bCs w:val="0"/>
          <w:color w:val="000000" w:themeColor="text1"/>
          <w:sz w:val="24"/>
          <w:szCs w:val="24"/>
          <w14:textFill>
            <w14:solidFill>
              <w14:schemeClr w14:val="tx1"/>
            </w14:solidFill>
          </w14:textFill>
        </w:rPr>
        <w:t xml:space="preserve"> </w:t>
      </w:r>
    </w:p>
    <w:p w14:paraId="100E91BB">
      <w:pPr>
        <w:pStyle w:val="70"/>
        <w:numPr>
          <w:ilvl w:val="0"/>
          <w:numId w:val="0"/>
        </w:numPr>
        <w:spacing w:before="72" w:beforeLines="30" w:after="72" w:afterLines="30"/>
        <w:rPr>
          <w:rFonts w:ascii="Times New Roman" w:hAnsi="Times New Roman"/>
          <w:b w:val="0"/>
          <w:bCs w:val="0"/>
          <w:color w:val="000000" w:themeColor="text1"/>
          <w:sz w:val="24"/>
          <w:szCs w:val="24"/>
          <w14:textFill>
            <w14:solidFill>
              <w14:schemeClr w14:val="tx1"/>
            </w14:solidFill>
          </w14:textFill>
        </w:rPr>
      </w:pPr>
      <w:r>
        <w:rPr>
          <w:rFonts w:ascii="Times New Roman" w:hAnsi="Times New Roman"/>
          <w:b w:val="0"/>
          <w:bCs w:val="0"/>
          <w:color w:val="000000" w:themeColor="text1"/>
          <w:sz w:val="24"/>
          <w:szCs w:val="24"/>
          <w14:textFill>
            <w14:solidFill>
              <w14:schemeClr w14:val="tx1"/>
            </w14:solidFill>
          </w14:textFill>
        </w:rPr>
        <w:t xml:space="preserve">2.3. O modo de disputa será aberto. </w:t>
      </w:r>
    </w:p>
    <w:p w14:paraId="19F96836">
      <w:pPr>
        <w:pStyle w:val="70"/>
        <w:numPr>
          <w:ilvl w:val="0"/>
          <w:numId w:val="0"/>
        </w:numPr>
        <w:spacing w:before="72" w:beforeLines="30" w:after="72" w:afterLines="30"/>
        <w:rPr>
          <w:rFonts w:ascii="Times New Roman" w:hAnsi="Times New Roman"/>
          <w:b w:val="0"/>
          <w:bCs w:val="0"/>
          <w:color w:val="000000" w:themeColor="text1"/>
          <w:sz w:val="24"/>
          <w:szCs w:val="24"/>
          <w14:textFill>
            <w14:solidFill>
              <w14:schemeClr w14:val="tx1"/>
            </w14:solidFill>
          </w14:textFill>
        </w:rPr>
      </w:pPr>
      <w:r>
        <w:rPr>
          <w:rFonts w:ascii="Times New Roman" w:hAnsi="Times New Roman"/>
          <w:b w:val="0"/>
          <w:bCs w:val="0"/>
          <w:color w:val="000000" w:themeColor="text1"/>
          <w:sz w:val="24"/>
          <w:szCs w:val="24"/>
          <w14:textFill>
            <w14:solidFill>
              <w14:schemeClr w14:val="tx1"/>
            </w14:solidFill>
          </w14:textFill>
        </w:rPr>
        <w:t>2.4. O valor estimado da licitação é NÃO SIGILOSO</w:t>
      </w:r>
    </w:p>
    <w:p w14:paraId="101F98B7">
      <w:pPr>
        <w:pStyle w:val="70"/>
        <w:numPr>
          <w:ilvl w:val="0"/>
          <w:numId w:val="0"/>
        </w:numPr>
        <w:spacing w:before="72" w:beforeLines="30" w:after="72" w:afterLines="30"/>
        <w:rPr>
          <w:rFonts w:ascii="Times New Roman" w:hAnsi="Times New Roman"/>
          <w:b w:val="0"/>
          <w:bCs w:val="0"/>
          <w:color w:val="000000" w:themeColor="text1"/>
          <w:sz w:val="24"/>
          <w:szCs w:val="24"/>
          <w14:textFill>
            <w14:solidFill>
              <w14:schemeClr w14:val="tx1"/>
            </w14:solidFill>
          </w14:textFill>
        </w:rPr>
      </w:pPr>
      <w:r>
        <w:rPr>
          <w:rFonts w:ascii="Times New Roman" w:hAnsi="Times New Roman"/>
          <w:b w:val="0"/>
          <w:bCs w:val="0"/>
          <w:color w:val="000000" w:themeColor="text1"/>
          <w:sz w:val="24"/>
          <w:szCs w:val="24"/>
          <w14:textFill>
            <w14:solidFill>
              <w14:schemeClr w14:val="tx1"/>
            </w14:solidFill>
          </w14:textFill>
        </w:rPr>
        <w:t>2.5. A data-base do orçamento é de setembro/2025 (Tabela SINAPI).</w:t>
      </w:r>
    </w:p>
    <w:p w14:paraId="273267B1">
      <w:pPr>
        <w:spacing w:before="72" w:beforeLines="30" w:after="72" w:afterLines="30"/>
        <w:jc w:val="both"/>
        <w:rPr>
          <w:color w:val="000000" w:themeColor="text1"/>
          <w:szCs w:val="24"/>
          <w14:textFill>
            <w14:solidFill>
              <w14:schemeClr w14:val="tx1"/>
            </w14:solidFill>
          </w14:textFill>
        </w:rPr>
      </w:pPr>
    </w:p>
    <w:p w14:paraId="53C0C884">
      <w:pPr>
        <w:pStyle w:val="70"/>
        <w:numPr>
          <w:ilvl w:val="0"/>
          <w:numId w:val="5"/>
        </w:numPr>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DOS RECURSOS ORÇAMENTÁRIOS</w:t>
      </w:r>
    </w:p>
    <w:p w14:paraId="25D95A47">
      <w:pPr>
        <w:suppressAutoHyphens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3.1 As despesas decorrentes da presente contratação correrão à conta de recursos específicos consignados no orçamento do município, deste exercício, na dotação abaixo discriminada:</w:t>
      </w:r>
    </w:p>
    <w:p w14:paraId="1831D4C0">
      <w:pPr>
        <w:suppressAutoHyphens w:val="0"/>
        <w:spacing w:before="72" w:beforeLines="30" w:after="72" w:afterLines="30"/>
        <w:jc w:val="both"/>
        <w:rPr>
          <w:color w:val="000000" w:themeColor="text1"/>
          <w:szCs w:val="24"/>
          <w14:textFill>
            <w14:solidFill>
              <w14:schemeClr w14:val="tx1"/>
            </w14:solidFill>
          </w14:textFill>
        </w:rPr>
      </w:pPr>
    </w:p>
    <w:tbl>
      <w:tblPr>
        <w:tblStyle w:val="12"/>
        <w:tblW w:w="8931"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fixed"/>
        <w:tblCellMar>
          <w:top w:w="0" w:type="dxa"/>
          <w:left w:w="15" w:type="dxa"/>
          <w:bottom w:w="0" w:type="dxa"/>
          <w:right w:w="15" w:type="dxa"/>
        </w:tblCellMar>
      </w:tblPr>
      <w:tblGrid>
        <w:gridCol w:w="2248"/>
        <w:gridCol w:w="1843"/>
        <w:gridCol w:w="4840"/>
      </w:tblGrid>
      <w:tr w14:paraId="00F83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53" w:hRule="exact"/>
        </w:trPr>
        <w:tc>
          <w:tcPr>
            <w:tcW w:w="2248" w:type="dxa"/>
            <w:shd w:val="clear" w:color="auto" w:fill="FFFFFF" w:themeFill="background1"/>
            <w:vAlign w:val="center"/>
          </w:tcPr>
          <w:p w14:paraId="1E6925F8">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Cód Reduzido.:</w:t>
            </w:r>
          </w:p>
        </w:tc>
        <w:tc>
          <w:tcPr>
            <w:tcW w:w="6683" w:type="dxa"/>
            <w:gridSpan w:val="2"/>
            <w:shd w:val="clear" w:color="auto" w:fill="FFFFFF" w:themeFill="background1"/>
            <w:vAlign w:val="center"/>
          </w:tcPr>
          <w:p w14:paraId="16248738">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646</w:t>
            </w:r>
          </w:p>
          <w:p w14:paraId="42E25C35">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p>
        </w:tc>
      </w:tr>
      <w:tr w14:paraId="6E394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335" w:hRule="exact"/>
        </w:trPr>
        <w:tc>
          <w:tcPr>
            <w:tcW w:w="2248" w:type="dxa"/>
            <w:shd w:val="clear" w:color="auto" w:fill="FFFFFF" w:themeFill="background1"/>
          </w:tcPr>
          <w:p w14:paraId="4C834F9B">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Órgão unidade</w:t>
            </w:r>
          </w:p>
        </w:tc>
        <w:tc>
          <w:tcPr>
            <w:tcW w:w="1843" w:type="dxa"/>
            <w:shd w:val="clear" w:color="auto" w:fill="FFFFFF" w:themeFill="background1"/>
          </w:tcPr>
          <w:p w14:paraId="6491D95B">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05.001</w:t>
            </w:r>
          </w:p>
        </w:tc>
        <w:tc>
          <w:tcPr>
            <w:tcW w:w="4840" w:type="dxa"/>
            <w:shd w:val="clear" w:color="auto" w:fill="FFFFFF" w:themeFill="background1"/>
          </w:tcPr>
          <w:p w14:paraId="4A4C5A84">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Departamento de Educação</w:t>
            </w:r>
          </w:p>
        </w:tc>
      </w:tr>
      <w:tr w14:paraId="486CB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18" w:hRule="exact"/>
        </w:trPr>
        <w:tc>
          <w:tcPr>
            <w:tcW w:w="2248" w:type="dxa"/>
            <w:shd w:val="clear" w:color="auto" w:fill="FFFFFF" w:themeFill="background1"/>
          </w:tcPr>
          <w:p w14:paraId="267339E3">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Função</w:t>
            </w:r>
          </w:p>
        </w:tc>
        <w:tc>
          <w:tcPr>
            <w:tcW w:w="1843" w:type="dxa"/>
            <w:shd w:val="clear" w:color="auto" w:fill="FFFFFF" w:themeFill="background1"/>
          </w:tcPr>
          <w:p w14:paraId="2D808C69">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12</w:t>
            </w:r>
          </w:p>
        </w:tc>
        <w:tc>
          <w:tcPr>
            <w:tcW w:w="4840" w:type="dxa"/>
            <w:shd w:val="clear" w:color="auto" w:fill="FFFFFF" w:themeFill="background1"/>
          </w:tcPr>
          <w:p w14:paraId="379774E8">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Educação</w:t>
            </w:r>
          </w:p>
        </w:tc>
      </w:tr>
      <w:tr w14:paraId="0921B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28" w:hRule="exact"/>
        </w:trPr>
        <w:tc>
          <w:tcPr>
            <w:tcW w:w="2248" w:type="dxa"/>
            <w:shd w:val="clear" w:color="auto" w:fill="FFFFFF" w:themeFill="background1"/>
          </w:tcPr>
          <w:p w14:paraId="0EA23979">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Sub-função</w:t>
            </w:r>
          </w:p>
        </w:tc>
        <w:tc>
          <w:tcPr>
            <w:tcW w:w="1843" w:type="dxa"/>
            <w:shd w:val="clear" w:color="auto" w:fill="FFFFFF" w:themeFill="background1"/>
          </w:tcPr>
          <w:p w14:paraId="00838D6F">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361</w:t>
            </w:r>
          </w:p>
        </w:tc>
        <w:tc>
          <w:tcPr>
            <w:tcW w:w="4840" w:type="dxa"/>
            <w:shd w:val="clear" w:color="auto" w:fill="FFFFFF" w:themeFill="background1"/>
          </w:tcPr>
          <w:p w14:paraId="51D590D2">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Ensino Fundamental </w:t>
            </w:r>
          </w:p>
        </w:tc>
      </w:tr>
      <w:tr w14:paraId="2CAA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40" w:hRule="exact"/>
        </w:trPr>
        <w:tc>
          <w:tcPr>
            <w:tcW w:w="2248" w:type="dxa"/>
            <w:shd w:val="clear" w:color="auto" w:fill="FFFFFF" w:themeFill="background1"/>
          </w:tcPr>
          <w:p w14:paraId="6E4F3B57">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Programa</w:t>
            </w:r>
          </w:p>
        </w:tc>
        <w:tc>
          <w:tcPr>
            <w:tcW w:w="1843" w:type="dxa"/>
            <w:shd w:val="clear" w:color="auto" w:fill="FFFFFF" w:themeFill="background1"/>
          </w:tcPr>
          <w:p w14:paraId="70A46F4A">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0600</w:t>
            </w:r>
          </w:p>
        </w:tc>
        <w:tc>
          <w:tcPr>
            <w:tcW w:w="4840" w:type="dxa"/>
            <w:shd w:val="clear" w:color="auto" w:fill="FFFFFF" w:themeFill="background1"/>
          </w:tcPr>
          <w:p w14:paraId="6F4E5F4B">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Educação, Cultura, Esporte e Lazer para todos </w:t>
            </w:r>
          </w:p>
        </w:tc>
      </w:tr>
      <w:tr w14:paraId="0037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614" w:hRule="exact"/>
        </w:trPr>
        <w:tc>
          <w:tcPr>
            <w:tcW w:w="2248" w:type="dxa"/>
            <w:shd w:val="clear" w:color="auto" w:fill="FFFFFF" w:themeFill="background1"/>
          </w:tcPr>
          <w:p w14:paraId="2B8965D7">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Proj/ativ</w:t>
            </w:r>
          </w:p>
        </w:tc>
        <w:tc>
          <w:tcPr>
            <w:tcW w:w="1843" w:type="dxa"/>
            <w:shd w:val="clear" w:color="auto" w:fill="FFFFFF" w:themeFill="background1"/>
          </w:tcPr>
          <w:p w14:paraId="5114AA98">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1010</w:t>
            </w:r>
          </w:p>
        </w:tc>
        <w:tc>
          <w:tcPr>
            <w:tcW w:w="4840" w:type="dxa"/>
            <w:shd w:val="clear" w:color="auto" w:fill="FFFFFF" w:themeFill="background1"/>
          </w:tcPr>
          <w:p w14:paraId="20E1599E">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Construção/Reforma e ampliação de Unidades Escolares </w:t>
            </w:r>
          </w:p>
        </w:tc>
      </w:tr>
      <w:tr w14:paraId="55C8A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578" w:hRule="exact"/>
        </w:trPr>
        <w:tc>
          <w:tcPr>
            <w:tcW w:w="2248" w:type="dxa"/>
            <w:shd w:val="clear" w:color="auto" w:fill="FFFFFF" w:themeFill="background1"/>
          </w:tcPr>
          <w:p w14:paraId="7976486D">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Elemento de despesa</w:t>
            </w:r>
          </w:p>
        </w:tc>
        <w:tc>
          <w:tcPr>
            <w:tcW w:w="1843" w:type="dxa"/>
            <w:shd w:val="clear" w:color="auto" w:fill="FFFFFF" w:themeFill="background1"/>
          </w:tcPr>
          <w:p w14:paraId="49C56959">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4.4.90.51.00.00</w:t>
            </w:r>
          </w:p>
        </w:tc>
        <w:tc>
          <w:tcPr>
            <w:tcW w:w="4840" w:type="dxa"/>
            <w:shd w:val="clear" w:color="auto" w:fill="FFFFFF" w:themeFill="background1"/>
          </w:tcPr>
          <w:p w14:paraId="356744D6">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Obras e Instalações </w:t>
            </w:r>
          </w:p>
        </w:tc>
      </w:tr>
      <w:tr w14:paraId="19652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31" w:hRule="exact"/>
        </w:trPr>
        <w:tc>
          <w:tcPr>
            <w:tcW w:w="2248" w:type="dxa"/>
            <w:shd w:val="clear" w:color="auto" w:fill="FFFFFF" w:themeFill="background1"/>
          </w:tcPr>
          <w:p w14:paraId="0DB5BC42">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Sub elemento</w:t>
            </w:r>
          </w:p>
        </w:tc>
        <w:tc>
          <w:tcPr>
            <w:tcW w:w="1843" w:type="dxa"/>
            <w:shd w:val="clear" w:color="auto" w:fill="FFFFFF" w:themeFill="background1"/>
          </w:tcPr>
          <w:p w14:paraId="1003F942">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99</w:t>
            </w:r>
          </w:p>
        </w:tc>
        <w:tc>
          <w:tcPr>
            <w:tcW w:w="4840" w:type="dxa"/>
            <w:shd w:val="clear" w:color="auto" w:fill="FFFFFF" w:themeFill="background1"/>
          </w:tcPr>
          <w:p w14:paraId="037E252F">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OUTRAS OBRAS E INSTALAÇÕES</w:t>
            </w:r>
          </w:p>
        </w:tc>
      </w:tr>
      <w:tr w14:paraId="7E443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30" w:hRule="exact"/>
        </w:trPr>
        <w:tc>
          <w:tcPr>
            <w:tcW w:w="2248" w:type="dxa"/>
            <w:shd w:val="clear" w:color="auto" w:fill="FFFFFF" w:themeFill="background1"/>
          </w:tcPr>
          <w:p w14:paraId="584E77DF">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f. de recurso</w:t>
            </w:r>
          </w:p>
        </w:tc>
        <w:tc>
          <w:tcPr>
            <w:tcW w:w="1843" w:type="dxa"/>
            <w:shd w:val="clear" w:color="auto" w:fill="FFFFFF" w:themeFill="background1"/>
          </w:tcPr>
          <w:p w14:paraId="55597CC7">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1550</w:t>
            </w:r>
          </w:p>
        </w:tc>
        <w:tc>
          <w:tcPr>
            <w:tcW w:w="4840" w:type="dxa"/>
            <w:shd w:val="clear" w:color="auto" w:fill="FFFFFF" w:themeFill="background1"/>
          </w:tcPr>
          <w:p w14:paraId="6514C52B">
            <w:pPr>
              <w:pStyle w:val="223"/>
              <w:numPr>
                <w:ilvl w:val="0"/>
                <w:numId w:val="0"/>
              </w:numPr>
              <w:spacing w:before="72" w:beforeLines="30" w:after="72" w:afterLines="30"/>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Transferência do salário-educação </w:t>
            </w:r>
          </w:p>
          <w:p w14:paraId="68DCEB85">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p>
        </w:tc>
      </w:tr>
      <w:tr w14:paraId="26C61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20" w:hRule="exact"/>
        </w:trPr>
        <w:tc>
          <w:tcPr>
            <w:tcW w:w="2248" w:type="dxa"/>
            <w:shd w:val="clear" w:color="auto" w:fill="FFFFFF" w:themeFill="background1"/>
          </w:tcPr>
          <w:p w14:paraId="1953E78C">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Desdobramento</w:t>
            </w:r>
          </w:p>
        </w:tc>
        <w:tc>
          <w:tcPr>
            <w:tcW w:w="1843" w:type="dxa"/>
            <w:shd w:val="clear" w:color="auto" w:fill="FFFFFF" w:themeFill="background1"/>
          </w:tcPr>
          <w:p w14:paraId="42E6B2D0">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0007000</w:t>
            </w:r>
          </w:p>
        </w:tc>
        <w:tc>
          <w:tcPr>
            <w:tcW w:w="4840" w:type="dxa"/>
            <w:shd w:val="clear" w:color="auto" w:fill="FFFFFF" w:themeFill="background1"/>
          </w:tcPr>
          <w:p w14:paraId="27669DF2">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Sem código de acompanhamento </w:t>
            </w:r>
          </w:p>
        </w:tc>
      </w:tr>
    </w:tbl>
    <w:p w14:paraId="17B5EF39">
      <w:pPr>
        <w:pStyle w:val="70"/>
        <w:numPr>
          <w:ilvl w:val="0"/>
          <w:numId w:val="0"/>
        </w:numPr>
        <w:spacing w:before="72" w:beforeLines="30" w:after="72" w:afterLines="30"/>
        <w:rPr>
          <w:rFonts w:ascii="Times New Roman" w:hAnsi="Times New Roman"/>
          <w:b w:val="0"/>
          <w:color w:val="000000" w:themeColor="text1"/>
          <w:sz w:val="24"/>
          <w:szCs w:val="24"/>
          <w14:textFill>
            <w14:solidFill>
              <w14:schemeClr w14:val="tx1"/>
            </w14:solidFill>
          </w14:textFill>
        </w:rPr>
      </w:pPr>
      <w:bookmarkStart w:id="2" w:name="_Toc135469197"/>
    </w:p>
    <w:tbl>
      <w:tblPr>
        <w:tblStyle w:val="12"/>
        <w:tblW w:w="8931"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fixed"/>
        <w:tblCellMar>
          <w:top w:w="0" w:type="dxa"/>
          <w:left w:w="15" w:type="dxa"/>
          <w:bottom w:w="0" w:type="dxa"/>
          <w:right w:w="15" w:type="dxa"/>
        </w:tblCellMar>
      </w:tblPr>
      <w:tblGrid>
        <w:gridCol w:w="2248"/>
        <w:gridCol w:w="1843"/>
        <w:gridCol w:w="4840"/>
      </w:tblGrid>
      <w:tr w14:paraId="3A2B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53" w:hRule="exact"/>
        </w:trPr>
        <w:tc>
          <w:tcPr>
            <w:tcW w:w="2248" w:type="dxa"/>
            <w:shd w:val="clear" w:color="auto" w:fill="FFFFFF" w:themeFill="background1"/>
            <w:vAlign w:val="center"/>
          </w:tcPr>
          <w:p w14:paraId="39A7215E">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Cód Reduzido.:</w:t>
            </w:r>
          </w:p>
        </w:tc>
        <w:tc>
          <w:tcPr>
            <w:tcW w:w="6683" w:type="dxa"/>
            <w:gridSpan w:val="2"/>
            <w:shd w:val="clear" w:color="auto" w:fill="FFFFFF" w:themeFill="background1"/>
            <w:vAlign w:val="center"/>
          </w:tcPr>
          <w:p w14:paraId="5BB7EDCF">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704</w:t>
            </w:r>
          </w:p>
        </w:tc>
      </w:tr>
      <w:tr w14:paraId="46070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335" w:hRule="exact"/>
        </w:trPr>
        <w:tc>
          <w:tcPr>
            <w:tcW w:w="2248" w:type="dxa"/>
            <w:shd w:val="clear" w:color="auto" w:fill="FFFFFF" w:themeFill="background1"/>
          </w:tcPr>
          <w:p w14:paraId="21FDF551">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Órgão unidade</w:t>
            </w:r>
          </w:p>
        </w:tc>
        <w:tc>
          <w:tcPr>
            <w:tcW w:w="1843" w:type="dxa"/>
            <w:shd w:val="clear" w:color="auto" w:fill="FFFFFF" w:themeFill="background1"/>
          </w:tcPr>
          <w:p w14:paraId="26B8F6C6">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05.001</w:t>
            </w:r>
          </w:p>
        </w:tc>
        <w:tc>
          <w:tcPr>
            <w:tcW w:w="4840" w:type="dxa"/>
            <w:shd w:val="clear" w:color="auto" w:fill="FFFFFF" w:themeFill="background1"/>
          </w:tcPr>
          <w:p w14:paraId="20DFD54F">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Departamento de Educação </w:t>
            </w:r>
          </w:p>
        </w:tc>
      </w:tr>
      <w:tr w14:paraId="77B40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PrEx>
        <w:trPr>
          <w:trHeight w:val="418" w:hRule="exact"/>
        </w:trPr>
        <w:tc>
          <w:tcPr>
            <w:tcW w:w="2248" w:type="dxa"/>
            <w:shd w:val="clear" w:color="auto" w:fill="FFFFFF" w:themeFill="background1"/>
          </w:tcPr>
          <w:p w14:paraId="16ABFEA8">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Funçao</w:t>
            </w:r>
          </w:p>
        </w:tc>
        <w:tc>
          <w:tcPr>
            <w:tcW w:w="1843" w:type="dxa"/>
            <w:shd w:val="clear" w:color="auto" w:fill="FFFFFF" w:themeFill="background1"/>
          </w:tcPr>
          <w:p w14:paraId="5F551F50">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12</w:t>
            </w:r>
          </w:p>
        </w:tc>
        <w:tc>
          <w:tcPr>
            <w:tcW w:w="4840" w:type="dxa"/>
            <w:shd w:val="clear" w:color="auto" w:fill="FFFFFF" w:themeFill="background1"/>
          </w:tcPr>
          <w:p w14:paraId="5F9F2750">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Educação </w:t>
            </w:r>
          </w:p>
        </w:tc>
      </w:tr>
      <w:tr w14:paraId="1C2F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PrEx>
        <w:trPr>
          <w:trHeight w:val="428" w:hRule="exact"/>
        </w:trPr>
        <w:tc>
          <w:tcPr>
            <w:tcW w:w="2248" w:type="dxa"/>
            <w:shd w:val="clear" w:color="auto" w:fill="FFFFFF" w:themeFill="background1"/>
          </w:tcPr>
          <w:p w14:paraId="517478AC">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Sub-função</w:t>
            </w:r>
          </w:p>
        </w:tc>
        <w:tc>
          <w:tcPr>
            <w:tcW w:w="1843" w:type="dxa"/>
            <w:shd w:val="clear" w:color="auto" w:fill="FFFFFF" w:themeFill="background1"/>
          </w:tcPr>
          <w:p w14:paraId="7C464967">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361</w:t>
            </w:r>
          </w:p>
        </w:tc>
        <w:tc>
          <w:tcPr>
            <w:tcW w:w="4840" w:type="dxa"/>
            <w:shd w:val="clear" w:color="auto" w:fill="FFFFFF" w:themeFill="background1"/>
          </w:tcPr>
          <w:p w14:paraId="2F7AFC57">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Ensino fundamental </w:t>
            </w:r>
          </w:p>
        </w:tc>
      </w:tr>
      <w:tr w14:paraId="6F4D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29" w:hRule="exact"/>
        </w:trPr>
        <w:tc>
          <w:tcPr>
            <w:tcW w:w="2248" w:type="dxa"/>
            <w:shd w:val="clear" w:color="auto" w:fill="FFFFFF" w:themeFill="background1"/>
          </w:tcPr>
          <w:p w14:paraId="5FF35B31">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Programa</w:t>
            </w:r>
          </w:p>
        </w:tc>
        <w:tc>
          <w:tcPr>
            <w:tcW w:w="1843" w:type="dxa"/>
            <w:shd w:val="clear" w:color="auto" w:fill="FFFFFF" w:themeFill="background1"/>
          </w:tcPr>
          <w:p w14:paraId="15FE5360">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0600</w:t>
            </w:r>
          </w:p>
        </w:tc>
        <w:tc>
          <w:tcPr>
            <w:tcW w:w="4840" w:type="dxa"/>
            <w:shd w:val="clear" w:color="auto" w:fill="FFFFFF" w:themeFill="background1"/>
          </w:tcPr>
          <w:p w14:paraId="58D144EB">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Educação, Cultura, Esporte e lazer para todos </w:t>
            </w:r>
          </w:p>
        </w:tc>
      </w:tr>
      <w:tr w14:paraId="3A311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614" w:hRule="exact"/>
        </w:trPr>
        <w:tc>
          <w:tcPr>
            <w:tcW w:w="2248" w:type="dxa"/>
            <w:shd w:val="clear" w:color="auto" w:fill="FFFFFF" w:themeFill="background1"/>
          </w:tcPr>
          <w:p w14:paraId="1656F17F">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Proj/ativ</w:t>
            </w:r>
          </w:p>
        </w:tc>
        <w:tc>
          <w:tcPr>
            <w:tcW w:w="1843" w:type="dxa"/>
            <w:shd w:val="clear" w:color="auto" w:fill="FFFFFF" w:themeFill="background1"/>
          </w:tcPr>
          <w:p w14:paraId="207B62FD">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1010</w:t>
            </w:r>
          </w:p>
        </w:tc>
        <w:tc>
          <w:tcPr>
            <w:tcW w:w="4840" w:type="dxa"/>
            <w:shd w:val="clear" w:color="auto" w:fill="FFFFFF" w:themeFill="background1"/>
          </w:tcPr>
          <w:p w14:paraId="3891532F">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Construção/Reforma e Ampliação de Unidades Escolares </w:t>
            </w:r>
          </w:p>
        </w:tc>
      </w:tr>
      <w:tr w14:paraId="14F5E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578" w:hRule="exact"/>
        </w:trPr>
        <w:tc>
          <w:tcPr>
            <w:tcW w:w="2248" w:type="dxa"/>
            <w:shd w:val="clear" w:color="auto" w:fill="FFFFFF" w:themeFill="background1"/>
          </w:tcPr>
          <w:p w14:paraId="07A5960B">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Elemento de despesa</w:t>
            </w:r>
          </w:p>
        </w:tc>
        <w:tc>
          <w:tcPr>
            <w:tcW w:w="1843" w:type="dxa"/>
            <w:shd w:val="clear" w:color="auto" w:fill="FFFFFF" w:themeFill="background1"/>
          </w:tcPr>
          <w:p w14:paraId="7679E3C2">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4.4.90.51.00.00</w:t>
            </w:r>
          </w:p>
        </w:tc>
        <w:tc>
          <w:tcPr>
            <w:tcW w:w="4840" w:type="dxa"/>
            <w:shd w:val="clear" w:color="auto" w:fill="FFFFFF" w:themeFill="background1"/>
          </w:tcPr>
          <w:p w14:paraId="3D23796C">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Obras e instalações </w:t>
            </w:r>
          </w:p>
        </w:tc>
      </w:tr>
      <w:tr w14:paraId="01352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31" w:hRule="exact"/>
        </w:trPr>
        <w:tc>
          <w:tcPr>
            <w:tcW w:w="2248" w:type="dxa"/>
            <w:shd w:val="clear" w:color="auto" w:fill="FFFFFF" w:themeFill="background1"/>
          </w:tcPr>
          <w:p w14:paraId="388919F6">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Sub elemento</w:t>
            </w:r>
          </w:p>
        </w:tc>
        <w:tc>
          <w:tcPr>
            <w:tcW w:w="1843" w:type="dxa"/>
            <w:shd w:val="clear" w:color="auto" w:fill="FFFFFF" w:themeFill="background1"/>
          </w:tcPr>
          <w:p w14:paraId="7EB5B3C7">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99</w:t>
            </w:r>
          </w:p>
        </w:tc>
        <w:tc>
          <w:tcPr>
            <w:tcW w:w="4840" w:type="dxa"/>
            <w:shd w:val="clear" w:color="auto" w:fill="FFFFFF" w:themeFill="background1"/>
          </w:tcPr>
          <w:p w14:paraId="1BBEC917">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OUTRAS OBRAS E INSTALAÇÕES </w:t>
            </w:r>
          </w:p>
        </w:tc>
      </w:tr>
      <w:tr w14:paraId="1F0A3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707" w:hRule="exact"/>
        </w:trPr>
        <w:tc>
          <w:tcPr>
            <w:tcW w:w="2248" w:type="dxa"/>
            <w:shd w:val="clear" w:color="auto" w:fill="FFFFFF" w:themeFill="background1"/>
          </w:tcPr>
          <w:p w14:paraId="6FC47E88">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f. de recurso</w:t>
            </w:r>
          </w:p>
        </w:tc>
        <w:tc>
          <w:tcPr>
            <w:tcW w:w="1843" w:type="dxa"/>
            <w:shd w:val="clear" w:color="auto" w:fill="FFFFFF" w:themeFill="background1"/>
          </w:tcPr>
          <w:p w14:paraId="603716AD">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2550</w:t>
            </w:r>
          </w:p>
        </w:tc>
        <w:tc>
          <w:tcPr>
            <w:tcW w:w="4840" w:type="dxa"/>
            <w:shd w:val="clear" w:color="auto" w:fill="FFFFFF" w:themeFill="background1"/>
          </w:tcPr>
          <w:p w14:paraId="3C6DC630">
            <w:pPr>
              <w:rPr>
                <w:color w:val="000000" w:themeColor="text1"/>
                <w:szCs w:val="24"/>
                <w14:textFill>
                  <w14:solidFill>
                    <w14:schemeClr w14:val="tx1"/>
                  </w14:solidFill>
                </w14:textFill>
              </w:rPr>
            </w:pPr>
            <w:r>
              <w:rPr>
                <w:color w:val="000000" w:themeColor="text1"/>
                <w:szCs w:val="24"/>
                <w14:textFill>
                  <w14:solidFill>
                    <w14:schemeClr w14:val="tx1"/>
                  </w14:solidFill>
                </w14:textFill>
              </w:rPr>
              <w:t>Transferência do salário-Educação</w:t>
            </w:r>
          </w:p>
          <w:p w14:paraId="5A58E306">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p>
        </w:tc>
      </w:tr>
      <w:tr w14:paraId="4F694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20" w:hRule="exact"/>
        </w:trPr>
        <w:tc>
          <w:tcPr>
            <w:tcW w:w="2248" w:type="dxa"/>
            <w:shd w:val="clear" w:color="auto" w:fill="FFFFFF" w:themeFill="background1"/>
          </w:tcPr>
          <w:p w14:paraId="6501D717">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Desdobramento</w:t>
            </w:r>
          </w:p>
        </w:tc>
        <w:tc>
          <w:tcPr>
            <w:tcW w:w="1843" w:type="dxa"/>
            <w:shd w:val="clear" w:color="auto" w:fill="FFFFFF" w:themeFill="background1"/>
          </w:tcPr>
          <w:p w14:paraId="12A585C5">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0007000</w:t>
            </w:r>
          </w:p>
        </w:tc>
        <w:tc>
          <w:tcPr>
            <w:tcW w:w="4840" w:type="dxa"/>
            <w:shd w:val="clear" w:color="auto" w:fill="FFFFFF" w:themeFill="background1"/>
          </w:tcPr>
          <w:p w14:paraId="73098611">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Sem código de acompanhamento </w:t>
            </w:r>
          </w:p>
        </w:tc>
      </w:tr>
    </w:tbl>
    <w:p w14:paraId="298CCA21">
      <w:pPr>
        <w:rPr>
          <w:color w:val="000000" w:themeColor="text1"/>
          <w:szCs w:val="24"/>
          <w14:textFill>
            <w14:solidFill>
              <w14:schemeClr w14:val="tx1"/>
            </w14:solidFill>
          </w14:textFill>
        </w:rPr>
      </w:pPr>
    </w:p>
    <w:p w14:paraId="19331A0D">
      <w:pPr>
        <w:rPr>
          <w:color w:val="000000" w:themeColor="text1"/>
          <w:szCs w:val="24"/>
          <w14:textFill>
            <w14:solidFill>
              <w14:schemeClr w14:val="tx1"/>
            </w14:solidFill>
          </w14:textFill>
        </w:rPr>
      </w:pPr>
    </w:p>
    <w:p w14:paraId="587B11D4">
      <w:pPr>
        <w:pStyle w:val="70"/>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DA PARTICIPAÇÃO NA LICITAÇÃO</w:t>
      </w:r>
      <w:bookmarkEnd w:id="2"/>
    </w:p>
    <w:p w14:paraId="0467D932">
      <w:pPr>
        <w:pStyle w:val="55"/>
        <w:widowControl w:val="0"/>
        <w:numPr>
          <w:ilvl w:val="1"/>
          <w:numId w:val="6"/>
        </w:numPr>
        <w:spacing w:before="72" w:beforeLines="30" w:after="72" w:afterLines="30"/>
        <w:ind w:left="0" w:firstLine="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Poderão participar desta concorrência os interessados que estiverem previamente credenciados no Sistema Eletrônico do Portal: </w:t>
      </w:r>
      <w:r>
        <w:fldChar w:fldCharType="begin"/>
      </w:r>
      <w:r>
        <w:instrText xml:space="preserve"> HYPERLINK "https://bll.org.br/" </w:instrText>
      </w:r>
      <w:r>
        <w:fldChar w:fldCharType="separate"/>
      </w:r>
      <w:r>
        <w:rPr>
          <w:rStyle w:val="17"/>
          <w:color w:val="000000" w:themeColor="text1"/>
          <w:szCs w:val="24"/>
          <w14:textFill>
            <w14:solidFill>
              <w14:schemeClr w14:val="tx1"/>
            </w14:solidFill>
          </w14:textFill>
        </w:rPr>
        <w:t>https://bll.org.br/</w:t>
      </w:r>
      <w:r>
        <w:rPr>
          <w:rStyle w:val="17"/>
          <w:color w:val="000000" w:themeColor="text1"/>
          <w:szCs w:val="24"/>
          <w14:textFill>
            <w14:solidFill>
              <w14:schemeClr w14:val="tx1"/>
            </w14:solidFill>
          </w14:textFill>
        </w:rPr>
        <w:fldChar w:fldCharType="end"/>
      </w:r>
      <w:r>
        <w:rPr>
          <w:rStyle w:val="17"/>
          <w:color w:val="000000" w:themeColor="text1"/>
          <w:szCs w:val="24"/>
          <w14:textFill>
            <w14:solidFill>
              <w14:schemeClr w14:val="tx1"/>
            </w14:solidFill>
          </w14:textFill>
        </w:rPr>
        <w:t xml:space="preserve"> - </w:t>
      </w:r>
      <w:r>
        <w:rPr>
          <w:b/>
          <w:bCs/>
          <w:color w:val="000000" w:themeColor="text1"/>
          <w:szCs w:val="24"/>
          <w14:textFill>
            <w14:solidFill>
              <w14:schemeClr w14:val="tx1"/>
            </w14:solidFill>
          </w14:textFill>
        </w:rPr>
        <w:t>BLL COMPRAS – BOLSA DE LICITAÇÕES DO BRASIL.</w:t>
      </w:r>
      <w:r>
        <w:rPr>
          <w:color w:val="000000" w:themeColor="text1"/>
          <w:szCs w:val="24"/>
          <w14:textFill>
            <w14:solidFill>
              <w14:schemeClr w14:val="tx1"/>
            </w14:solidFill>
          </w14:textFill>
        </w:rPr>
        <w:t xml:space="preserve"> </w:t>
      </w:r>
    </w:p>
    <w:p w14:paraId="1F040B36">
      <w:pPr>
        <w:pStyle w:val="55"/>
        <w:widowControl w:val="0"/>
        <w:numPr>
          <w:ilvl w:val="1"/>
          <w:numId w:val="6"/>
        </w:numPr>
        <w:spacing w:before="72" w:beforeLines="30" w:after="72" w:afterLines="30"/>
        <w:ind w:left="0" w:firstLine="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Os interessados deverão atender às condições exigidas no cadastramento no Sistema mencionado no item 4.1. em tempo hábil, para envio da proposta dentro do prazo determinado neste edital.</w:t>
      </w:r>
    </w:p>
    <w:p w14:paraId="792EEB5C">
      <w:pPr>
        <w:pStyle w:val="55"/>
        <w:widowControl w:val="0"/>
        <w:numPr>
          <w:ilvl w:val="1"/>
          <w:numId w:val="6"/>
        </w:numPr>
        <w:spacing w:before="72" w:beforeLines="30" w:after="72" w:afterLines="30"/>
        <w:ind w:left="0" w:firstLine="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80812F9">
      <w:pPr>
        <w:pStyle w:val="55"/>
        <w:widowControl w:val="0"/>
        <w:numPr>
          <w:ilvl w:val="1"/>
          <w:numId w:val="6"/>
        </w:numPr>
        <w:spacing w:before="72" w:beforeLines="30" w:after="72" w:afterLines="30"/>
        <w:ind w:left="0" w:firstLine="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08CC9953">
      <w:pPr>
        <w:pStyle w:val="55"/>
        <w:widowControl w:val="0"/>
        <w:numPr>
          <w:ilvl w:val="1"/>
          <w:numId w:val="6"/>
        </w:numPr>
        <w:spacing w:before="72" w:beforeLines="30" w:after="72" w:afterLines="30"/>
        <w:ind w:left="0" w:firstLine="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A não observância do disposto no item anterior poderá ensejar desclassificação no momento da habilitação.</w:t>
      </w:r>
    </w:p>
    <w:p w14:paraId="2C22C7D7">
      <w:pPr>
        <w:pStyle w:val="55"/>
        <w:widowControl w:val="0"/>
        <w:numPr>
          <w:ilvl w:val="1"/>
          <w:numId w:val="6"/>
        </w:numPr>
        <w:spacing w:before="72" w:beforeLines="30" w:after="72" w:afterLines="30"/>
        <w:ind w:left="0" w:firstLine="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4D594FE8">
      <w:pPr>
        <w:pStyle w:val="55"/>
        <w:widowControl w:val="0"/>
        <w:numPr>
          <w:ilvl w:val="1"/>
          <w:numId w:val="6"/>
        </w:numPr>
        <w:spacing w:before="72" w:beforeLines="30" w:after="72" w:afterLines="30"/>
        <w:ind w:left="0" w:firstLine="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Não poderão disputar esta licitação:</w:t>
      </w:r>
    </w:p>
    <w:p w14:paraId="765B5816">
      <w:pPr>
        <w:pStyle w:val="55"/>
        <w:widowControl w:val="0"/>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4.7.1 aquele que não atenda às condições deste Edital e seu(s) anexo(s);</w:t>
      </w:r>
    </w:p>
    <w:p w14:paraId="294F37E8">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4.7.2.</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autor do anteprojeto, do projeto básico ou do projeto executivo, pessoa física ou jurídica, quando a licitação versar sobre serviços ou fornecimento de bens a ele relacionados;</w:t>
      </w:r>
    </w:p>
    <w:p w14:paraId="5F20991E">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4.7.3.</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09F0BF0">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4.7.4.</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pessoa física ou jurídica que se encontre, ao tempo da licitação, impossibilitada de participar da licitação em decorrência de sanção que lhe foi imposta;</w:t>
      </w:r>
    </w:p>
    <w:p w14:paraId="7099A936">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4.7.5.</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1FD7135">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4.7.6.</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empresas controladoras, controladas ou coligadas, nos termos da Lei nº 6.404, de 15 de dezembro de 1976, concorrendo entre si;</w:t>
      </w:r>
    </w:p>
    <w:p w14:paraId="02ECD58D">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4.7.7.</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2C926C9">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4.7.8.</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agente público do órgão ou entidade licitante;</w:t>
      </w:r>
    </w:p>
    <w:p w14:paraId="09E1DF71">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4.7.9.</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Organizações da Sociedade Civil de Interesse Público - OSCIP, atuando nessa condição;</w:t>
      </w:r>
    </w:p>
    <w:p w14:paraId="3945A42E">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4.7.10.</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3FB8400B">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4.8.</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 impedimento de que trata o item 4.7.4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A7DBCD7">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4.9.</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 critério da Administração e exclusivamente a seu serviço, o autor dos projetos e a empresa a que se referem o item 4.7.2 e 4.7.3 poderão participar no apoio das atividades de planejamento da contratação, de execução da licitação ou de gestão do contrato, desde que sob supervisão exclusiva de agentes públicos do órgão ou entidade.</w:t>
      </w:r>
    </w:p>
    <w:p w14:paraId="64C24B96">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4.10.</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Equiparam-se aos autores do projeto as empresas integrantes do mesmo grupo econômico.</w:t>
      </w:r>
    </w:p>
    <w:p w14:paraId="0CDA9E46">
      <w:pPr>
        <w:pStyle w:val="55"/>
        <w:spacing w:before="72" w:beforeLines="30" w:after="72" w:afterLines="30"/>
        <w:ind w:left="0"/>
        <w:jc w:val="both"/>
        <w:rPr>
          <w:b/>
          <w:color w:val="000000" w:themeColor="text1"/>
          <w:szCs w:val="24"/>
          <w14:textFill>
            <w14:solidFill>
              <w14:schemeClr w14:val="tx1"/>
            </w14:solidFill>
          </w14:textFill>
        </w:rPr>
      </w:pPr>
      <w:r>
        <w:rPr>
          <w:color w:val="000000" w:themeColor="text1"/>
          <w:szCs w:val="24"/>
          <w14:textFill>
            <w14:solidFill>
              <w14:schemeClr w14:val="tx1"/>
            </w14:solidFill>
          </w14:textFill>
        </w:rPr>
        <w:t>4.11.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 disposto nos itens 4.7.2 e 4.7.3 não impede a licitação ou a contratação de serviço que inclua como encargo do contratado a elaboração do projeto básico e do projeto executivo, nas contratações integradas, e do projeto executivo, nos demais regimes de execução.</w:t>
      </w:r>
    </w:p>
    <w:p w14:paraId="39F6A2AB">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4.12.</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5CB5FA6">
      <w:pPr>
        <w:pStyle w:val="55"/>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4.13.</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 vedação de que trata o item 4.7.8 estende-se a terceiro que auxilie a condução da contratação na qualidade de integrante de equipe de apoio, profissional especializado ou funcionário ou representante de empresa que preste assessoria técnica.</w:t>
      </w:r>
    </w:p>
    <w:p w14:paraId="262141DE">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p>
    <w:p w14:paraId="64E89DF7">
      <w:pPr>
        <w:pStyle w:val="55"/>
        <w:suppressAutoHyphens w:val="0"/>
        <w:spacing w:before="72" w:beforeLines="30" w:after="72" w:afterLines="30"/>
        <w:ind w:left="0"/>
        <w:jc w:val="both"/>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5.</w:t>
      </w:r>
      <w:r>
        <w:rPr>
          <w:b/>
          <w:bCs/>
          <w:color w:val="000000" w:themeColor="text1"/>
          <w:szCs w:val="24"/>
          <w:lang w:eastAsia="en-US"/>
          <w14:textFill>
            <w14:solidFill>
              <w14:schemeClr w14:val="tx1"/>
            </w14:solidFill>
          </w14:textFill>
        </w:rPr>
        <w:tab/>
      </w:r>
      <w:r>
        <w:rPr>
          <w:b/>
          <w:bCs/>
          <w:color w:val="000000" w:themeColor="text1"/>
          <w:szCs w:val="24"/>
          <w:lang w:eastAsia="en-US"/>
          <w14:textFill>
            <w14:solidFill>
              <w14:schemeClr w14:val="tx1"/>
            </w14:solidFill>
          </w14:textFill>
        </w:rPr>
        <w:t>DA APRESENTAÇÃO DA PROPOSTA E DOS DOCUMENTOS DE HABILITAÇÃO</w:t>
      </w:r>
    </w:p>
    <w:p w14:paraId="4B00EF09">
      <w:pPr>
        <w:pStyle w:val="55"/>
        <w:suppressAutoHyphens w:val="0"/>
        <w:spacing w:before="72" w:beforeLines="30" w:after="72" w:afterLines="30"/>
        <w:ind w:left="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5.1.</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Na presente licitação, a fase de habilitação sucederá as fases de apresentação de propostas e lances e de julgamento.</w:t>
      </w:r>
    </w:p>
    <w:p w14:paraId="7DDF1218">
      <w:pPr>
        <w:pStyle w:val="55"/>
        <w:suppressAutoHyphens w:val="0"/>
        <w:spacing w:before="72" w:beforeLines="30" w:after="72" w:afterLines="30"/>
        <w:ind w:left="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5.2.</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71C61D26">
      <w:pPr>
        <w:pStyle w:val="55"/>
        <w:suppressAutoHyphens w:val="0"/>
        <w:spacing w:before="72" w:beforeLines="30" w:after="72" w:afterLines="30"/>
        <w:ind w:left="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5.3.</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58593383">
      <w:pPr>
        <w:pStyle w:val="55"/>
        <w:suppressAutoHyphens w:val="0"/>
        <w:spacing w:before="72" w:beforeLines="30" w:after="72" w:afterLines="30"/>
        <w:ind w:left="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5.4.</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 xml:space="preserve">O licitante deverá encaminhar declaração (modelo </w:t>
      </w:r>
      <w:r>
        <w:rPr>
          <w:b/>
          <w:color w:val="000000" w:themeColor="text1"/>
          <w:szCs w:val="24"/>
          <w:lang w:eastAsia="en-US"/>
          <w14:textFill>
            <w14:solidFill>
              <w14:schemeClr w14:val="tx1"/>
            </w14:solidFill>
          </w14:textFill>
        </w:rPr>
        <w:t>Anexo X</w:t>
      </w:r>
      <w:r>
        <w:rPr>
          <w:color w:val="000000" w:themeColor="text1"/>
          <w:szCs w:val="24"/>
          <w:lang w:eastAsia="en-US"/>
          <w14:textFill>
            <w14:solidFill>
              <w14:schemeClr w14:val="tx1"/>
            </w14:solidFill>
          </w14:textFill>
        </w:rPr>
        <w:t>), em campo próprio do sistema, que:</w:t>
      </w:r>
    </w:p>
    <w:p w14:paraId="711A1A67">
      <w:pPr>
        <w:pStyle w:val="55"/>
        <w:suppressAutoHyphens w:val="0"/>
        <w:spacing w:before="72" w:beforeLines="30" w:after="72" w:afterLines="30"/>
        <w:ind w:left="0"/>
        <w:jc w:val="both"/>
        <w:rPr>
          <w:color w:val="000000" w:themeColor="text1"/>
          <w:szCs w:val="24"/>
          <w14:textFill>
            <w14:solidFill>
              <w14:schemeClr w14:val="tx1"/>
            </w14:solidFill>
          </w14:textFill>
        </w:rPr>
      </w:pPr>
      <w:r>
        <w:rPr>
          <w:color w:val="000000" w:themeColor="text1"/>
          <w:szCs w:val="24"/>
          <w:lang w:eastAsia="en-US"/>
          <w14:textFill>
            <w14:solidFill>
              <w14:schemeClr w14:val="tx1"/>
            </w14:solidFill>
          </w14:textFill>
        </w:rPr>
        <w:t xml:space="preserve">5.4.1 </w:t>
      </w:r>
      <w:r>
        <w:rPr>
          <w:color w:val="000000" w:themeColor="text1"/>
          <w:szCs w:val="24"/>
          <w14:textFill>
            <w14:solidFill>
              <w14:schemeClr w14:val="tx1"/>
            </w14:solidFill>
          </w14:textFill>
        </w:rPr>
        <w:t>Que até a presente data inexistem fatos impeditivos para habilitação e contratação com a administração pública, ciente da obrigatoriedade de declarar ocorrências posteriores;</w:t>
      </w:r>
    </w:p>
    <w:p w14:paraId="1173DE40">
      <w:pPr>
        <w:pStyle w:val="55"/>
        <w:suppressAutoHyphens w:val="0"/>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5.4.2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5220868">
      <w:pPr>
        <w:pStyle w:val="55"/>
        <w:suppressAutoHyphens w:val="0"/>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5.4.3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color w:val="000000" w:themeColor="text1"/>
          <w:szCs w:val="24"/>
          <w14:textFill>
            <w14:solidFill>
              <w14:schemeClr w14:val="tx1"/>
            </w14:solidFill>
          </w14:textFill>
        </w:rPr>
        <w:t>artigo 7°, XXXIII, da Constituição</w:t>
      </w:r>
      <w:r>
        <w:rPr>
          <w:rStyle w:val="17"/>
          <w:color w:val="000000" w:themeColor="text1"/>
          <w:szCs w:val="24"/>
          <w14:textFill>
            <w14:solidFill>
              <w14:schemeClr w14:val="tx1"/>
            </w14:solidFill>
          </w14:textFill>
        </w:rPr>
        <w:fldChar w:fldCharType="end"/>
      </w:r>
      <w:r>
        <w:rPr>
          <w:color w:val="000000" w:themeColor="text1"/>
          <w:szCs w:val="24"/>
          <w14:textFill>
            <w14:solidFill>
              <w14:schemeClr w14:val="tx1"/>
            </w14:solidFill>
          </w14:textFill>
        </w:rPr>
        <w:t>;</w:t>
      </w:r>
    </w:p>
    <w:p w14:paraId="25A93861">
      <w:pPr>
        <w:pStyle w:val="55"/>
        <w:suppressAutoHyphens w:val="0"/>
        <w:spacing w:before="72" w:beforeLines="30" w:after="72" w:afterLines="3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5.4.4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color w:val="000000" w:themeColor="text1"/>
          <w:szCs w:val="24"/>
          <w14:textFill>
            <w14:solidFill>
              <w14:schemeClr w14:val="tx1"/>
            </w14:solidFill>
          </w14:textFill>
        </w:rPr>
        <w:t>incisos III e IV do art. 1º e no inciso III do art. 5º da Constituição Federal</w:t>
      </w:r>
      <w:r>
        <w:rPr>
          <w:rStyle w:val="17"/>
          <w:color w:val="000000" w:themeColor="text1"/>
          <w:szCs w:val="24"/>
          <w14:textFill>
            <w14:solidFill>
              <w14:schemeClr w14:val="tx1"/>
            </w14:solidFill>
          </w14:textFill>
        </w:rPr>
        <w:fldChar w:fldCharType="end"/>
      </w:r>
      <w:r>
        <w:rPr>
          <w:color w:val="000000" w:themeColor="text1"/>
          <w:szCs w:val="24"/>
          <w14:textFill>
            <w14:solidFill>
              <w14:schemeClr w14:val="tx1"/>
            </w14:solidFill>
          </w14:textFill>
        </w:rPr>
        <w:t>;</w:t>
      </w:r>
    </w:p>
    <w:p w14:paraId="67E4965C">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5.4.5 cumpre as exigências de reserva de cargos para pessoa com deficiência e para reabilitado da Previdência Social, previstas em lei e em outras normas específicas.</w:t>
      </w:r>
    </w:p>
    <w:p w14:paraId="47693F4F">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5.4.6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BAE8527">
      <w:pPr>
        <w:pStyle w:val="55"/>
        <w:suppressAutoHyphens w:val="0"/>
        <w:spacing w:before="72" w:beforeLines="30" w:after="72" w:afterLines="30"/>
        <w:ind w:left="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5.5.</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 xml:space="preserve">O fornecedor enquadrado como microempresa, empresa de pequeno porte ou sociedade cooperativa deverá encaminhar declaração (modelo </w:t>
      </w:r>
      <w:r>
        <w:rPr>
          <w:b/>
          <w:color w:val="000000" w:themeColor="text1"/>
          <w:szCs w:val="24"/>
          <w:lang w:eastAsia="en-US"/>
          <w14:textFill>
            <w14:solidFill>
              <w14:schemeClr w14:val="tx1"/>
            </w14:solidFill>
          </w14:textFill>
        </w:rPr>
        <w:t>Anexo IX</w:t>
      </w:r>
      <w:r>
        <w:rPr>
          <w:color w:val="000000" w:themeColor="text1"/>
          <w:szCs w:val="24"/>
          <w:lang w:eastAsia="en-US"/>
          <w14:textFill>
            <w14:solidFill>
              <w14:schemeClr w14:val="tx1"/>
            </w14:solidFill>
          </w14:textFill>
        </w:rPr>
        <w:t>), no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136FFA2">
      <w:pPr>
        <w:pStyle w:val="55"/>
        <w:suppressAutoHyphens w:val="0"/>
        <w:spacing w:before="72" w:beforeLines="30" w:after="72" w:afterLines="30"/>
        <w:ind w:left="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5.6.</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A falsidade da declaração de que trata o item 5.5 sujeitará o licitante às sanções previstas na Lei nº 14.133, de 2021, e neste Edital.</w:t>
      </w:r>
    </w:p>
    <w:p w14:paraId="15F9DB39">
      <w:pPr>
        <w:pStyle w:val="55"/>
        <w:suppressAutoHyphens w:val="0"/>
        <w:spacing w:before="72" w:beforeLines="30" w:after="72" w:afterLines="30"/>
        <w:ind w:left="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5.7.</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D5BC65E">
      <w:pPr>
        <w:pStyle w:val="55"/>
        <w:suppressAutoHyphens w:val="0"/>
        <w:spacing w:before="72" w:beforeLines="30" w:after="72" w:afterLines="30"/>
        <w:ind w:left="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5.8.</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Não haverá ordem de classificação na etapa de apresentação da proposta e dos documentos de habilitação pelo licitante, o que ocorrerá somente após os procedimentos de abertura da sessão pública e da fase de envio de lances.</w:t>
      </w:r>
    </w:p>
    <w:p w14:paraId="34D5C184">
      <w:pPr>
        <w:pStyle w:val="55"/>
        <w:suppressAutoHyphens w:val="0"/>
        <w:spacing w:before="72" w:beforeLines="30" w:after="72" w:afterLines="30"/>
        <w:ind w:left="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5.9.</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 xml:space="preserve">Serão disponibilizados para acesso público os documentos que compõem a proposta dos licitantes convocados para apresentação de propostas, após a fase de envio de lances. </w:t>
      </w:r>
    </w:p>
    <w:p w14:paraId="076DB5BB">
      <w:pPr>
        <w:pStyle w:val="55"/>
        <w:suppressAutoHyphens w:val="0"/>
        <w:spacing w:before="72" w:beforeLines="30" w:after="72" w:afterLines="30"/>
        <w:ind w:left="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5.10.</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E17312">
      <w:pPr>
        <w:pStyle w:val="55"/>
        <w:suppressAutoHyphens w:val="0"/>
        <w:spacing w:before="72" w:beforeLines="30" w:after="72" w:afterLines="30"/>
        <w:ind w:left="0"/>
        <w:contextualSpacing w:val="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5.11.</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O licitante deverá comunicar imediatamente ao provedor do sistema qualquer acontecimento que possa comprometer o sigilo ou a segurança, para imediato bloqueio de acesso.</w:t>
      </w:r>
    </w:p>
    <w:p w14:paraId="62082C7D">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p>
    <w:p w14:paraId="6E9FA507">
      <w:pPr>
        <w:pStyle w:val="20"/>
        <w:suppressAutoHyphens w:val="0"/>
        <w:spacing w:before="72" w:beforeLines="30" w:after="72" w:afterLines="30" w:line="240" w:lineRule="auto"/>
        <w:jc w:val="both"/>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6.</w:t>
      </w:r>
      <w:r>
        <w:rPr>
          <w:b/>
          <w:bCs/>
          <w:color w:val="000000" w:themeColor="text1"/>
          <w:szCs w:val="24"/>
          <w14:textFill>
            <w14:solidFill>
              <w14:schemeClr w14:val="tx1"/>
            </w14:solidFill>
          </w14:textFill>
        </w:rPr>
        <w:tab/>
      </w:r>
      <w:r>
        <w:rPr>
          <w:b/>
          <w:bCs/>
          <w:color w:val="000000" w:themeColor="text1"/>
          <w:szCs w:val="24"/>
          <w14:textFill>
            <w14:solidFill>
              <w14:schemeClr w14:val="tx1"/>
            </w14:solidFill>
          </w14:textFill>
        </w:rPr>
        <w:t>DO PREENCHIMENTO DA PROPOSTA</w:t>
      </w:r>
    </w:p>
    <w:p w14:paraId="7D8AF3C7">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 licitante deverá enviar sua proposta mediante o preenchimento, no sistema eletrônico, do seguinte campo:</w:t>
      </w:r>
    </w:p>
    <w:p w14:paraId="56B70B68">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6.1.1.</w:t>
      </w:r>
      <w:r>
        <w:rPr>
          <w:color w:val="000000" w:themeColor="text1"/>
          <w:szCs w:val="24"/>
          <w14:textFill>
            <w14:solidFill>
              <w14:schemeClr w14:val="tx1"/>
            </w14:solidFill>
          </w14:textFill>
        </w:rPr>
        <w:tab/>
      </w:r>
      <w:r>
        <w:rPr>
          <w:b/>
          <w:color w:val="000000" w:themeColor="text1"/>
          <w:szCs w:val="24"/>
          <w14:textFill>
            <w14:solidFill>
              <w14:schemeClr w14:val="tx1"/>
            </w14:solidFill>
          </w14:textFill>
        </w:rPr>
        <w:t>desconto global.</w:t>
      </w:r>
    </w:p>
    <w:p w14:paraId="473D8732">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6.2.</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Todas as especificações do objeto contidas na proposta vinculam o licitante.</w:t>
      </w:r>
    </w:p>
    <w:p w14:paraId="1E787104">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6.3.</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Nos valores propostos estarão inclusos todos os custos operacionais, encargos previdenciários, trabalhistas, tributários, comerciais e quaisquer outros que incidam direta ou indiretamente na execução do objeto.</w:t>
      </w:r>
    </w:p>
    <w:p w14:paraId="0D9476DB">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6.4.</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Os preços ofertados, tanto na proposta inicial, quanto na etapa de lances, serão de exclusiva responsabilidade do licitante, não lhe assistindo o direito de pleitear qualquer alteração, sob alegação de erro, omissão ou qualquer outro pretexto.</w:t>
      </w:r>
    </w:p>
    <w:p w14:paraId="13A05F37">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6.5.</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 xml:space="preserve">Se o regime tributário da empresa implicar o recolhimento de tributos em percentuais variáveis, a cotação adequada será a que corresponde à média dos efetivos recolhimentos da empresa nos últimos doze meses. </w:t>
      </w:r>
    </w:p>
    <w:p w14:paraId="0A71888A">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6.6.</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Independentemente do percentual de tributo inserido na planilha, no pagamento serão retidos na fonte os percentuais estabelecidos na legislação vigente.</w:t>
      </w:r>
    </w:p>
    <w:p w14:paraId="408FDB84">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6.7.</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Na presente licitação, a Microempresa e a Empresa de Pequeno Porte poderão se beneficiar do regime de tributação pelo Simples Nacional.</w:t>
      </w:r>
    </w:p>
    <w:p w14:paraId="69E5386F">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6.8.</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9B2E03B">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6.9.</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 prazo de validade da proposta não será inferior a 60 (sessenta) dias, a contar da data de sua apresentação.</w:t>
      </w:r>
    </w:p>
    <w:p w14:paraId="7E50EC1B">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6.10.</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Os licitantes devem respeitar os preços máximos estabelecidos nas normas de regência de contratações públicas federais, quando participarem de licitações públicas;</w:t>
      </w:r>
    </w:p>
    <w:p w14:paraId="017EBC40">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6.10.1 Caso o critério de julgamento seja o de </w:t>
      </w:r>
      <w:r>
        <w:rPr>
          <w:rFonts w:ascii="Times New Roman" w:hAnsi="Times New Roman" w:cs="Times New Roman"/>
          <w:b/>
          <w:color w:val="000000" w:themeColor="text1"/>
          <w:sz w:val="24"/>
          <w:szCs w:val="24"/>
          <w14:textFill>
            <w14:solidFill>
              <w14:schemeClr w14:val="tx1"/>
            </w14:solidFill>
          </w14:textFill>
        </w:rPr>
        <w:t>maior desconto</w:t>
      </w:r>
      <w:r>
        <w:rPr>
          <w:rFonts w:ascii="Times New Roman" w:hAnsi="Times New Roman" w:cs="Times New Roman"/>
          <w:color w:val="000000" w:themeColor="text1"/>
          <w:sz w:val="24"/>
          <w:szCs w:val="24"/>
          <w14:textFill>
            <w14:solidFill>
              <w14:schemeClr w14:val="tx1"/>
            </w14:solidFill>
          </w14:textFill>
        </w:rPr>
        <w:t>, o preço já decorrente da aplicação do desconto ofertado deverá respeitar os preços máximos previstos no edital.</w:t>
      </w:r>
    </w:p>
    <w:p w14:paraId="7608A136">
      <w:pPr>
        <w:pStyle w:val="20"/>
        <w:suppressAutoHyphens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6.11.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41D9D23">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p>
    <w:p w14:paraId="3F222B25">
      <w:pPr>
        <w:pStyle w:val="86"/>
        <w:numPr>
          <w:ilvl w:val="0"/>
          <w:numId w:val="0"/>
        </w:numPr>
        <w:spacing w:before="72" w:beforeLines="30" w:after="72" w:afterLines="30" w:line="240" w:lineRule="auto"/>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7.</w:t>
      </w:r>
      <w:r>
        <w:rPr>
          <w:rFonts w:ascii="Times New Roman" w:hAnsi="Times New Roman"/>
          <w:b/>
          <w:bCs/>
          <w:color w:val="000000" w:themeColor="text1"/>
          <w:sz w:val="24"/>
          <w:szCs w:val="24"/>
          <w14:textFill>
            <w14:solidFill>
              <w14:schemeClr w14:val="tx1"/>
            </w14:solidFill>
          </w14:textFill>
        </w:rPr>
        <w:tab/>
      </w:r>
      <w:r>
        <w:rPr>
          <w:rFonts w:ascii="Times New Roman" w:hAnsi="Times New Roman"/>
          <w:b/>
          <w:bCs/>
          <w:color w:val="000000" w:themeColor="text1"/>
          <w:sz w:val="24"/>
          <w:szCs w:val="24"/>
          <w14:textFill>
            <w14:solidFill>
              <w14:schemeClr w14:val="tx1"/>
            </w14:solidFill>
          </w14:textFill>
        </w:rPr>
        <w:t>DA ABERTURA DA SESSÃO, CLASSIFICAÇÃO DAS PROPOSTAS E FORMULAÇÃO DE LANCES</w:t>
      </w:r>
    </w:p>
    <w:p w14:paraId="1CDE05B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A abertura da presente licitação dar-se-á em sessão pública, por meio de sistema eletrônico, na data, horário e local indicados neste Edital.</w:t>
      </w:r>
    </w:p>
    <w:p w14:paraId="0C8DAD60">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7.2.</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Os licitantes poderão retirar ou substituir a proposta ou os documentos de habilitação, quando for o caso, anteriormente inseridos no sistema, até a abertura da sessão pública.</w:t>
      </w:r>
    </w:p>
    <w:p w14:paraId="3240ED5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7.3.</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O sistema disponibilizará campo próprio para troca de mensagens entre o Agente de Contratação/Comissão e os licitantes.</w:t>
      </w:r>
    </w:p>
    <w:p w14:paraId="7FDD84DB">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7.4.</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 xml:space="preserve">Iniciada a etapa competitiva, os licitantes deverão encaminhar lances exclusivamente por meio de sistema eletrônico, sendo imediatamente informados do seu recebimento e do valor consignado no registro. </w:t>
      </w:r>
    </w:p>
    <w:p w14:paraId="703EC17D">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7.5.</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 xml:space="preserve">O lance deverá ser ofertado por percentual de desconto no valor </w:t>
      </w:r>
      <w:r>
        <w:rPr>
          <w:rFonts w:ascii="Times New Roman" w:hAnsi="Times New Roman"/>
          <w:b/>
          <w:color w:val="000000" w:themeColor="text1"/>
          <w:sz w:val="24"/>
          <w:szCs w:val="24"/>
          <w14:textFill>
            <w14:solidFill>
              <w14:schemeClr w14:val="tx1"/>
            </w14:solidFill>
          </w14:textFill>
        </w:rPr>
        <w:t>global</w:t>
      </w:r>
      <w:r>
        <w:rPr>
          <w:rFonts w:ascii="Times New Roman" w:hAnsi="Times New Roman"/>
          <w:color w:val="000000" w:themeColor="text1"/>
          <w:sz w:val="24"/>
          <w:szCs w:val="24"/>
          <w14:textFill>
            <w14:solidFill>
              <w14:schemeClr w14:val="tx1"/>
            </w14:solidFill>
          </w14:textFill>
        </w:rPr>
        <w:t>.</w:t>
      </w:r>
    </w:p>
    <w:p w14:paraId="3291C309">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7.6.</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Os licitantes poderão oferecer lances sucessivos, observando o horário fixado para abertura da sessão e as regras estabelecidas no Edital.</w:t>
      </w:r>
    </w:p>
    <w:p w14:paraId="1CF3F608">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7.7 O licitante somente poderá oferecer lance de </w:t>
      </w:r>
      <w:r>
        <w:rPr>
          <w:rFonts w:ascii="Times New Roman" w:hAnsi="Times New Roman"/>
          <w:b/>
          <w:color w:val="000000" w:themeColor="text1"/>
          <w:sz w:val="24"/>
          <w:szCs w:val="24"/>
          <w14:textFill>
            <w14:solidFill>
              <w14:schemeClr w14:val="tx1"/>
            </w14:solidFill>
          </w14:textFill>
        </w:rPr>
        <w:t>percentual de desconto superior</w:t>
      </w:r>
      <w:r>
        <w:rPr>
          <w:rFonts w:ascii="Times New Roman" w:hAnsi="Times New Roman"/>
          <w:color w:val="000000" w:themeColor="text1"/>
          <w:sz w:val="24"/>
          <w:szCs w:val="24"/>
          <w14:textFill>
            <w14:solidFill>
              <w14:schemeClr w14:val="tx1"/>
            </w14:solidFill>
          </w14:textFill>
        </w:rPr>
        <w:t xml:space="preserve"> ao último por ele ofertado e registrado pelo sistema. </w:t>
      </w:r>
    </w:p>
    <w:p w14:paraId="56324881">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7.8. O intervalo mínimo de diferença de percentuais entre os lances, que incidirá tanto em relação aos lances intermediários quanto em relação à proposta que cobrir a melhor oferta deverá ser de </w:t>
      </w:r>
      <w:r>
        <w:rPr>
          <w:rFonts w:ascii="Times New Roman" w:hAnsi="Times New Roman"/>
          <w:b/>
          <w:bCs/>
          <w:color w:val="000000" w:themeColor="text1"/>
          <w:sz w:val="24"/>
          <w:szCs w:val="24"/>
          <w14:textFill>
            <w14:solidFill>
              <w14:schemeClr w14:val="tx1"/>
            </w14:solidFill>
          </w14:textFill>
        </w:rPr>
        <w:t>0,25% (zero vírgula vinte e cinco por cento).</w:t>
      </w:r>
    </w:p>
    <w:p w14:paraId="62144E29">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7.9.</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O licitante poderá excluir seu último lance ofertado, no intervalo de quinze segundos após o registro no sistema, na hipótese de lance inconsistente ou inexequível.</w:t>
      </w:r>
    </w:p>
    <w:p w14:paraId="400757C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7.10.</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O procedimento seguirá de acordo com o modo de disputa adotado.</w:t>
      </w:r>
    </w:p>
    <w:p w14:paraId="74C05CA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7.11.</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O envio de lances na licitação adotará o modo de disputa “aberto”, e os licitantes apresentarão lances públicos e sucessivos, com prorrogações.</w:t>
      </w:r>
    </w:p>
    <w:p w14:paraId="12AFD601">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7.11.1.</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A etapa de lances da sessão pública terá duração de dez minutos e, após isso, será prorrogada automaticamente pelo sistema quando houver lance ofertado nos últimos dois minutos do período de duração da sessão pública.</w:t>
      </w:r>
    </w:p>
    <w:p w14:paraId="7EB19BBB">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7.11.2.</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A prorrogação automática da etapa de lances, de que trata o subitem anterior, será de dois minutos e ocorrerá sucessivamente sempre que houver lances enviados nesse período de prorrogação, inclusive no caso de lances intermediários.</w:t>
      </w:r>
    </w:p>
    <w:p w14:paraId="7EB05E0D">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7.11.3.</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Não havendo novos lances na forma estabelecida nos itens anteriores, a sessão pública encerrar-se-á automaticamente, e o sistema ordenará e divulgará os lances conforme a ordem final de classificação.</w:t>
      </w:r>
    </w:p>
    <w:p w14:paraId="4F15022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7.11.4.</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74003528">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7.11.5.</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Após o reinício previsto no item supra, os licitantes serão convocados para apresentar lances intermediários.</w:t>
      </w:r>
    </w:p>
    <w:p w14:paraId="47043911">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7.12.</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Após o término dos prazos estabelecidos nos subitens anteriores, o sistema ordenará e divulgará os lances segundo a ordem crescente de valores.</w:t>
      </w:r>
    </w:p>
    <w:p w14:paraId="080E0CA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7.13.</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 xml:space="preserve">Não serão aceitos dois ou mais lances de mesmo valor, prevalecendo aquele que for recebido e registrado em primeiro lugar. </w:t>
      </w:r>
    </w:p>
    <w:p w14:paraId="1E0752F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7.14.</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 xml:space="preserve">Durante o transcurso da sessão pública, os licitantes serão informados, em tempo real, do valor do menor lance registrado, vedada a identificação do licitante. </w:t>
      </w:r>
    </w:p>
    <w:p w14:paraId="1A064C03">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7.15.</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 xml:space="preserve">No caso de desconexão com o Agente de Contratação/Comissão, no decorrer da etapa competitiva da licitação, o sistema eletrônico poderá permanecer acessível aos licitantes para a recepção dos lances. </w:t>
      </w:r>
    </w:p>
    <w:p w14:paraId="7E9EBBB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7.16.</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2A95721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7.17.</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Caso o licitante não apresente lances, concorrerá com o valor de sua proposta.</w:t>
      </w:r>
    </w:p>
    <w:p w14:paraId="4247B9BF">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7.18.</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54ADADD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7.18.1.</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Nessas condições, as propostas de microempresas e empresas de pequeno porte que se encontrarem na faixa de até 10% (dez por cento) acima da melhor proposta ou melhor lance serão consideradas empatadas com a primeira colocada.</w:t>
      </w:r>
    </w:p>
    <w:p w14:paraId="25F3596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7.18.2.</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3B918F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7.18.3.</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6EFF61B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7.18.4.</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54AD3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 xml:space="preserve">Só poderá haver empate entre propostas iguais (não seguidas de lances), ou entre lances finais da fase fechada do modo de disputa aberto e fechado. </w:t>
      </w:r>
    </w:p>
    <w:p w14:paraId="09858A5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7.19.1.</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Havendo eventual empate entre propostas ou lances, o critério de desempate será aquele previsto no art. 60 da Lei nº 14.133, de 2021, nesta ordem:</w:t>
      </w:r>
    </w:p>
    <w:p w14:paraId="63182AE0">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7.19.1.1.</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disputa final, hipótese em que os licitantes empatados poderão apresentar nova proposta em ato contínuo à classificação;</w:t>
      </w:r>
    </w:p>
    <w:p w14:paraId="3131D15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7.19.1.2.</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avaliação do desempenho contratual prévio dos licitantes, para a qual deverão preferencialmente ser utilizados registros cadastrais para efeito de atesto de cumprimento de obrigações previstos nesta Lei;</w:t>
      </w:r>
    </w:p>
    <w:p w14:paraId="5F386A51">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7.19.1.3.</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desenvolvimento pelo licitante de ações de equidade entre homens e mulheres no ambiente de trabalho, conforme regulamento;</w:t>
      </w:r>
    </w:p>
    <w:p w14:paraId="1253875C">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7.19.1.4.</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desenvolvimento pelo licitante de programa de integridade, conforme orientações dos órgãos de controle.</w:t>
      </w:r>
    </w:p>
    <w:p w14:paraId="297C9769">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7.19.2.</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Persistindo o empate, será assegurada preferência, sucessivamente, aos bens e serviços produzidos ou prestados por:</w:t>
      </w:r>
    </w:p>
    <w:p w14:paraId="2BC9597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7.19.2.1.</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679ADD3">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7.19.2.2.</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empresas brasileiras;</w:t>
      </w:r>
    </w:p>
    <w:p w14:paraId="650E6D10">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7.19.2.3.</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empresas que invistam em pesquisa e no desenvolvimento de tecnologia no País;</w:t>
      </w:r>
    </w:p>
    <w:p w14:paraId="757AF0D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7.19.2.4.</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empresas que comprovem a prática de mitigação, nos termos da Lei nº 12.187, de 29 de dezembro de 2009.</w:t>
      </w:r>
    </w:p>
    <w:p w14:paraId="0876C69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7.20.</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4FAC8DC1">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7.20.1.</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9C7003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7.20.2.</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A negociação será realizada por meio do sistema, podendo ser acompanhada pelos demais licitantes.</w:t>
      </w:r>
    </w:p>
    <w:p w14:paraId="5260861D">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7.20.3.</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O resultado da negociação será divulgado a todos os licitantes e anexado aos autos do processo licitatório.</w:t>
      </w:r>
    </w:p>
    <w:p w14:paraId="5C05E698">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7.20.4.</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 xml:space="preserve">O Agente de Contratação/Comissão solicitará ao licitante mais bem classificado que, no prazo de </w:t>
      </w:r>
      <w:r>
        <w:rPr>
          <w:rFonts w:ascii="Times New Roman" w:hAnsi="Times New Roman"/>
          <w:b/>
          <w:color w:val="000000" w:themeColor="text1"/>
          <w:sz w:val="24"/>
          <w:szCs w:val="24"/>
          <w14:textFill>
            <w14:solidFill>
              <w14:schemeClr w14:val="tx1"/>
            </w14:solidFill>
          </w14:textFill>
        </w:rPr>
        <w:t>24 (vinte e quatro) horas</w:t>
      </w:r>
      <w:r>
        <w:rPr>
          <w:rFonts w:ascii="Times New Roman" w:hAnsi="Times New Roman"/>
          <w:color w:val="000000" w:themeColor="text1"/>
          <w:sz w:val="24"/>
          <w:szCs w:val="24"/>
          <w14:textFill>
            <w14:solidFill>
              <w14:schemeClr w14:val="tx1"/>
            </w14:solidFill>
          </w14:textFill>
        </w:rPr>
        <w:t>, envie a proposta adequada ao último lance ofertado após a negociação realizada, acompanhada dos documentos abaixo relacionados, e se for o caso, dos documentos complementares, quando necessários à confirmação daqueles exigidos neste Edital e já apresentados.</w:t>
      </w:r>
    </w:p>
    <w:p w14:paraId="696C29D0">
      <w:pPr>
        <w:spacing w:before="72" w:beforeLines="30" w:after="72" w:afterLines="30"/>
        <w:jc w:val="both"/>
        <w:rPr>
          <w:color w:val="000000" w:themeColor="text1"/>
          <w:szCs w:val="24"/>
          <w14:textFill>
            <w14:solidFill>
              <w14:schemeClr w14:val="tx1"/>
            </w14:solidFill>
          </w14:textFill>
        </w:rPr>
      </w:pPr>
      <w:r>
        <w:rPr>
          <w:color w:val="000000" w:themeColor="text1"/>
          <w:szCs w:val="24"/>
          <w:lang w:eastAsia="pt-BR"/>
          <w14:textFill>
            <w14:solidFill>
              <w14:schemeClr w14:val="tx1"/>
            </w14:solidFill>
          </w14:textFill>
        </w:rPr>
        <w:t xml:space="preserve">a) O </w:t>
      </w:r>
      <w:r>
        <w:rPr>
          <w:bCs/>
          <w:color w:val="000000" w:themeColor="text1"/>
          <w:szCs w:val="24"/>
          <w:lang w:eastAsia="pt-BR"/>
          <w14:textFill>
            <w14:solidFill>
              <w14:schemeClr w14:val="tx1"/>
            </w14:solidFill>
          </w14:textFill>
        </w:rPr>
        <w:t>orçamento detalhado</w:t>
      </w:r>
      <w:r>
        <w:rPr>
          <w:color w:val="000000" w:themeColor="text1"/>
          <w:szCs w:val="24"/>
          <w:lang w:eastAsia="pt-BR"/>
          <w14:textFill>
            <w14:solidFill>
              <w14:schemeClr w14:val="tx1"/>
            </w14:solidFill>
          </w14:textFill>
        </w:rPr>
        <w:t xml:space="preserve">, com preços unitários e totais de material e mão de obra, expressos em reais, assinado por </w:t>
      </w:r>
      <w:r>
        <w:rPr>
          <w:bCs/>
          <w:color w:val="000000" w:themeColor="text1"/>
          <w:szCs w:val="24"/>
          <w:lang w:eastAsia="pt-BR"/>
          <w14:textFill>
            <w14:solidFill>
              <w14:schemeClr w14:val="tx1"/>
            </w14:solidFill>
          </w14:textFill>
        </w:rPr>
        <w:t>responsável técnico legalmente habilitado e por representante legal da empresa</w:t>
      </w:r>
      <w:r>
        <w:rPr>
          <w:color w:val="000000" w:themeColor="text1"/>
          <w:szCs w:val="24"/>
          <w:lang w:eastAsia="pt-BR"/>
          <w14:textFill>
            <w14:solidFill>
              <w14:schemeClr w14:val="tx1"/>
            </w14:solidFill>
          </w14:textFill>
        </w:rPr>
        <w:t xml:space="preserve">, considerando Modelo de Planilha Orçamentária </w:t>
      </w:r>
      <w:r>
        <w:rPr>
          <w:b/>
          <w:color w:val="000000" w:themeColor="text1"/>
          <w:szCs w:val="24"/>
          <w14:textFill>
            <w14:solidFill>
              <w14:schemeClr w14:val="tx1"/>
            </w14:solidFill>
          </w14:textFill>
        </w:rPr>
        <w:t>ANEXO V</w:t>
      </w:r>
      <w:r>
        <w:rPr>
          <w:color w:val="000000" w:themeColor="text1"/>
          <w:szCs w:val="24"/>
          <w14:textFill>
            <w14:solidFill>
              <w14:schemeClr w14:val="tx1"/>
            </w14:solidFill>
          </w14:textFill>
        </w:rPr>
        <w:t>.</w:t>
      </w:r>
    </w:p>
    <w:p w14:paraId="758CED2C">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b) O </w:t>
      </w:r>
      <w:r>
        <w:rPr>
          <w:bCs/>
          <w:color w:val="000000" w:themeColor="text1"/>
          <w:szCs w:val="24"/>
          <w14:textFill>
            <w14:solidFill>
              <w14:schemeClr w14:val="tx1"/>
            </w14:solidFill>
          </w14:textFill>
        </w:rPr>
        <w:t>cronograma físico-financeiro</w:t>
      </w:r>
      <w:r>
        <w:rPr>
          <w:color w:val="000000" w:themeColor="text1"/>
          <w:szCs w:val="24"/>
          <w14:textFill>
            <w14:solidFill>
              <w14:schemeClr w14:val="tx1"/>
            </w14:solidFill>
          </w14:textFill>
        </w:rPr>
        <w:t xml:space="preserve">, dividido em parcelas mensais bem definidas (mesmas parcelas que o cronograma da Administração), devendo espelhar relação de compatibilidade entre a execução física e a execução financeira, igualmente firmado por </w:t>
      </w:r>
      <w:r>
        <w:rPr>
          <w:bCs/>
          <w:color w:val="000000" w:themeColor="text1"/>
          <w:szCs w:val="24"/>
          <w14:textFill>
            <w14:solidFill>
              <w14:schemeClr w14:val="tx1"/>
            </w14:solidFill>
          </w14:textFill>
        </w:rPr>
        <w:t>responsável técnico legalmente habilitado e por representante legal da empresa</w:t>
      </w:r>
      <w:r>
        <w:rPr>
          <w:color w:val="000000" w:themeColor="text1"/>
          <w:szCs w:val="24"/>
          <w14:textFill>
            <w14:solidFill>
              <w14:schemeClr w14:val="tx1"/>
            </w14:solidFill>
          </w14:textFill>
        </w:rPr>
        <w:t xml:space="preserve">, considerando o Modelo de Cronograma físico-financeiro </w:t>
      </w:r>
      <w:r>
        <w:rPr>
          <w:b/>
          <w:color w:val="000000" w:themeColor="text1"/>
          <w:szCs w:val="24"/>
          <w14:textFill>
            <w14:solidFill>
              <w14:schemeClr w14:val="tx1"/>
            </w14:solidFill>
          </w14:textFill>
        </w:rPr>
        <w:t>ANEXO VI</w:t>
      </w:r>
      <w:r>
        <w:rPr>
          <w:color w:val="000000" w:themeColor="text1"/>
          <w:szCs w:val="24"/>
          <w14:textFill>
            <w14:solidFill>
              <w14:schemeClr w14:val="tx1"/>
            </w14:solidFill>
          </w14:textFill>
        </w:rPr>
        <w:t>.</w:t>
      </w:r>
    </w:p>
    <w:p w14:paraId="3A739E4E">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c) </w:t>
      </w:r>
      <w:r>
        <w:rPr>
          <w:color w:val="000000" w:themeColor="text1"/>
          <w:szCs w:val="24"/>
          <w:lang w:eastAsia="pt-BR"/>
          <w14:textFill>
            <w14:solidFill>
              <w14:schemeClr w14:val="tx1"/>
            </w14:solidFill>
          </w14:textFill>
        </w:rPr>
        <w:t xml:space="preserve">A composição detalhada do </w:t>
      </w:r>
      <w:r>
        <w:rPr>
          <w:bCs/>
          <w:color w:val="000000" w:themeColor="text1"/>
          <w:szCs w:val="24"/>
          <w:lang w:eastAsia="pt-BR"/>
          <w14:textFill>
            <w14:solidFill>
              <w14:schemeClr w14:val="tx1"/>
            </w14:solidFill>
          </w14:textFill>
        </w:rPr>
        <w:t xml:space="preserve">BDI </w:t>
      </w:r>
      <w:r>
        <w:rPr>
          <w:color w:val="000000" w:themeColor="text1"/>
          <w:szCs w:val="24"/>
          <w:lang w:eastAsia="pt-BR"/>
          <w14:textFill>
            <w14:solidFill>
              <w14:schemeClr w14:val="tx1"/>
            </w14:solidFill>
          </w14:textFill>
        </w:rPr>
        <w:t xml:space="preserve">(Benefícios e Despesas Indiretas) referente à proposta, conforme </w:t>
      </w:r>
      <w:r>
        <w:rPr>
          <w:bCs/>
          <w:color w:val="000000" w:themeColor="text1"/>
          <w:szCs w:val="24"/>
          <w:lang w:eastAsia="pt-BR"/>
          <w14:textFill>
            <w14:solidFill>
              <w14:schemeClr w14:val="tx1"/>
            </w14:solidFill>
          </w14:textFill>
        </w:rPr>
        <w:t>MODELO</w:t>
      </w:r>
      <w:r>
        <w:rPr>
          <w:color w:val="000000" w:themeColor="text1"/>
          <w:szCs w:val="24"/>
          <w14:textFill>
            <w14:solidFill>
              <w14:schemeClr w14:val="tx1"/>
            </w14:solidFill>
          </w14:textFill>
        </w:rPr>
        <w:t xml:space="preserve"> </w:t>
      </w:r>
      <w:r>
        <w:rPr>
          <w:b/>
          <w:color w:val="000000" w:themeColor="text1"/>
          <w:szCs w:val="24"/>
          <w14:textFill>
            <w14:solidFill>
              <w14:schemeClr w14:val="tx1"/>
            </w14:solidFill>
          </w14:textFill>
        </w:rPr>
        <w:t>ANEXO VII</w:t>
      </w:r>
      <w:r>
        <w:rPr>
          <w:color w:val="000000" w:themeColor="text1"/>
          <w:szCs w:val="24"/>
          <w14:textFill>
            <w14:solidFill>
              <w14:schemeClr w14:val="tx1"/>
            </w14:solidFill>
          </w14:textFill>
        </w:rPr>
        <w:t>.</w:t>
      </w:r>
    </w:p>
    <w:p w14:paraId="008CF0C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7.21.</w:t>
      </w:r>
      <w:r>
        <w:rPr>
          <w:rFonts w:ascii="Times New Roman" w:hAnsi="Times New Roman"/>
          <w:b/>
          <w:bCs/>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t xml:space="preserve">As empresas licitantes optantes pelo </w:t>
      </w:r>
      <w:r>
        <w:rPr>
          <w:rFonts w:ascii="Times New Roman" w:hAnsi="Times New Roman"/>
          <w:b/>
          <w:bCs/>
          <w:color w:val="000000" w:themeColor="text1"/>
          <w:sz w:val="24"/>
          <w:szCs w:val="24"/>
          <w14:textFill>
            <w14:solidFill>
              <w14:schemeClr w14:val="tx1"/>
            </w14:solidFill>
          </w14:textFill>
        </w:rPr>
        <w:t xml:space="preserve">Simples Nacional </w:t>
      </w:r>
      <w:r>
        <w:rPr>
          <w:rFonts w:ascii="Times New Roman" w:hAnsi="Times New Roman"/>
          <w:color w:val="000000" w:themeColor="text1"/>
          <w:sz w:val="24"/>
          <w:szCs w:val="24"/>
          <w14:textFill>
            <w14:solidFill>
              <w14:schemeClr w14:val="tx1"/>
            </w14:solidFill>
          </w14:textFill>
        </w:rPr>
        <w:t>deverão apresentar percentuais de ISS, PIS e COFINS discriminados na composição do BDI que sejam compatíveis com as alíquotas a que a empresa está obrigada a recolher, previstas no Anexo IV da Lei Complementar n° 123/2006, bem como deverão observar para que a Composição dos Encargos Sociais não inclua os gastos relativos às contribuições que essas empresas estão dispensadas de recolhimento (Sesi, Senai, Sebrae etc.), conforme dispõe a legislação.</w:t>
      </w:r>
    </w:p>
    <w:p w14:paraId="39FDBEFC">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7.22.</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 xml:space="preserve">É facultado ao Agente de Contratação/Comissão prorrogar o prazo estabelecido no subitem </w:t>
      </w:r>
      <w:r>
        <w:rPr>
          <w:rFonts w:ascii="Times New Roman" w:hAnsi="Times New Roman"/>
          <w:b/>
          <w:color w:val="000000" w:themeColor="text1"/>
          <w:sz w:val="24"/>
          <w:szCs w:val="24"/>
          <w14:textFill>
            <w14:solidFill>
              <w14:schemeClr w14:val="tx1"/>
            </w14:solidFill>
          </w14:textFill>
        </w:rPr>
        <w:t>7.20.4</w:t>
      </w:r>
      <w:r>
        <w:rPr>
          <w:rFonts w:ascii="Times New Roman" w:hAnsi="Times New Roman"/>
          <w:color w:val="000000" w:themeColor="text1"/>
          <w:sz w:val="24"/>
          <w:szCs w:val="24"/>
          <w14:textFill>
            <w14:solidFill>
              <w14:schemeClr w14:val="tx1"/>
            </w14:solidFill>
          </w14:textFill>
        </w:rPr>
        <w:t>, a partir de solicitação fundamentada feita no chat pelo licitante, antes de findo o prazo.</w:t>
      </w:r>
    </w:p>
    <w:p w14:paraId="5694A85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7.23.</w:t>
      </w:r>
      <w:r>
        <w:rPr>
          <w:rFonts w:ascii="Times New Roman" w:hAnsi="Times New Roman"/>
          <w:color w:val="000000" w:themeColor="text1"/>
          <w:sz w:val="24"/>
          <w:szCs w:val="24"/>
          <w14:textFill>
            <w14:solidFill>
              <w14:schemeClr w14:val="tx1"/>
            </w14:solidFill>
          </w14:textFill>
        </w:rPr>
        <w:tab/>
      </w:r>
      <w:r>
        <w:rPr>
          <w:rFonts w:ascii="Times New Roman" w:hAnsi="Times New Roman"/>
          <w:color w:val="000000" w:themeColor="text1"/>
          <w:sz w:val="24"/>
          <w:szCs w:val="24"/>
          <w14:textFill>
            <w14:solidFill>
              <w14:schemeClr w14:val="tx1"/>
            </w14:solidFill>
          </w14:textFill>
        </w:rPr>
        <w:t>Após a negociação do preço, o Agente de Contratação/Comissão iniciará a fase de aceitação e julgamento da proposta.</w:t>
      </w:r>
    </w:p>
    <w:p w14:paraId="200AA191">
      <w:pPr>
        <w:pStyle w:val="86"/>
        <w:numPr>
          <w:ilvl w:val="0"/>
          <w:numId w:val="0"/>
        </w:numPr>
        <w:spacing w:before="72" w:beforeLines="30" w:after="72" w:afterLines="30" w:line="240" w:lineRule="auto"/>
        <w:rPr>
          <w:rFonts w:ascii="Times New Roman" w:hAnsi="Times New Roman" w:eastAsia="Times New Roman"/>
          <w:color w:val="000000" w:themeColor="text1"/>
          <w:sz w:val="24"/>
          <w:szCs w:val="24"/>
          <w14:textFill>
            <w14:solidFill>
              <w14:schemeClr w14:val="tx1"/>
            </w14:solidFill>
          </w14:textFill>
        </w:rPr>
      </w:pPr>
    </w:p>
    <w:p w14:paraId="52E5059A">
      <w:pPr>
        <w:pStyle w:val="20"/>
        <w:widowControl w:val="0"/>
        <w:spacing w:before="72" w:beforeLines="30" w:after="72" w:afterLines="30" w:line="240" w:lineRule="auto"/>
        <w:jc w:val="both"/>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8.</w:t>
      </w:r>
      <w:r>
        <w:rPr>
          <w:b/>
          <w:bCs/>
          <w:color w:val="000000" w:themeColor="text1"/>
          <w:szCs w:val="24"/>
          <w14:textFill>
            <w14:solidFill>
              <w14:schemeClr w14:val="tx1"/>
            </w14:solidFill>
          </w14:textFill>
        </w:rPr>
        <w:tab/>
      </w:r>
      <w:r>
        <w:rPr>
          <w:b/>
          <w:bCs/>
          <w:color w:val="000000" w:themeColor="text1"/>
          <w:szCs w:val="24"/>
          <w14:textFill>
            <w14:solidFill>
              <w14:schemeClr w14:val="tx1"/>
            </w14:solidFill>
          </w14:textFill>
        </w:rPr>
        <w:t>DA FASE DE JULGAMENTO</w:t>
      </w:r>
    </w:p>
    <w:p w14:paraId="3714BB30">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Encerrada a etapa de negociação, o Agente de contratação/Comissão verificará se o licitante provisoriamente classificado em primeiro lugar atende às condições de participação no certame, conforme previsto no art. 14 da Lei nº 14.133/2021, legislação correlata e no item 4.6.4 do edital, especialmente quanto à existência de sanção que impeça a participação no certame ou a futura contratação, mediante a consulta aos seguintes cadastros:</w:t>
      </w:r>
    </w:p>
    <w:p w14:paraId="315DFCE6">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 xml:space="preserve">Cadastro Nacional de Empresas Inidôneas e Suspensas - CEIS, mantido pela Controladoria-Geral da União (https://www.portaltransparencia.gov.br/sancoes/ceis); e </w:t>
      </w:r>
    </w:p>
    <w:p w14:paraId="7DBBE2EF">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8.1.2.</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Cadastro Nacional de Empresas Punidas – CNEP, mantido pela Controladoria-Geral da União (https://www.portaltransparencia.gov.br/sancoes/cnep).</w:t>
      </w:r>
    </w:p>
    <w:p w14:paraId="2BFDF3CB">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8.2.</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 consulta aos cadastros será realizada em nome da empresa licitante e também de seu sócio majoritário, por força da vedação de que trata o artigo 12 da Lei n° 8.429, de 1992.</w:t>
      </w:r>
    </w:p>
    <w:p w14:paraId="487E8E15">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8.3.</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Caso conste na Consulta de Situação do licitante a existência de Ocorrências Impeditivas Indiretas, o Agente de Contratação/Comissão diligenciará para verificar se houve fraude por parte das empresas apontadas no Relatório de Ocorrências Impeditivas Indiretas. (IN nº 3/2018, art. 29, caput)</w:t>
      </w:r>
    </w:p>
    <w:p w14:paraId="3A1DA594">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8.3.1.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 tentativa de burla será verificada por meio dos vínculos societários, linhas de fornecimento similares, dentre outros. (IN nº 3/2018, art. 29, §1º).</w:t>
      </w:r>
    </w:p>
    <w:p w14:paraId="1E65F277">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8.3.2.</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 licitante será convocado para manifestação previamente a uma eventual desclassificação. (IN nº 3/2018, art. 29, §2º).</w:t>
      </w:r>
    </w:p>
    <w:p w14:paraId="48136E96">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8.3.3.</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Constatada a existência de sanção, o licitante será reputado inabilitado, por falta de condição de participação.</w:t>
      </w:r>
    </w:p>
    <w:p w14:paraId="2C86428A">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8.4.</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Na hipótese de inversão das fases de habilitação e julgamento, caso atendidas as condições de participação, será iniciado o procedimento de habilitação.</w:t>
      </w:r>
    </w:p>
    <w:p w14:paraId="35B37E00">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8.5.</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Caso o licitante provisoriamente classificado em primeiro lugar tenha se utilizado de algum tratamento favorecido às ME/EPPs, o Agente de Contratação/Comissão verificará se faz jus ao benefício, em conformidade com este edital.</w:t>
      </w:r>
    </w:p>
    <w:p w14:paraId="41F5A5FC">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8.6.</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07ED822D">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8.7. Será desclassificada a proposta vencedora que: </w:t>
      </w:r>
    </w:p>
    <w:p w14:paraId="3DA7B2B8">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8.7.1. contiver vícios insanáveis;</w:t>
      </w:r>
    </w:p>
    <w:p w14:paraId="6580036D">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8.7.2.</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não obedecer às especificações técnicas contidas no Projeto Básico/Termo de Referência;</w:t>
      </w:r>
    </w:p>
    <w:p w14:paraId="7B104A7B">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8.7.3.</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apresentar preços inexequíveis ou permanecerem acima do preço máximo definido para a contratação;</w:t>
      </w:r>
    </w:p>
    <w:p w14:paraId="3B064160">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8.7.4.</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não tiverem sua exequibilidade demonstrada, quando exigido pela Administração;</w:t>
      </w:r>
    </w:p>
    <w:p w14:paraId="7A06E0E7">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8.7.5.</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apresentar desconformidade com quaisquer outras exigências deste Edital ou seus anexos, desde que insanável.</w:t>
      </w:r>
    </w:p>
    <w:p w14:paraId="74EF06BC">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8.8.</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No caso de bens e serviços em geral, é indício de inexequibilidade das propostas valores inferiores a 50% (cinquenta por cento) do valor orçado pela Administração.</w:t>
      </w:r>
    </w:p>
    <w:p w14:paraId="10E24E37">
      <w:pPr>
        <w:pStyle w:val="2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8.8.1.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A inexequibilidade, na hipótese de que trata o caput, só será considerada após diligência do Agente de Contratação/Comissão, que comprove:</w:t>
      </w:r>
    </w:p>
    <w:p w14:paraId="54DF4775">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8.8.1.1.que o custo do licitante ultrapassa o valor da proposta; e</w:t>
      </w:r>
    </w:p>
    <w:p w14:paraId="14C5252E">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8.8.1.2.inexistirem custos de oportunidade capazes de justificar o vulto da oferta.</w:t>
      </w:r>
    </w:p>
    <w:p w14:paraId="6A3008BC">
      <w:pPr>
        <w:pStyle w:val="2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8.9.</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Em contratação de obras e serviços de engenharia, além das disposições acima, a análise de exequibilidade e sobrepreço considerará o seguinte:</w:t>
      </w:r>
    </w:p>
    <w:p w14:paraId="4FCC08E2">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8.9.1.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Nos regimes de execução por tarefa, empreitada por preço global ou empreitada integral, semi-integrada ou integrada, a caracterização do sobrepreço se dará pela superação do valor global estimado;</w:t>
      </w:r>
    </w:p>
    <w:p w14:paraId="617DB837">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8.9.2.</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No regime de empreitada por preço unitário, a caracterização do sobrepreço se dará pela superação do valor global estimado e pela superação de custo unitário tido como relevante, conforme planilha anexa ao edital;</w:t>
      </w:r>
    </w:p>
    <w:p w14:paraId="2F110853">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8.9.3.</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No caso de obras e serviços de engenharia, serão consideradas inexequíveis as propostas cujos valores forem inferiores a 75% (setenta e cinco por cento) do valor orçado pela Administração, independentemente do regime de execução.</w:t>
      </w:r>
    </w:p>
    <w:p w14:paraId="3B7912AC">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8.9.4.</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ECE2501">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8.10.</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Se houver indícios de inexequibilidade da proposta de preço, ou em caso da necessidade de esclarecimentos complementares, poderão ser efetuadas diligências, para que a empresa comprove a exequibilidade da proposta.</w:t>
      </w:r>
    </w:p>
    <w:p w14:paraId="356E6D02">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858B0CD">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8.11.1.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Em se tratando de obras e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D83A8D4">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8.12.</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2EF08643">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8.12.1.</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 ajuste de que trata este dispositivo se limita a sanar erros ou falhas que não alterem a substância das propostas;</w:t>
      </w:r>
    </w:p>
    <w:p w14:paraId="5C5B897C">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8.12.2.</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Considera-se erro no preenchimento da planilha passível de correção a indicação de recolhimento de impostos e contribuições na forma do Simples Nacional, quando não cabível esse regime.</w:t>
      </w:r>
    </w:p>
    <w:p w14:paraId="3EB64F63">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8.13.</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Para fins de análise da proposta quanto ao cumprimento das especificações do objeto, poderá ser colhida a manifestação escrita do setor requisitante do serviço ou da área especializada no objeto.</w:t>
      </w:r>
    </w:p>
    <w:p w14:paraId="73104DAC">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8.14.</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Caso o Projeto Básico/Termo de Referência exija a apresentação de amostra, o licitante classificado em primeiro lugar deverá apresentá-la, sob pena de não aceitação da proposta.</w:t>
      </w:r>
    </w:p>
    <w:p w14:paraId="5380AEFA">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8.15.</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Por meio de mensagem no sistema, será divulgado o local e horário de realização do procedimento para a avaliação das amostras, cuja presença será facultada a todos os interessados, incluindo os demais licitantes.</w:t>
      </w:r>
    </w:p>
    <w:p w14:paraId="0AC59174">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8.16.</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Os resultados das avaliações serão divulgados por meio de mensagem no sistema.</w:t>
      </w:r>
    </w:p>
    <w:p w14:paraId="5869C071">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8.17.</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No caso de não haver entrega da amostra ou ocorrer atraso na entrega, sem justificativa aceita pelo Agente de Contratação/Comissão, ou havendo entrega de amostra fora das especificações previstas neste Edital, a proposta do licitante será recusada.</w:t>
      </w:r>
    </w:p>
    <w:p w14:paraId="6C089CD2">
      <w:pPr>
        <w:pStyle w:val="20"/>
        <w:widowControl w:val="0"/>
        <w:spacing w:before="72" w:beforeLines="30" w:after="72" w:afterLines="30" w:line="240" w:lineRule="auto"/>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8.18.</w:t>
      </w:r>
      <w:r>
        <w:rPr>
          <w:color w:val="000000" w:themeColor="text1"/>
          <w:szCs w:val="24"/>
          <w14:textFill>
            <w14:solidFill>
              <w14:schemeClr w14:val="tx1"/>
            </w14:solidFill>
          </w14:textFill>
        </w:rPr>
        <w:tab/>
      </w:r>
      <w:r>
        <w:rPr>
          <w:color w:val="000000" w:themeColor="text1"/>
          <w:szCs w:val="24"/>
          <w14:textFill>
            <w14:solidFill>
              <w14:schemeClr w14:val="tx1"/>
            </w14:solidFill>
          </w14:textFill>
        </w:rPr>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2175021A">
      <w:pPr>
        <w:pStyle w:val="86"/>
        <w:numPr>
          <w:ilvl w:val="0"/>
          <w:numId w:val="0"/>
        </w:numPr>
        <w:spacing w:before="72" w:beforeLines="30" w:after="72" w:afterLines="30" w:line="240" w:lineRule="auto"/>
        <w:rPr>
          <w:rFonts w:ascii="Times New Roman" w:hAnsi="Times New Roman" w:eastAsia="Times New Roman"/>
          <w:color w:val="000000" w:themeColor="text1"/>
          <w:sz w:val="24"/>
          <w:szCs w:val="24"/>
          <w14:textFill>
            <w14:solidFill>
              <w14:schemeClr w14:val="tx1"/>
            </w14:solidFill>
          </w14:textFill>
        </w:rPr>
      </w:pPr>
    </w:p>
    <w:p w14:paraId="20DE62CF">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bookmarkStart w:id="3" w:name="_Toc135469205"/>
      <w:bookmarkStart w:id="4" w:name="_Hlk82473550"/>
      <w:r>
        <w:rPr>
          <w:rFonts w:ascii="Times New Roman" w:hAnsi="Times New Roman"/>
          <w:color w:val="000000" w:themeColor="text1"/>
          <w:sz w:val="24"/>
          <w:szCs w:val="24"/>
          <w14:textFill>
            <w14:solidFill>
              <w14:schemeClr w14:val="tx1"/>
            </w14:solidFill>
          </w14:textFill>
        </w:rPr>
        <w:t>9. DA FASE DE HABILITAÇÃO</w:t>
      </w:r>
    </w:p>
    <w:p w14:paraId="0E815DFE">
      <w:pPr>
        <w:pStyle w:val="86"/>
        <w:numPr>
          <w:ilvl w:val="1"/>
          <w:numId w:val="7"/>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Os documentos previstos no Projeto Básico/Termo de Referência, necessários e suficientes para demonstrar a capacidade do licitante de realizar o objeto da licitação, serão exigidos para fins de habilitação, nos termos dos </w:t>
      </w:r>
      <w:r>
        <w:fldChar w:fldCharType="begin"/>
      </w:r>
      <w:r>
        <w:instrText xml:space="preserve"> HYPERLINK "http://www.planalto.gov.br/ccivil_03/_ato2019-2022/2021/lei/L14133.htm" \l "art62" </w:instrText>
      </w:r>
      <w:r>
        <w:fldChar w:fldCharType="separate"/>
      </w:r>
      <w:r>
        <w:rPr>
          <w:rStyle w:val="17"/>
          <w:rFonts w:ascii="Times New Roman" w:hAnsi="Times New Roman"/>
          <w:color w:val="000000" w:themeColor="text1"/>
          <w:sz w:val="24"/>
          <w:szCs w:val="24"/>
          <w14:textFill>
            <w14:solidFill>
              <w14:schemeClr w14:val="tx1"/>
            </w14:solidFill>
          </w14:textFill>
        </w:rPr>
        <w:t>arts. 62 a 70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13FF94FF">
      <w:pPr>
        <w:pStyle w:val="86"/>
        <w:numPr>
          <w:ilvl w:val="1"/>
          <w:numId w:val="7"/>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documentos exigidos para fins de habilitação poderão ser substituídos por registro cadastral emitido por órgão ou entidade pública, desde que o registro tenha sido feito em obediência ao disposto na Lei nº 14.133/2021.</w:t>
      </w:r>
    </w:p>
    <w:p w14:paraId="4F03A532">
      <w:pPr>
        <w:pStyle w:val="88"/>
        <w:numPr>
          <w:ilvl w:val="2"/>
          <w:numId w:val="7"/>
        </w:numPr>
        <w:spacing w:before="30" w:after="30" w:line="240" w:lineRule="auto"/>
        <w:ind w:left="0" w:right="-1" w:firstLine="0"/>
        <w:outlineLvl w:val="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Será exigida a apresentação dos documentos de habilitação apenas pelo licitante vencedor, que deverá apresentar exclusivamente na plataforma BLL em campo próprio, no prazo mínimo de </w:t>
      </w:r>
      <w:r>
        <w:rPr>
          <w:rFonts w:ascii="Times New Roman" w:hAnsi="Times New Roman" w:cs="Times New Roman"/>
          <w:b/>
          <w:color w:val="000000" w:themeColor="text1"/>
          <w:sz w:val="24"/>
          <w:szCs w:val="24"/>
          <w14:textFill>
            <w14:solidFill>
              <w14:schemeClr w14:val="tx1"/>
            </w14:solidFill>
          </w14:textFill>
        </w:rPr>
        <w:t>02 (duas) horas</w:t>
      </w:r>
      <w:r>
        <w:rPr>
          <w:rFonts w:ascii="Times New Roman" w:hAnsi="Times New Roman" w:cs="Times New Roman"/>
          <w:color w:val="000000" w:themeColor="text1"/>
          <w:sz w:val="24"/>
          <w:szCs w:val="24"/>
          <w14:textFill>
            <w14:solidFill>
              <w14:schemeClr w14:val="tx1"/>
            </w14:solidFill>
          </w14:textFill>
        </w:rPr>
        <w:t>, prorrogável a critério da Comissão.</w:t>
      </w:r>
    </w:p>
    <w:p w14:paraId="59E54F98">
      <w:pPr>
        <w:pStyle w:val="86"/>
        <w:numPr>
          <w:ilvl w:val="1"/>
          <w:numId w:val="7"/>
        </w:numPr>
        <w:spacing w:before="30" w:after="30" w:line="240" w:lineRule="auto"/>
        <w:ind w:left="0" w:right="-1"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Quando permitida a participação de empresas estrangeiras que não funcionem no País, as exigências de habilitação serão atendidas mediante documentos equivalentes, inicialmente apresentados em tradução livre.</w:t>
      </w:r>
    </w:p>
    <w:p w14:paraId="4D2B71A7">
      <w:pPr>
        <w:pStyle w:val="88"/>
        <w:numPr>
          <w:ilvl w:val="2"/>
          <w:numId w:val="7"/>
        </w:numPr>
        <w:spacing w:before="30" w:after="30" w:line="240" w:lineRule="auto"/>
        <w:ind w:left="0" w:right="-1"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fldChar w:fldCharType="begin"/>
      </w:r>
      <w:r>
        <w:instrText xml:space="preserve"> HYPERLINK "https://www.planalto.gov.br/ccivil_03/_ato2015-2018/2016/decreto/d8660.htm"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Decreto nº 8.660, de 29 de janeiro de 2016</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ou de outro que venha a substituí-lo, ou consularizados pelos respectivos consulados ou embaixadas.</w:t>
      </w:r>
    </w:p>
    <w:p w14:paraId="16B4020A">
      <w:pPr>
        <w:pStyle w:val="86"/>
        <w:numPr>
          <w:ilvl w:val="1"/>
          <w:numId w:val="7"/>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2BF0277">
      <w:pPr>
        <w:pStyle w:val="88"/>
        <w:numPr>
          <w:ilvl w:val="2"/>
          <w:numId w:val="7"/>
        </w:numPr>
        <w:spacing w:before="30" w:after="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Se o consórcio não for formado integralmente por microempresas ou empresas de pequeno porte e o projeto básico/termo de referência exigir requisitos de habilitação econômico-financeira, haverá um acréscimo de um percentual 30 %, para o consórcio em relação ao valor exigido para os licitantes individuais.</w:t>
      </w:r>
    </w:p>
    <w:p w14:paraId="44CE57FC">
      <w:pPr>
        <w:pStyle w:val="86"/>
        <w:numPr>
          <w:ilvl w:val="1"/>
          <w:numId w:val="7"/>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documentos exigidos para fins de habilitação poderão ser apresentados em original ou por cópia.</w:t>
      </w:r>
    </w:p>
    <w:p w14:paraId="3B1246B3">
      <w:pPr>
        <w:pStyle w:val="86"/>
        <w:numPr>
          <w:ilvl w:val="1"/>
          <w:numId w:val="7"/>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Será verificado se o licitante apresentou declaração de que atende aos requisitos de habilitação, e o declarante responderá pela veracidade das informações prestadas, na forma da lei (</w:t>
      </w:r>
      <w:r>
        <w:fldChar w:fldCharType="begin"/>
      </w:r>
      <w:r>
        <w:instrText xml:space="preserve"> HYPERLINK "http://www.planalto.gov.br/ccivil_03/_ato2019-2022/2021/lei/L14133.htm" \l "art63" </w:instrText>
      </w:r>
      <w:r>
        <w:fldChar w:fldCharType="separate"/>
      </w:r>
      <w:r>
        <w:rPr>
          <w:rStyle w:val="17"/>
          <w:rFonts w:ascii="Times New Roman" w:hAnsi="Times New Roman"/>
          <w:color w:val="000000" w:themeColor="text1"/>
          <w:sz w:val="24"/>
          <w:szCs w:val="24"/>
          <w14:textFill>
            <w14:solidFill>
              <w14:schemeClr w14:val="tx1"/>
            </w14:solidFill>
          </w14:textFill>
        </w:rPr>
        <w:t>art. 63, I, da Lei nº 14.133/2021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472F06EF">
      <w:pPr>
        <w:pStyle w:val="86"/>
        <w:numPr>
          <w:ilvl w:val="1"/>
          <w:numId w:val="7"/>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229EAB8">
      <w:pPr>
        <w:pStyle w:val="86"/>
        <w:numPr>
          <w:ilvl w:val="1"/>
          <w:numId w:val="7"/>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D1E8443">
      <w:pPr>
        <w:pStyle w:val="55"/>
        <w:numPr>
          <w:ilvl w:val="1"/>
          <w:numId w:val="7"/>
        </w:numPr>
        <w:suppressAutoHyphens w:val="0"/>
        <w:spacing w:before="72" w:beforeLines="30" w:after="72" w:afterLines="30"/>
        <w:ind w:left="0" w:firstLine="0"/>
        <w:contextualSpacing w:val="0"/>
        <w:jc w:val="both"/>
        <w:rPr>
          <w:b/>
          <w:bCs/>
          <w:color w:val="000000" w:themeColor="text1"/>
          <w:szCs w:val="24"/>
          <w14:textFill>
            <w14:solidFill>
              <w14:schemeClr w14:val="tx1"/>
            </w14:solidFill>
          </w14:textFill>
        </w:rPr>
      </w:pPr>
      <w:r>
        <w:rPr>
          <w:b/>
          <w:bCs/>
          <w:color w:val="000000" w:themeColor="text1"/>
          <w:szCs w:val="24"/>
          <w14:textFill>
            <w14:solidFill>
              <w14:schemeClr w14:val="tx1"/>
            </w14:solidFill>
          </w14:textFill>
        </w:rPr>
        <w:t xml:space="preserve">Habilitação jurídica: </w:t>
      </w:r>
    </w:p>
    <w:p w14:paraId="26C4DC14">
      <w:pPr>
        <w:pStyle w:val="86"/>
        <w:numPr>
          <w:ilvl w:val="2"/>
          <w:numId w:val="7"/>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bookmarkStart w:id="5" w:name="_Hlk167112769"/>
      <w:bookmarkStart w:id="6" w:name="_Hlk167112488"/>
      <w:bookmarkStart w:id="7" w:name="_Hlk173239107"/>
      <w:r>
        <w:rPr>
          <w:rFonts w:ascii="Times New Roman" w:hAnsi="Times New Roman"/>
          <w:b/>
          <w:bCs/>
          <w:color w:val="000000" w:themeColor="text1"/>
          <w:sz w:val="24"/>
          <w:szCs w:val="24"/>
          <w14:textFill>
            <w14:solidFill>
              <w14:schemeClr w14:val="tx1"/>
            </w14:solidFill>
          </w14:textFill>
        </w:rPr>
        <w:t>Empresário individual</w:t>
      </w:r>
      <w:r>
        <w:rPr>
          <w:rFonts w:ascii="Times New Roman" w:hAnsi="Times New Roman"/>
          <w:color w:val="000000" w:themeColor="text1"/>
          <w:sz w:val="24"/>
          <w:szCs w:val="24"/>
          <w14:textFill>
            <w14:solidFill>
              <w14:schemeClr w14:val="tx1"/>
            </w14:solidFill>
          </w14:textFill>
        </w:rPr>
        <w:t xml:space="preserve">: inscrição no Registro Público de Empresas Mercantis, a cargo da Junta Comercial da respectiva sede; </w:t>
      </w:r>
    </w:p>
    <w:p w14:paraId="693BA7A8">
      <w:pPr>
        <w:pStyle w:val="86"/>
        <w:numPr>
          <w:ilvl w:val="2"/>
          <w:numId w:val="7"/>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Sociedade empresária, sociedade limitada unipessoal – SLU ou sociedade identificada como empresa individual de responsabilidade limitada - EIRELI</w:t>
      </w:r>
      <w:r>
        <w:rPr>
          <w:rFonts w:ascii="Times New Roman" w:hAnsi="Times New Roman"/>
          <w:color w:val="000000" w:themeColor="text1"/>
          <w:sz w:val="24"/>
          <w:szCs w:val="24"/>
          <w14:textFill>
            <w14:solidFill>
              <w14:schemeClr w14:val="tx1"/>
            </w14:solidFill>
          </w14:textFill>
        </w:rPr>
        <w:t>: inscrição do ato constitutivo, estatuto ou contrato social no Registro Público de Empresas Mercantis, a cargo da Junta Comercial da respectiva sede, acompanhada de documento comprobatório de seus administradores;</w:t>
      </w:r>
    </w:p>
    <w:p w14:paraId="309BC14F">
      <w:pPr>
        <w:pStyle w:val="86"/>
        <w:numPr>
          <w:ilvl w:val="2"/>
          <w:numId w:val="8"/>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Sociedade empresária estrangeira</w:t>
      </w:r>
      <w:r>
        <w:rPr>
          <w:rFonts w:ascii="Times New Roman" w:hAnsi="Times New Roman"/>
          <w:color w:val="000000" w:themeColor="text1"/>
          <w:sz w:val="24"/>
          <w:szCs w:val="24"/>
          <w14:textFill>
            <w14:solidFill>
              <w14:schemeClr w14:val="tx1"/>
            </w14:solidFill>
          </w14:textFil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253AF0A">
      <w:pPr>
        <w:pStyle w:val="86"/>
        <w:numPr>
          <w:ilvl w:val="2"/>
          <w:numId w:val="8"/>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Sociedade simples</w:t>
      </w:r>
      <w:r>
        <w:rPr>
          <w:rFonts w:ascii="Times New Roman" w:hAnsi="Times New Roman"/>
          <w:color w:val="000000" w:themeColor="text1"/>
          <w:sz w:val="24"/>
          <w:szCs w:val="24"/>
          <w14:textFill>
            <w14:solidFill>
              <w14:schemeClr w14:val="tx1"/>
            </w14:solidFill>
          </w14:textFill>
        </w:rPr>
        <w:t>: inscrição do ato constitutivo no Registro Civil de Pessoas Jurídicas do local de sua sede, acompanhada de documento comprobatório de seus administradores;</w:t>
      </w:r>
    </w:p>
    <w:p w14:paraId="3F6F0D71">
      <w:pPr>
        <w:pStyle w:val="86"/>
        <w:numPr>
          <w:ilvl w:val="2"/>
          <w:numId w:val="8"/>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Filial, sucursal ou agência de sociedade simples ou empresária</w:t>
      </w:r>
      <w:r>
        <w:rPr>
          <w:rFonts w:ascii="Times New Roman" w:hAnsi="Times New Roman"/>
          <w:color w:val="000000" w:themeColor="text1"/>
          <w:sz w:val="24"/>
          <w:szCs w:val="24"/>
          <w14:textFill>
            <w14:solidFill>
              <w14:schemeClr w14:val="tx1"/>
            </w14:solidFill>
          </w14:textFill>
        </w:rPr>
        <w:t xml:space="preserve">: inscrição do ato constitutivo da filial, sucursal ou agência da sociedade simples ou empresária, respectivamente, no Registro Civil das Pessoas Jurídicas ou no Registro Público de Empresas </w:t>
      </w:r>
      <w:bookmarkStart w:id="8" w:name="_Int_ySfCXwr4"/>
      <w:r>
        <w:rPr>
          <w:rFonts w:ascii="Times New Roman" w:hAnsi="Times New Roman"/>
          <w:color w:val="000000" w:themeColor="text1"/>
          <w:sz w:val="24"/>
          <w:szCs w:val="24"/>
          <w14:textFill>
            <w14:solidFill>
              <w14:schemeClr w14:val="tx1"/>
            </w14:solidFill>
          </w14:textFill>
        </w:rPr>
        <w:t>Mercantis onde</w:t>
      </w:r>
      <w:bookmarkEnd w:id="8"/>
      <w:r>
        <w:rPr>
          <w:rFonts w:ascii="Times New Roman" w:hAnsi="Times New Roman"/>
          <w:color w:val="000000" w:themeColor="text1"/>
          <w:sz w:val="24"/>
          <w:szCs w:val="24"/>
          <w14:textFill>
            <w14:solidFill>
              <w14:schemeClr w14:val="tx1"/>
            </w14:solidFill>
          </w14:textFill>
        </w:rPr>
        <w:t xml:space="preserve"> opera, com averbação no Registro onde tem sede a matriz</w:t>
      </w:r>
    </w:p>
    <w:p w14:paraId="226376BA">
      <w:pPr>
        <w:pStyle w:val="86"/>
        <w:numPr>
          <w:ilvl w:val="2"/>
          <w:numId w:val="8"/>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documentos apresentados deverão estar acompanhados de todas as alterações ou da consolidação respectiva.</w:t>
      </w:r>
    </w:p>
    <w:p w14:paraId="5CCE8CC5">
      <w:pPr>
        <w:pStyle w:val="376"/>
        <w:numPr>
          <w:ilvl w:val="1"/>
          <w:numId w:val="8"/>
        </w:numPr>
        <w:spacing w:before="30" w:after="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Habilitação fiscal, social e trabalhista</w:t>
      </w:r>
    </w:p>
    <w:p w14:paraId="7AFB3B2D">
      <w:pPr>
        <w:pStyle w:val="86"/>
        <w:numPr>
          <w:ilvl w:val="2"/>
          <w:numId w:val="9"/>
        </w:numPr>
        <w:spacing w:before="30" w:after="30" w:line="240" w:lineRule="auto"/>
        <w:rPr>
          <w:rFonts w:ascii="Times New Roman" w:hAnsi="Times New Roman"/>
          <w:strike/>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Prova de inscrição no Cadastro Nacional de Pessoas Jurídicas;</w:t>
      </w:r>
    </w:p>
    <w:p w14:paraId="131A36D8">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FB6BBEE">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Prova de regularidade com o Fundo de Garantia do Tempo de Serviço (FGTS);</w:t>
      </w:r>
    </w:p>
    <w:p w14:paraId="505493E5">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Prova de inexistência de débitos inadimplidos perante a Justiça do Trabalho, mediante a apresentação de certidão negativa ou positiva com efeito de negativa, nos termos do Título VII-A da Consolidação das Leis do Trabalho, aprovada pelo </w:t>
      </w:r>
      <w:r>
        <w:fldChar w:fldCharType="begin"/>
      </w:r>
      <w:r>
        <w:instrText xml:space="preserve"> HYPERLINK "https://www.planalto.gov.br/ccivil_03/decreto-lei/del5452.htm" \h </w:instrText>
      </w:r>
      <w:r>
        <w:fldChar w:fldCharType="separate"/>
      </w:r>
      <w:r>
        <w:rPr>
          <w:rStyle w:val="17"/>
          <w:rFonts w:ascii="Times New Roman" w:hAnsi="Times New Roman"/>
          <w:color w:val="000000" w:themeColor="text1"/>
          <w:sz w:val="24"/>
          <w:szCs w:val="24"/>
          <w14:textFill>
            <w14:solidFill>
              <w14:schemeClr w14:val="tx1"/>
            </w14:solidFill>
          </w14:textFill>
        </w:rPr>
        <w:t>Decreto-Lei nº 5.452, de 1º de maio de 1943</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57BA8A89">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Prova de regularidade com a Fazenda Municipal do domicílio ou sede do fornecedor, relativa à atividade em cujo exercício contrata ou concorre.</w:t>
      </w:r>
    </w:p>
    <w:p w14:paraId="2A619B83">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Caso o fornecedor seja considerado isento dos tributos relacionados ao objeto contratual, deverá comprovar tal condição mediante a apresentação de declaração da Fazenda respectiva do seu domicílio ou sede, ou outra equivalente, na forma da lei.</w:t>
      </w:r>
      <w:bookmarkStart w:id="9" w:name="_Hlk121934117"/>
    </w:p>
    <w:p w14:paraId="7D97C016">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9"/>
    <w:p w14:paraId="41B1017B">
      <w:pPr>
        <w:pStyle w:val="376"/>
        <w:numPr>
          <w:ilvl w:val="1"/>
          <w:numId w:val="9"/>
        </w:numPr>
        <w:spacing w:before="30" w:after="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Qualificação Econômico-Financeira</w:t>
      </w:r>
    </w:p>
    <w:p w14:paraId="3E929E54">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Certidão negativa de falência expedida pelo distribuidor da sede do fornecedor - Lei nº 14.133, de 2021, art. 69, caput, inciso II);</w:t>
      </w:r>
    </w:p>
    <w:p w14:paraId="19D0E3C5">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Style w:val="79"/>
          <w:rFonts w:ascii="Times New Roman" w:hAnsi="Times New Roman" w:eastAsia="Arial"/>
          <w:color w:val="000000" w:themeColor="text1"/>
          <w:sz w:val="24"/>
          <w:szCs w:val="24"/>
          <w14:textFill>
            <w14:solidFill>
              <w14:schemeClr w14:val="tx1"/>
            </w14:solidFill>
          </w14:textFill>
        </w:rPr>
        <w:t>Balanço patrimonial, demonstração de resultado de exercício e demais demonstrações contábeis dos 2 (dois) últimos exercícios sociais, comprovando:</w:t>
      </w:r>
    </w:p>
    <w:p w14:paraId="7DBEBB94">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Style w:val="79"/>
          <w:rFonts w:ascii="Times New Roman" w:hAnsi="Times New Roman" w:eastAsia="Arial"/>
          <w:color w:val="000000" w:themeColor="text1"/>
          <w:sz w:val="24"/>
          <w:szCs w:val="24"/>
          <w14:textFill>
            <w14:solidFill>
              <w14:schemeClr w14:val="tx1"/>
            </w14:solidFill>
          </w14:textFill>
        </w:rPr>
        <w:t xml:space="preserve">Índices de Liquidez Geral (LG), Liquidez Corrente (LC), e Solvência Geral (SG) superiores a 1 (um); </w:t>
      </w:r>
    </w:p>
    <w:p w14:paraId="192F13C1">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Style w:val="79"/>
          <w:rFonts w:ascii="Times New Roman" w:hAnsi="Times New Roman" w:eastAsia="Arial"/>
          <w:color w:val="000000" w:themeColor="text1"/>
          <w:sz w:val="24"/>
          <w:szCs w:val="24"/>
          <w14:textFill>
            <w14:solidFill>
              <w14:schemeClr w14:val="tx1"/>
            </w14:solidFill>
          </w14:textFill>
        </w:rPr>
        <w:t>As empresas criadas no exercício financeiro da licitação deverão atender a todas as exigências da habilitação e poderão substituir os demonstrativos contábeis pelo balanço de abertura; e</w:t>
      </w:r>
    </w:p>
    <w:p w14:paraId="3E1597AC">
      <w:pPr>
        <w:pStyle w:val="86"/>
        <w:numPr>
          <w:ilvl w:val="2"/>
          <w:numId w:val="9"/>
        </w:numPr>
        <w:spacing w:before="30" w:after="30" w:line="240" w:lineRule="auto"/>
        <w:ind w:left="0" w:firstLine="0"/>
        <w:rPr>
          <w:rStyle w:val="79"/>
          <w:rFonts w:ascii="Times New Roman" w:hAnsi="Times New Roman"/>
          <w:color w:val="000000" w:themeColor="text1"/>
          <w:sz w:val="24"/>
          <w:szCs w:val="24"/>
          <w14:textFill>
            <w14:solidFill>
              <w14:schemeClr w14:val="tx1"/>
            </w14:solidFill>
          </w14:textFill>
        </w:rPr>
      </w:pPr>
      <w:r>
        <w:rPr>
          <w:rStyle w:val="79"/>
          <w:rFonts w:ascii="Times New Roman" w:hAnsi="Times New Roman" w:eastAsia="Arial"/>
          <w:color w:val="000000" w:themeColor="text1"/>
          <w:sz w:val="24"/>
          <w:szCs w:val="24"/>
          <w14:textFill>
            <w14:solidFill>
              <w14:schemeClr w14:val="tx1"/>
            </w14:solidFill>
          </w14:textFill>
        </w:rPr>
        <w:t>Os documentos referidos acima limitar-se-ão ao último exercício no caso de a pessoa jurídica ter sido constituída há menos de 2 (dois) anos. </w:t>
      </w:r>
    </w:p>
    <w:p w14:paraId="5D68830A">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documentos referidos acima deverão ser exigidos com base no limite definido pela Receita Federal do Brasil para transmissão da Escrituração Contábil Digital - ECD ao Sped.</w:t>
      </w:r>
    </w:p>
    <w:p w14:paraId="0D780382">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Caso a empresa licitante apresente resultado inferior ou igual a 1 (um) em qualquer dos índices de Liquidez Geral (LG), Solvência Geral (SG) e Liquidez Corrente (LC), será exigido para fins de habilitação capital mínimo de </w:t>
      </w:r>
      <w:r>
        <w:rPr>
          <w:rFonts w:ascii="Times New Roman" w:hAnsi="Times New Roman"/>
          <w:b/>
          <w:bCs/>
          <w:color w:val="000000" w:themeColor="text1"/>
          <w:sz w:val="24"/>
          <w:szCs w:val="24"/>
          <w14:textFill>
            <w14:solidFill>
              <w14:schemeClr w14:val="tx1"/>
            </w14:solidFill>
          </w14:textFill>
        </w:rPr>
        <w:t xml:space="preserve">10% (dez por cento) </w:t>
      </w:r>
      <w:r>
        <w:rPr>
          <w:rFonts w:ascii="Times New Roman" w:hAnsi="Times New Roman"/>
          <w:color w:val="000000" w:themeColor="text1"/>
          <w:sz w:val="24"/>
          <w:szCs w:val="24"/>
          <w14:textFill>
            <w14:solidFill>
              <w14:schemeClr w14:val="tx1"/>
            </w14:solidFill>
          </w14:textFill>
        </w:rPr>
        <w:t>do valor total estimado da parcela pertinente.</w:t>
      </w:r>
    </w:p>
    <w:p w14:paraId="502B42C8">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As empresas criadas no exercício financeiro da licitação deverão atender a todas as exigências da habilitação e poderão substituir os demonstrativos contábeis pelo balanço de abertura. (</w:t>
      </w:r>
      <w:r>
        <w:rPr>
          <w:rFonts w:ascii="Times New Roman" w:hAnsi="Times New Roman"/>
          <w:color w:val="000000" w:themeColor="text1"/>
          <w:sz w:val="24"/>
          <w:szCs w:val="24"/>
          <w:u w:val="single"/>
          <w14:textFill>
            <w14:solidFill>
              <w14:schemeClr w14:val="tx1"/>
            </w14:solidFill>
          </w14:textFill>
        </w:rPr>
        <w:t>Lei nº 14.133, de 2021, art. 65, §1º</w:t>
      </w:r>
      <w:r>
        <w:rPr>
          <w:rFonts w:ascii="Times New Roman" w:hAnsi="Times New Roman"/>
          <w:color w:val="000000" w:themeColor="text1"/>
          <w:sz w:val="24"/>
          <w:szCs w:val="24"/>
          <w14:textFill>
            <w14:solidFill>
              <w14:schemeClr w14:val="tx1"/>
            </w14:solidFill>
          </w14:textFill>
        </w:rPr>
        <w:t>).</w:t>
      </w:r>
    </w:p>
    <w:p w14:paraId="26ADC11C">
      <w:pPr>
        <w:pStyle w:val="86"/>
        <w:numPr>
          <w:ilvl w:val="2"/>
          <w:numId w:val="9"/>
        </w:numPr>
        <w:spacing w:before="30" w:after="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atendimento dos índices econômicos previstos neste item deverá ser atestado mediante declaração assinada por profissional habilitado da área contábil, apresentada pelo fornecedor.</w:t>
      </w:r>
    </w:p>
    <w:p w14:paraId="72D60977">
      <w:pPr>
        <w:pStyle w:val="86"/>
        <w:numPr>
          <w:ilvl w:val="1"/>
          <w:numId w:val="9"/>
        </w:numPr>
        <w:spacing w:before="30" w:after="30" w:line="240" w:lineRule="auto"/>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Qualificação Técnica</w:t>
      </w:r>
    </w:p>
    <w:p w14:paraId="1836003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9.12.1 </w:t>
      </w:r>
      <w:r>
        <w:rPr>
          <w:rFonts w:ascii="Times New Roman" w:hAnsi="Times New Roman"/>
          <w:b/>
          <w:color w:val="000000" w:themeColor="text1"/>
          <w:sz w:val="24"/>
          <w:szCs w:val="24"/>
          <w14:textFill>
            <w14:solidFill>
              <w14:schemeClr w14:val="tx1"/>
            </w14:solidFill>
          </w14:textFill>
        </w:rPr>
        <w:t>Atestado de visita técnica</w:t>
      </w:r>
      <w:r>
        <w:rPr>
          <w:rFonts w:ascii="Times New Roman" w:hAnsi="Times New Roman"/>
          <w:color w:val="000000" w:themeColor="text1"/>
          <w:sz w:val="24"/>
          <w:szCs w:val="24"/>
          <w14:textFill>
            <w14:solidFill>
              <w14:schemeClr w14:val="tx1"/>
            </w14:solidFill>
          </w14:textFill>
        </w:rPr>
        <w:t xml:space="preserve"> comprovando que o licitante tomou conhecimento de todas as informações e das condições locais para o cumprimento das obrigações objeto da licitação;</w:t>
      </w:r>
    </w:p>
    <w:p w14:paraId="6AB2D355">
      <w:pPr>
        <w:suppressAutoHyphens w:val="0"/>
        <w:autoSpaceDE w:val="0"/>
        <w:autoSpaceDN w:val="0"/>
        <w:adjustRightInd w:val="0"/>
        <w:spacing w:before="72" w:beforeLines="30" w:after="72" w:afterLines="30"/>
        <w:jc w:val="both"/>
        <w:rPr>
          <w:rFonts w:eastAsia="Calibri"/>
          <w:color w:val="000000" w:themeColor="text1"/>
          <w:szCs w:val="24"/>
          <w:lang w:eastAsia="pt-BR"/>
          <w14:textFill>
            <w14:solidFill>
              <w14:schemeClr w14:val="tx1"/>
            </w14:solidFill>
          </w14:textFill>
        </w:rPr>
      </w:pPr>
      <w:r>
        <w:rPr>
          <w:rFonts w:eastAsia="Calibri"/>
          <w:color w:val="000000" w:themeColor="text1"/>
          <w:szCs w:val="24"/>
          <w:lang w:eastAsia="pt-BR"/>
          <w14:textFill>
            <w14:solidFill>
              <w14:schemeClr w14:val="tx1"/>
            </w14:solidFill>
          </w14:textFill>
        </w:rPr>
        <w:t>9.12.1.1 Será assegurado ao interessado o direito de realizar vistoria prévia no local de execução dos serviços, acompanhado por servidor designado para esse fim, no horário das 07h00 às 10h00 e das 13h00 às 16h00, de segunda a sexta-feira, conforme o horário oficial do Estado de Mato Grosso do Sul. A vistoria deverá ser agendada previamente, com antecedência mínima de 24 horas em relação à data do certame, por meio do telefone (67) 3495-1107 ou pelo WhatsApp (67) 9 9296-6652.</w:t>
      </w:r>
    </w:p>
    <w:p w14:paraId="69625B2A">
      <w:pPr>
        <w:suppressAutoHyphens w:val="0"/>
        <w:autoSpaceDE w:val="0"/>
        <w:autoSpaceDN w:val="0"/>
        <w:adjustRightInd w:val="0"/>
        <w:spacing w:before="72" w:beforeLines="30" w:after="72" w:afterLines="30"/>
        <w:jc w:val="both"/>
        <w:rPr>
          <w:rFonts w:eastAsia="Calibri"/>
          <w:color w:val="000000" w:themeColor="text1"/>
          <w:szCs w:val="24"/>
          <w:lang w:eastAsia="pt-BR"/>
          <w14:textFill>
            <w14:solidFill>
              <w14:schemeClr w14:val="tx1"/>
            </w14:solidFill>
          </w14:textFill>
        </w:rPr>
      </w:pPr>
      <w:r>
        <w:rPr>
          <w:rFonts w:eastAsia="Calibri"/>
          <w:color w:val="000000" w:themeColor="text1"/>
          <w:szCs w:val="24"/>
          <w:lang w:eastAsia="pt-BR"/>
          <w14:textFill>
            <w14:solidFill>
              <w14:schemeClr w14:val="tx1"/>
            </w14:solidFill>
          </w14:textFill>
        </w:rPr>
        <w:t>9.12.1.2 Serão disponibilizados datas e horários distintos para os interessados em realizar a vistoria prévia.</w:t>
      </w:r>
    </w:p>
    <w:p w14:paraId="7D503AB0">
      <w:pPr>
        <w:suppressAutoHyphens w:val="0"/>
        <w:autoSpaceDE w:val="0"/>
        <w:autoSpaceDN w:val="0"/>
        <w:adjustRightInd w:val="0"/>
        <w:spacing w:before="72" w:beforeLines="30" w:after="72" w:afterLines="30"/>
        <w:jc w:val="both"/>
        <w:rPr>
          <w:rFonts w:eastAsia="Calibri"/>
          <w:color w:val="000000" w:themeColor="text1"/>
          <w:szCs w:val="24"/>
          <w:lang w:eastAsia="pt-BR"/>
          <w14:textFill>
            <w14:solidFill>
              <w14:schemeClr w14:val="tx1"/>
            </w14:solidFill>
          </w14:textFill>
        </w:rPr>
      </w:pPr>
      <w:r>
        <w:rPr>
          <w:rFonts w:eastAsia="Calibri"/>
          <w:color w:val="000000" w:themeColor="text1"/>
          <w:szCs w:val="24"/>
          <w:lang w:eastAsia="pt-BR"/>
          <w14:textFill>
            <w14:solidFill>
              <w14:schemeClr w14:val="tx1"/>
            </w14:solidFill>
          </w14:textFill>
        </w:rPr>
        <w:t>9.12.1.3 Para a realização da vistoria, o representante legal da empresa ou o responsável técnico deverá estar devidamente identificado, mediante apresentação de documento de identidade civil e de documento expedido pela empresa que comprove sua autorização e habilitação para representá-la no ato.</w:t>
      </w:r>
    </w:p>
    <w:p w14:paraId="09E86960">
      <w:pPr>
        <w:suppressAutoHyphens w:val="0"/>
        <w:autoSpaceDE w:val="0"/>
        <w:autoSpaceDN w:val="0"/>
        <w:adjustRightInd w:val="0"/>
        <w:spacing w:before="72" w:beforeLines="30" w:after="72" w:afterLines="30"/>
        <w:jc w:val="both"/>
        <w:rPr>
          <w:rFonts w:eastAsia="Calibri"/>
          <w:color w:val="000000" w:themeColor="text1"/>
          <w:szCs w:val="24"/>
          <w:lang w:eastAsia="pt-BR"/>
          <w14:textFill>
            <w14:solidFill>
              <w14:schemeClr w14:val="tx1"/>
            </w14:solidFill>
          </w14:textFill>
        </w:rPr>
      </w:pPr>
      <w:r>
        <w:rPr>
          <w:rFonts w:eastAsia="Calibri"/>
          <w:color w:val="000000" w:themeColor="text1"/>
          <w:szCs w:val="24"/>
          <w:lang w:eastAsia="pt-BR"/>
          <w14:textFill>
            <w14:solidFill>
              <w14:schemeClr w14:val="tx1"/>
            </w14:solidFill>
          </w14:textFill>
        </w:rPr>
        <w:t xml:space="preserve">9.12.1.4 Caso o licitante opte por não realizar a vistoria, deverá apresentar </w:t>
      </w:r>
      <w:r>
        <w:rPr>
          <w:rFonts w:eastAsia="Calibri"/>
          <w:b/>
          <w:color w:val="000000" w:themeColor="text1"/>
          <w:szCs w:val="24"/>
          <w:lang w:eastAsia="pt-BR"/>
          <w14:textFill>
            <w14:solidFill>
              <w14:schemeClr w14:val="tx1"/>
            </w14:solidFill>
          </w14:textFill>
        </w:rPr>
        <w:t>Declaração de Renúncia da Vistoria</w:t>
      </w:r>
      <w:r>
        <w:rPr>
          <w:rFonts w:eastAsia="Calibri"/>
          <w:color w:val="000000" w:themeColor="text1"/>
          <w:szCs w:val="24"/>
          <w:lang w:eastAsia="pt-BR"/>
          <w14:textFill>
            <w14:solidFill>
              <w14:schemeClr w14:val="tx1"/>
            </w14:solidFill>
          </w14:textFill>
        </w:rPr>
        <w:t xml:space="preserve">, assinada pelo representante legal da empresa, assumindo inteiramente a responsabilidade ou consequências por essa omissão. </w:t>
      </w:r>
    </w:p>
    <w:p w14:paraId="341F5008">
      <w:pPr>
        <w:suppressAutoHyphens w:val="0"/>
        <w:autoSpaceDE w:val="0"/>
        <w:autoSpaceDN w:val="0"/>
        <w:adjustRightInd w:val="0"/>
        <w:spacing w:before="72" w:beforeLines="30" w:after="72" w:afterLines="30"/>
        <w:jc w:val="both"/>
        <w:rPr>
          <w:rFonts w:eastAsia="Calibri"/>
          <w:color w:val="000000" w:themeColor="text1"/>
          <w:szCs w:val="24"/>
          <w:lang w:eastAsia="pt-BR"/>
          <w14:textFill>
            <w14:solidFill>
              <w14:schemeClr w14:val="tx1"/>
            </w14:solidFill>
          </w14:textFill>
        </w:rPr>
      </w:pPr>
      <w:r>
        <w:rPr>
          <w:rFonts w:eastAsia="Calibri"/>
          <w:color w:val="000000" w:themeColor="text1"/>
          <w:szCs w:val="24"/>
          <w:lang w:eastAsia="pt-BR"/>
          <w14:textFill>
            <w14:solidFill>
              <w14:schemeClr w14:val="tx1"/>
            </w14:solidFill>
          </w14:textFill>
        </w:rPr>
        <w:t>9.12.1.5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304E19AD">
      <w:pPr>
        <w:pStyle w:val="86"/>
        <w:numPr>
          <w:ilvl w:val="0"/>
          <w:numId w:val="0"/>
        </w:numPr>
        <w:spacing w:before="30" w:after="30" w:line="240" w:lineRule="auto"/>
        <w:rPr>
          <w:rFonts w:ascii="Times New Roman" w:hAnsi="Times New Roman"/>
          <w:color w:val="000000" w:themeColor="text1"/>
          <w:sz w:val="24"/>
          <w:szCs w:val="24"/>
          <w:u w:val="single"/>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9.12.2</w:t>
      </w:r>
      <w:r>
        <w:rPr>
          <w:rFonts w:ascii="Times New Roman" w:hAnsi="Times New Roman"/>
          <w:b/>
          <w:bCs/>
          <w:color w:val="000000" w:themeColor="text1"/>
          <w:sz w:val="24"/>
          <w:szCs w:val="24"/>
          <w14:textFill>
            <w14:solidFill>
              <w14:schemeClr w14:val="tx1"/>
            </w14:solidFill>
          </w14:textFill>
        </w:rPr>
        <w:t xml:space="preserve"> Certidão de Registro e Quitação de Pessoa Jurídica</w:t>
      </w:r>
      <w:r>
        <w:rPr>
          <w:rFonts w:ascii="Times New Roman" w:hAnsi="Times New Roman"/>
          <w:color w:val="000000" w:themeColor="text1"/>
          <w:sz w:val="24"/>
          <w:szCs w:val="24"/>
          <w14:textFill>
            <w14:solidFill>
              <w14:schemeClr w14:val="tx1"/>
            </w14:solidFill>
          </w14:textFill>
        </w:rPr>
        <w:t xml:space="preserve">, em nome da empresa licitante, emitida pela entidade profissional competente, </w:t>
      </w:r>
      <w:r>
        <w:rPr>
          <w:rFonts w:ascii="Times New Roman" w:hAnsi="Times New Roman"/>
          <w:b/>
          <w:bCs/>
          <w:color w:val="000000" w:themeColor="text1"/>
          <w:sz w:val="24"/>
          <w:szCs w:val="24"/>
          <w:u w:val="single"/>
          <w14:textFill>
            <w14:solidFill>
              <w14:schemeClr w14:val="tx1"/>
            </w14:solidFill>
          </w14:textFill>
        </w:rPr>
        <w:t>em plena validade.</w:t>
      </w:r>
    </w:p>
    <w:p w14:paraId="3F3BC25C">
      <w:pPr>
        <w:pStyle w:val="86"/>
        <w:numPr>
          <w:ilvl w:val="0"/>
          <w:numId w:val="0"/>
        </w:numPr>
        <w:spacing w:before="30" w:after="30" w:line="240" w:lineRule="auto"/>
        <w:rPr>
          <w:rFonts w:ascii="Times New Roman" w:hAnsi="Times New Roman"/>
          <w:color w:val="000000" w:themeColor="text1"/>
          <w:sz w:val="24"/>
          <w:szCs w:val="24"/>
          <w:u w:val="single"/>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9.12.3</w:t>
      </w:r>
      <w:r>
        <w:rPr>
          <w:rFonts w:ascii="Times New Roman" w:hAnsi="Times New Roman"/>
          <w:b/>
          <w:bCs/>
          <w:color w:val="000000" w:themeColor="text1"/>
          <w:sz w:val="24"/>
          <w:szCs w:val="24"/>
          <w14:textFill>
            <w14:solidFill>
              <w14:schemeClr w14:val="tx1"/>
            </w14:solidFill>
          </w14:textFill>
        </w:rPr>
        <w:t xml:space="preserve"> Qualificação técnico-operacional:</w:t>
      </w:r>
      <w:r>
        <w:rPr>
          <w:rFonts w:ascii="Times New Roman" w:hAnsi="Times New Roman"/>
          <w:color w:val="000000" w:themeColor="text1"/>
          <w:sz w:val="24"/>
          <w:szCs w:val="24"/>
          <w14:textFill>
            <w14:solidFill>
              <w14:schemeClr w14:val="tx1"/>
            </w14:solidFill>
          </w14:textFill>
        </w:rPr>
        <w:t xml:space="preserve"> Comprovação de aptidão para execução de serviços técnicos de complexidade tecnológica e operacional equivalente ou superior ao objeto desta contratação, por meio da apresentação certidão(ões) ou atestado(s) emitido(s) por pessoas jurídicas de direito público ou privado, ou regularmente emitido(s) pelo conselho profissional competente.</w:t>
      </w:r>
    </w:p>
    <w:p w14:paraId="729C2C52">
      <w:pPr>
        <w:pStyle w:val="86"/>
        <w:numPr>
          <w:ilvl w:val="0"/>
          <w:numId w:val="0"/>
        </w:numPr>
        <w:spacing w:before="30" w:after="30" w:line="240" w:lineRule="auto"/>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9.12.3.1 Para fins de comprovação do atendimento ao disposto neste subitem, os atestados apresentados deverão referir-se à execução de contratos com características iguais ou similares ao objeto licitado, contemplando, no mínimo, os itens e quantitativos indicados na tabela a seguir:</w:t>
      </w:r>
    </w:p>
    <w:p w14:paraId="786324A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9.12.4</w:t>
      </w:r>
      <w:r>
        <w:rPr>
          <w:rFonts w:ascii="Times New Roman" w:hAnsi="Times New Roman"/>
          <w:b/>
          <w:bCs/>
          <w:color w:val="000000" w:themeColor="text1"/>
          <w:sz w:val="24"/>
          <w:szCs w:val="24"/>
          <w14:textFill>
            <w14:solidFill>
              <w14:schemeClr w14:val="tx1"/>
            </w14:solidFill>
          </w14:textFill>
        </w:rPr>
        <w:t xml:space="preserve"> Certidão de Registro e Quitação de Pessoa Física</w:t>
      </w:r>
      <w:r>
        <w:rPr>
          <w:rFonts w:ascii="Times New Roman" w:hAnsi="Times New Roman"/>
          <w:color w:val="000000" w:themeColor="text1"/>
          <w:sz w:val="24"/>
          <w:szCs w:val="24"/>
          <w14:textFill>
            <w14:solidFill>
              <w14:schemeClr w14:val="tx1"/>
            </w14:solidFill>
          </w14:textFill>
        </w:rPr>
        <w:t xml:space="preserve">, em nome dos profissionais responsáveis técnicos pelas obras constantes do(s) atestado(s) de capacidade técnica apresentados, emitida pela entidade profissional competente, </w:t>
      </w:r>
      <w:r>
        <w:rPr>
          <w:rFonts w:ascii="Times New Roman" w:hAnsi="Times New Roman"/>
          <w:b/>
          <w:bCs/>
          <w:color w:val="000000" w:themeColor="text1"/>
          <w:sz w:val="24"/>
          <w:szCs w:val="24"/>
          <w:u w:val="single"/>
          <w14:textFill>
            <w14:solidFill>
              <w14:schemeClr w14:val="tx1"/>
            </w14:solidFill>
          </w14:textFill>
        </w:rPr>
        <w:t>em plena validade.</w:t>
      </w:r>
    </w:p>
    <w:p w14:paraId="0E81547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9.12.5</w:t>
      </w:r>
      <w:r>
        <w:rPr>
          <w:rFonts w:ascii="Times New Roman" w:hAnsi="Times New Roman"/>
          <w:b/>
          <w:bCs/>
          <w:color w:val="000000" w:themeColor="text1"/>
          <w:sz w:val="24"/>
          <w:szCs w:val="24"/>
          <w14:textFill>
            <w14:solidFill>
              <w14:schemeClr w14:val="tx1"/>
            </w14:solidFill>
          </w14:textFill>
        </w:rPr>
        <w:t xml:space="preserve"> Qualificação técnico-profissional:</w:t>
      </w:r>
      <w:r>
        <w:rPr>
          <w:rFonts w:ascii="Times New Roman" w:hAnsi="Times New Roman"/>
          <w:color w:val="000000" w:themeColor="text1"/>
          <w:sz w:val="24"/>
          <w:szCs w:val="24"/>
          <w14:textFill>
            <w14:solidFill>
              <w14:schemeClr w14:val="tx1"/>
            </w14:solidFill>
          </w14:textFill>
        </w:rPr>
        <w:t xml:space="preserve"> Apresentação de profissional devidamente registrado no conselho profissional competente, detentor de atestado de responsabilidade técnica, com comprovação por meio de Certidão de Acervo Técnico (CAT) ou Certidão de Acervo Técnico com Atestado (CAT-A), referente à execução de obra de características semelhantes, para fins de contratação.</w:t>
      </w:r>
    </w:p>
    <w:p w14:paraId="1292053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9.12.5.1 Para fins de comprovação do atendimento ao disposto neste subitem, os atestados apresentados deverão referir-se à execução de contratos com características iguais ou similares ao objeto licitado, contemplando, no mínimo, os itens indicados na tabela a seguir:</w:t>
      </w:r>
    </w:p>
    <w:p w14:paraId="46A61CFB">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tbl>
      <w:tblPr>
        <w:tblStyle w:val="12"/>
        <w:tblW w:w="893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2835"/>
        <w:gridCol w:w="1134"/>
        <w:gridCol w:w="992"/>
        <w:gridCol w:w="1701"/>
        <w:gridCol w:w="1560"/>
      </w:tblGrid>
      <w:tr w14:paraId="696B3B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008D1C4">
            <w:pPr>
              <w:pStyle w:val="100"/>
              <w:jc w:val="center"/>
              <w:rPr>
                <w:rFonts w:ascii="Times New Roman" w:hAnsi="Times New Roman" w:cs="Times New Roman"/>
                <w:b/>
                <w:bCs/>
                <w:color w:val="000000" w:themeColor="text1"/>
                <w:sz w:val="24"/>
                <w:szCs w:val="24"/>
                <w:lang w:eastAsia="en-US"/>
                <w14:textFill>
                  <w14:solidFill>
                    <w14:schemeClr w14:val="tx1"/>
                  </w14:solidFill>
                </w14:textFill>
              </w:rPr>
            </w:pPr>
            <w:r>
              <w:rPr>
                <w:rFonts w:ascii="Times New Roman" w:hAnsi="Times New Roman" w:cs="Times New Roman"/>
                <w:b/>
                <w:bCs/>
                <w:color w:val="000000" w:themeColor="text1"/>
                <w:sz w:val="24"/>
                <w:szCs w:val="24"/>
                <w:lang w:eastAsia="en-US"/>
                <w14:textFill>
                  <w14:solidFill>
                    <w14:schemeClr w14:val="tx1"/>
                  </w14:solidFill>
                </w14:textFill>
              </w:rPr>
              <w:t>ITEM</w:t>
            </w:r>
          </w:p>
        </w:tc>
        <w:tc>
          <w:tcPr>
            <w:tcW w:w="28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7D642FC8">
            <w:pPr>
              <w:pStyle w:val="100"/>
              <w:jc w:val="center"/>
              <w:rPr>
                <w:rFonts w:ascii="Times New Roman" w:hAnsi="Times New Roman" w:cs="Times New Roman"/>
                <w:b/>
                <w:bCs/>
                <w:color w:val="000000" w:themeColor="text1"/>
                <w:sz w:val="24"/>
                <w:szCs w:val="24"/>
                <w:lang w:eastAsia="en-US"/>
                <w14:textFill>
                  <w14:solidFill>
                    <w14:schemeClr w14:val="tx1"/>
                  </w14:solidFill>
                </w14:textFill>
              </w:rPr>
            </w:pPr>
            <w:r>
              <w:rPr>
                <w:rFonts w:ascii="Times New Roman" w:hAnsi="Times New Roman" w:cs="Times New Roman"/>
                <w:b/>
                <w:bCs/>
                <w:color w:val="000000" w:themeColor="text1"/>
                <w:sz w:val="24"/>
                <w:szCs w:val="24"/>
                <w:lang w:eastAsia="en-US"/>
                <w14:textFill>
                  <w14:solidFill>
                    <w14:schemeClr w14:val="tx1"/>
                  </w14:solidFill>
                </w14:textFill>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789F4DC">
            <w:pPr>
              <w:pStyle w:val="100"/>
              <w:jc w:val="center"/>
              <w:rPr>
                <w:rFonts w:ascii="Times New Roman" w:hAnsi="Times New Roman" w:cs="Times New Roman"/>
                <w:b/>
                <w:bCs/>
                <w:color w:val="000000" w:themeColor="text1"/>
                <w:sz w:val="24"/>
                <w:szCs w:val="24"/>
                <w:lang w:eastAsia="en-US"/>
                <w14:textFill>
                  <w14:solidFill>
                    <w14:schemeClr w14:val="tx1"/>
                  </w14:solidFill>
                </w14:textFill>
              </w:rPr>
            </w:pPr>
            <w:r>
              <w:rPr>
                <w:rFonts w:ascii="Times New Roman" w:hAnsi="Times New Roman" w:cs="Times New Roman"/>
                <w:b/>
                <w:bCs/>
                <w:color w:val="000000" w:themeColor="text1"/>
                <w:sz w:val="24"/>
                <w:szCs w:val="24"/>
                <w:lang w:eastAsia="en-US"/>
                <w14:textFill>
                  <w14:solidFill>
                    <w14:schemeClr w14:val="tx1"/>
                  </w14:solidFill>
                </w14:textFill>
              </w:rPr>
              <w:t>UNIDADE</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283504C">
            <w:pPr>
              <w:pStyle w:val="100"/>
              <w:jc w:val="center"/>
              <w:rPr>
                <w:rFonts w:ascii="Times New Roman" w:hAnsi="Times New Roman" w:cs="Times New Roman"/>
                <w:b/>
                <w:bCs/>
                <w:color w:val="000000" w:themeColor="text1"/>
                <w:sz w:val="24"/>
                <w:szCs w:val="24"/>
                <w:lang w:eastAsia="en-US"/>
                <w14:textFill>
                  <w14:solidFill>
                    <w14:schemeClr w14:val="tx1"/>
                  </w14:solidFill>
                </w14:textFill>
              </w:rPr>
            </w:pPr>
            <w:r>
              <w:rPr>
                <w:rFonts w:ascii="Times New Roman" w:hAnsi="Times New Roman" w:cs="Times New Roman"/>
                <w:b/>
                <w:bCs/>
                <w:color w:val="000000" w:themeColor="text1"/>
                <w:sz w:val="24"/>
                <w:szCs w:val="24"/>
                <w:lang w:eastAsia="en-US"/>
                <w14:textFill>
                  <w14:solidFill>
                    <w14:schemeClr w14:val="tx1"/>
                  </w14:solidFill>
                </w14:textFill>
              </w:rPr>
              <w:t>QUANT.</w:t>
            </w:r>
          </w:p>
        </w:tc>
        <w:tc>
          <w:tcPr>
            <w:tcW w:w="1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2AC4C2D">
            <w:pPr>
              <w:pStyle w:val="100"/>
              <w:jc w:val="center"/>
              <w:rPr>
                <w:rFonts w:ascii="Times New Roman" w:hAnsi="Times New Roman" w:cs="Times New Roman"/>
                <w:b/>
                <w:bCs/>
                <w:color w:val="000000" w:themeColor="text1"/>
                <w:sz w:val="24"/>
                <w:szCs w:val="24"/>
                <w:lang w:eastAsia="en-US"/>
                <w14:textFill>
                  <w14:solidFill>
                    <w14:schemeClr w14:val="tx1"/>
                  </w14:solidFill>
                </w14:textFill>
              </w:rPr>
            </w:pPr>
            <w:r>
              <w:rPr>
                <w:rFonts w:ascii="Times New Roman" w:hAnsi="Times New Roman" w:cs="Times New Roman"/>
                <w:b/>
                <w:bCs/>
                <w:color w:val="000000" w:themeColor="text1"/>
                <w:sz w:val="24"/>
                <w:szCs w:val="24"/>
                <w:lang w:eastAsia="en-US"/>
                <w14:textFill>
                  <w14:solidFill>
                    <w14:schemeClr w14:val="tx1"/>
                  </w14:solidFill>
                </w14:textFill>
              </w:rPr>
              <w:t>VALOR UNIT.</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EA2D8C2">
            <w:pPr>
              <w:pStyle w:val="100"/>
              <w:jc w:val="center"/>
              <w:rPr>
                <w:rFonts w:ascii="Times New Roman" w:hAnsi="Times New Roman" w:cs="Times New Roman"/>
                <w:b/>
                <w:bCs/>
                <w:color w:val="000000" w:themeColor="text1"/>
                <w:sz w:val="24"/>
                <w:szCs w:val="24"/>
                <w:lang w:eastAsia="en-US"/>
                <w14:textFill>
                  <w14:solidFill>
                    <w14:schemeClr w14:val="tx1"/>
                  </w14:solidFill>
                </w14:textFill>
              </w:rPr>
            </w:pPr>
            <w:r>
              <w:rPr>
                <w:rFonts w:ascii="Times New Roman" w:hAnsi="Times New Roman" w:cs="Times New Roman"/>
                <w:b/>
                <w:bCs/>
                <w:color w:val="000000" w:themeColor="text1"/>
                <w:sz w:val="24"/>
                <w:szCs w:val="24"/>
                <w:lang w:eastAsia="en-US"/>
                <w14:textFill>
                  <w14:solidFill>
                    <w14:schemeClr w14:val="tx1"/>
                  </w14:solidFill>
                </w14:textFill>
              </w:rPr>
              <w:t xml:space="preserve">VALOR </w:t>
            </w:r>
          </w:p>
          <w:p w14:paraId="76F328A5">
            <w:pPr>
              <w:pStyle w:val="100"/>
              <w:jc w:val="center"/>
              <w:rPr>
                <w:rFonts w:ascii="Times New Roman" w:hAnsi="Times New Roman" w:cs="Times New Roman"/>
                <w:b/>
                <w:bCs/>
                <w:color w:val="000000" w:themeColor="text1"/>
                <w:sz w:val="24"/>
                <w:szCs w:val="24"/>
                <w:lang w:eastAsia="en-US"/>
                <w14:textFill>
                  <w14:solidFill>
                    <w14:schemeClr w14:val="tx1"/>
                  </w14:solidFill>
                </w14:textFill>
              </w:rPr>
            </w:pPr>
            <w:r>
              <w:rPr>
                <w:rFonts w:ascii="Times New Roman" w:hAnsi="Times New Roman" w:cs="Times New Roman"/>
                <w:b/>
                <w:bCs/>
                <w:color w:val="000000" w:themeColor="text1"/>
                <w:sz w:val="24"/>
                <w:szCs w:val="24"/>
                <w:lang w:eastAsia="en-US"/>
                <w14:textFill>
                  <w14:solidFill>
                    <w14:schemeClr w14:val="tx1"/>
                  </w14:solidFill>
                </w14:textFill>
              </w:rPr>
              <w:t>TOTAL</w:t>
            </w:r>
          </w:p>
        </w:tc>
      </w:tr>
      <w:tr w14:paraId="10A405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trPr>
        <w:tc>
          <w:tcPr>
            <w:tcW w:w="709"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1C44366">
            <w:pPr>
              <w:widowControl w:val="0"/>
              <w:spacing w:before="120" w:after="288" w:afterLines="120" w:line="312" w:lineRule="auto"/>
              <w:rPr>
                <w:color w:val="000000" w:themeColor="text1"/>
                <w:szCs w:val="24"/>
                <w:lang w:eastAsia="en-US"/>
                <w14:textFill>
                  <w14:solidFill>
                    <w14:schemeClr w14:val="tx1"/>
                  </w14:solidFill>
                </w14:textFill>
              </w:rPr>
            </w:pPr>
          </w:p>
          <w:p w14:paraId="715A814F">
            <w:pPr>
              <w:widowControl w:val="0"/>
              <w:spacing w:before="120" w:after="288" w:afterLines="120" w:line="312" w:lineRule="auto"/>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01</w:t>
            </w:r>
          </w:p>
        </w:tc>
        <w:tc>
          <w:tcPr>
            <w:tcW w:w="2835"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81FAB10">
            <w:pPr>
              <w:pStyle w:val="100"/>
              <w:spacing w:line="360" w:lineRule="auto"/>
              <w:jc w:val="both"/>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AMPLIAÇÃO DA ESCOLA INÁCIO SILVESTRE MONTEIRO, LOCALIZADA NO DISTRITO DO ALTO CARACOL, NO MUNICÍPIO DE CARACOL/MS.</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1F245ED">
            <w:pPr>
              <w:widowControl w:val="0"/>
              <w:spacing w:before="120" w:after="288" w:afterLines="120" w:line="312" w:lineRule="auto"/>
              <w:jc w:val="center"/>
              <w:rPr>
                <w:color w:val="000000" w:themeColor="text1"/>
                <w:szCs w:val="24"/>
                <w:lang w:eastAsia="en-US"/>
                <w14:textFill>
                  <w14:solidFill>
                    <w14:schemeClr w14:val="tx1"/>
                  </w14:solidFill>
                </w14:textFill>
              </w:rPr>
            </w:pPr>
          </w:p>
          <w:p w14:paraId="36716905">
            <w:pPr>
              <w:widowControl w:val="0"/>
              <w:spacing w:before="120" w:after="288" w:afterLines="120" w:line="312" w:lineRule="auto"/>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UN</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7D6A914">
            <w:pPr>
              <w:widowControl w:val="0"/>
              <w:spacing w:before="120" w:after="288" w:afterLines="120" w:line="312" w:lineRule="auto"/>
              <w:jc w:val="center"/>
              <w:rPr>
                <w:color w:val="000000" w:themeColor="text1"/>
                <w:szCs w:val="24"/>
                <w:lang w:eastAsia="en-US"/>
                <w14:textFill>
                  <w14:solidFill>
                    <w14:schemeClr w14:val="tx1"/>
                  </w14:solidFill>
                </w14:textFill>
              </w:rPr>
            </w:pPr>
          </w:p>
          <w:p w14:paraId="412129F3">
            <w:pPr>
              <w:widowControl w:val="0"/>
              <w:spacing w:before="120" w:after="288" w:afterLines="120" w:line="312" w:lineRule="auto"/>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1</w:t>
            </w:r>
          </w:p>
        </w:tc>
        <w:tc>
          <w:tcPr>
            <w:tcW w:w="1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0532645">
            <w:pPr>
              <w:widowControl w:val="0"/>
              <w:spacing w:before="120" w:after="288" w:afterLines="120" w:line="312" w:lineRule="auto"/>
              <w:jc w:val="center"/>
              <w:rPr>
                <w:rFonts w:eastAsia="Calibri"/>
                <w:color w:val="000000" w:themeColor="text1"/>
                <w:szCs w:val="24"/>
                <w:lang w:eastAsia="en-US"/>
                <w14:textFill>
                  <w14:solidFill>
                    <w14:schemeClr w14:val="tx1"/>
                  </w14:solidFill>
                </w14:textFill>
              </w:rPr>
            </w:pPr>
          </w:p>
          <w:p w14:paraId="00EFFA7D">
            <w:pPr>
              <w:widowControl w:val="0"/>
              <w:spacing w:before="120" w:after="288" w:afterLines="120" w:line="312" w:lineRule="auto"/>
              <w:jc w:val="center"/>
              <w:rPr>
                <w:color w:val="000000" w:themeColor="text1"/>
                <w:szCs w:val="24"/>
                <w:highlight w:val="yellow"/>
                <w:lang w:eastAsia="en-US"/>
                <w14:textFill>
                  <w14:solidFill>
                    <w14:schemeClr w14:val="tx1"/>
                  </w14:solidFill>
                </w14:textFill>
              </w:rPr>
            </w:pPr>
            <w:r>
              <w:rPr>
                <w:rFonts w:eastAsia="Calibri"/>
                <w:color w:val="000000" w:themeColor="text1"/>
                <w:szCs w:val="24"/>
                <w:lang w:eastAsia="en-US"/>
                <w14:textFill>
                  <w14:solidFill>
                    <w14:schemeClr w14:val="tx1"/>
                  </w14:solidFill>
                </w14:textFill>
              </w:rPr>
              <w:t>R$ 348.659,59</w:t>
            </w:r>
          </w:p>
        </w:tc>
        <w:tc>
          <w:tcPr>
            <w:tcW w:w="1560"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1694396">
            <w:pPr>
              <w:widowControl w:val="0"/>
              <w:spacing w:before="120" w:after="288" w:afterLines="120" w:line="312" w:lineRule="auto"/>
              <w:jc w:val="center"/>
              <w:rPr>
                <w:color w:val="000000" w:themeColor="text1"/>
                <w:szCs w:val="24"/>
                <w:highlight w:val="yellow"/>
                <w:lang w:eastAsia="en-US"/>
                <w14:textFill>
                  <w14:solidFill>
                    <w14:schemeClr w14:val="tx1"/>
                  </w14:solidFill>
                </w14:textFill>
              </w:rPr>
            </w:pPr>
          </w:p>
          <w:p w14:paraId="0E52917C">
            <w:pPr>
              <w:widowControl w:val="0"/>
              <w:spacing w:before="120" w:after="288" w:afterLines="120" w:line="312" w:lineRule="auto"/>
              <w:jc w:val="center"/>
              <w:rPr>
                <w:color w:val="000000" w:themeColor="text1"/>
                <w:szCs w:val="24"/>
                <w:highlight w:val="yellow"/>
                <w:lang w:eastAsia="en-US"/>
                <w14:textFill>
                  <w14:solidFill>
                    <w14:schemeClr w14:val="tx1"/>
                  </w14:solidFill>
                </w14:textFill>
              </w:rPr>
            </w:pPr>
            <w:r>
              <w:rPr>
                <w:color w:val="000000" w:themeColor="text1"/>
                <w:szCs w:val="24"/>
                <w:lang w:eastAsia="en-US"/>
                <w14:textFill>
                  <w14:solidFill>
                    <w14:schemeClr w14:val="tx1"/>
                  </w14:solidFill>
                </w14:textFill>
              </w:rPr>
              <w:t>R$ 348.659,59</w:t>
            </w:r>
          </w:p>
        </w:tc>
      </w:tr>
    </w:tbl>
    <w:p w14:paraId="3D85CABC">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0C79BC5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9.12.5.2 O(s) profissional(is) indicado(s) na forma supra deverá(ão) participar diretamente da execução dos serviços objeto do contrato, sendo admitida a substituição por profissional(is) com experiência equivalente ou superior, desde que previamente aprovada pela Administração.</w:t>
      </w:r>
    </w:p>
    <w:p w14:paraId="353B08DB">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9.12.5.3 Os atestados de capacidade técnica poderão ser apresentados em nome da matriz ou da filial da empresa licitante.</w:t>
      </w:r>
    </w:p>
    <w:p w14:paraId="34CF9CB1">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9.12.5.4 A comprovação do vínculo profissional do responsável técnico com o licitante deverá ser feita mediante a apresentação de um dos seguintes documentos:</w:t>
      </w:r>
    </w:p>
    <w:p w14:paraId="1BBAF1B1">
      <w:pPr>
        <w:pStyle w:val="86"/>
        <w:numPr>
          <w:ilvl w:val="0"/>
          <w:numId w:val="0"/>
        </w:numPr>
        <w:spacing w:before="72" w:beforeLines="30" w:after="72" w:afterLines="30" w:line="240" w:lineRule="auto"/>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a) Sócio que comprove seu vínculo por intermédio de contrato social/estatuto social;</w:t>
      </w:r>
    </w:p>
    <w:p w14:paraId="6DD6E066">
      <w:pPr>
        <w:pStyle w:val="86"/>
        <w:numPr>
          <w:ilvl w:val="0"/>
          <w:numId w:val="0"/>
        </w:numPr>
        <w:spacing w:before="72" w:beforeLines="30" w:after="72" w:afterLines="30" w:line="240" w:lineRule="auto"/>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b) Administrador ou diretor;</w:t>
      </w:r>
    </w:p>
    <w:p w14:paraId="676BA5BC">
      <w:pPr>
        <w:pStyle w:val="86"/>
        <w:numPr>
          <w:ilvl w:val="0"/>
          <w:numId w:val="0"/>
        </w:numPr>
        <w:spacing w:before="72" w:beforeLines="30" w:after="72" w:afterLines="30" w:line="240" w:lineRule="auto"/>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c) Empregado devidamente registrado em Carteira de Trabalho e Previdência Social;</w:t>
      </w:r>
    </w:p>
    <w:p w14:paraId="27C200BB">
      <w:pPr>
        <w:pStyle w:val="86"/>
        <w:numPr>
          <w:ilvl w:val="0"/>
          <w:numId w:val="0"/>
        </w:numPr>
        <w:spacing w:before="72" w:beforeLines="30" w:after="72" w:afterLines="30" w:line="240" w:lineRule="auto"/>
        <w:rPr>
          <w:rFonts w:ascii="Times New Roman" w:hAnsi="Times New Roman"/>
          <w:bCs/>
          <w:color w:val="000000" w:themeColor="text1"/>
          <w:sz w:val="24"/>
          <w:szCs w:val="24"/>
          <w14:textFill>
            <w14:solidFill>
              <w14:schemeClr w14:val="tx1"/>
            </w14:solidFill>
          </w14:textFill>
        </w:rPr>
      </w:pPr>
      <w:r>
        <w:rPr>
          <w:rFonts w:ascii="Times New Roman" w:hAnsi="Times New Roman"/>
          <w:bCs/>
          <w:color w:val="000000" w:themeColor="text1"/>
          <w:sz w:val="24"/>
          <w:szCs w:val="24"/>
          <w14:textFill>
            <w14:solidFill>
              <w14:schemeClr w14:val="tx1"/>
            </w14:solidFill>
          </w14:textFill>
        </w:rPr>
        <w:t>d) Prestador de serviços com contrato escrito firmado com o licitante, ou com declaração de compromisso de vinculação contratual futura, caso o licitante se sagre vencedor desta licitação.</w:t>
      </w:r>
    </w:p>
    <w:p w14:paraId="58A2BAD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9.12.5.5 O licitante deverá disponibilizar todas as informações necessárias à comprovação da legitimidade dos atestados, apresentando, quando solicitado pela Administração, documentos como: cópia do contrato que deu origem à contratação, endereço atualizado da contratante e do local de execução do objeto, notas fiscais dos serviços, ART/RRT de execução, declaração da contratante acerca da veracidade do atestado, entre outros documentos que se fizerem pertinentes.</w:t>
      </w:r>
    </w:p>
    <w:p w14:paraId="75E6605B">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9.13 Garantia da contratação</w:t>
      </w:r>
    </w:p>
    <w:p w14:paraId="220B813D">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b/>
          <w:color w:val="000000" w:themeColor="text1"/>
          <w:w w:val="95"/>
          <w:sz w:val="24"/>
          <w:szCs w:val="24"/>
          <w14:textFill>
            <w14:solidFill>
              <w14:schemeClr w14:val="tx1"/>
            </w14:solidFill>
          </w14:textFill>
        </w:rPr>
        <w:t>9.13.1 Declaração do licitante</w:t>
      </w:r>
      <w:r>
        <w:rPr>
          <w:rFonts w:ascii="Times New Roman" w:hAnsi="Times New Roman"/>
          <w:color w:val="000000" w:themeColor="text1"/>
          <w:w w:val="95"/>
          <w:sz w:val="24"/>
          <w:szCs w:val="24"/>
          <w14:textFill>
            <w14:solidFill>
              <w14:schemeClr w14:val="tx1"/>
            </w14:solidFill>
          </w14:textFill>
        </w:rPr>
        <w:t xml:space="preserve"> (modelo anexo) que está ciente que</w:t>
      </w:r>
      <w:r>
        <w:rPr>
          <w:rFonts w:ascii="Times New Roman" w:hAnsi="Times New Roman"/>
          <w:color w:val="000000" w:themeColor="text1"/>
          <w:sz w:val="24"/>
          <w:szCs w:val="24"/>
          <w14:textFill>
            <w14:solidFill>
              <w14:schemeClr w14:val="tx1"/>
            </w14:solidFill>
          </w14:textFill>
        </w:rPr>
        <w:t xml:space="preserve"> será exigida a garantia da contratação de que tratam os Arts. 96 e seguintes da Lei nº 14.133, de 2021, no percentual e condições descritos abaixo:</w:t>
      </w:r>
    </w:p>
    <w:p w14:paraId="2E69D681">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I - O percentual da garantia será de:</w:t>
      </w:r>
    </w:p>
    <w:p w14:paraId="2D56E86F">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a) </w:t>
      </w:r>
      <w:r>
        <w:rPr>
          <w:rFonts w:ascii="Times New Roman" w:hAnsi="Times New Roman"/>
          <w:b/>
          <w:bCs/>
          <w:color w:val="000000" w:themeColor="text1"/>
          <w:sz w:val="24"/>
          <w:szCs w:val="24"/>
          <w14:textFill>
            <w14:solidFill>
              <w14:schemeClr w14:val="tx1"/>
            </w14:solidFill>
          </w14:textFill>
        </w:rPr>
        <w:t>5% (cinco por cento) do valor inicial do contrato</w:t>
      </w:r>
      <w:r>
        <w:rPr>
          <w:rFonts w:ascii="Times New Roman" w:hAnsi="Times New Roman"/>
          <w:color w:val="000000" w:themeColor="text1"/>
          <w:sz w:val="24"/>
          <w:szCs w:val="24"/>
          <w14:textFill>
            <w14:solidFill>
              <w14:schemeClr w14:val="tx1"/>
            </w14:solidFill>
          </w14:textFill>
        </w:rPr>
        <w:t>, conforme Art. 98 da Lei nº 14.133, de 2021;</w:t>
      </w:r>
    </w:p>
    <w:p w14:paraId="7A1FAE6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b) deverá ser acrescido do valor equivalente à diferença entre 85% do valor orçado pela Administração e o valor da proposta vencedora, nos termos do art. 59, § 5º, da lei nº 14.133, de 2021.</w:t>
      </w:r>
    </w:p>
    <w:p w14:paraId="2C73B670">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II - Em caso opção pelo seguro-garantia, a parte adjudicatária deverá apresentá-la, no máximo, até a data de assinatura do contrato, no prazo máximo de 30 dias após a publicação da homologação.  </w:t>
      </w:r>
    </w:p>
    <w:p w14:paraId="6E2A9F8E">
      <w:pPr>
        <w:pStyle w:val="223"/>
        <w:numPr>
          <w:ilvl w:val="0"/>
          <w:numId w:val="0"/>
        </w:numPr>
        <w:spacing w:before="72" w:beforeLines="30" w:after="72" w:afterLines="30" w:line="240" w:lineRule="auto"/>
        <w:rPr>
          <w:rFonts w:ascii="Times New Roman" w:hAnsi="Times New Roman" w:cs="Times New Roman"/>
          <w:b/>
          <w:bCs/>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III - A garantia, nas modalidades caução e fiança bancária, deverá ser prestada em até 10 dias úteis após a assinatura do contrato.</w:t>
      </w:r>
    </w:p>
    <w:bookmarkEnd w:id="5"/>
    <w:bookmarkEnd w:id="6"/>
    <w:bookmarkEnd w:id="7"/>
    <w:p w14:paraId="7438059E">
      <w:pPr>
        <w:pStyle w:val="86"/>
        <w:numPr>
          <w:ilvl w:val="0"/>
          <w:numId w:val="0"/>
        </w:numPr>
        <w:spacing w:before="0" w:after="0" w:line="240" w:lineRule="auto"/>
        <w:rPr>
          <w:rFonts w:ascii="Times New Roman" w:hAnsi="Times New Roman"/>
          <w:color w:val="000000" w:themeColor="text1"/>
          <w:sz w:val="24"/>
          <w:szCs w:val="24"/>
          <w14:textFill>
            <w14:solidFill>
              <w14:schemeClr w14:val="tx1"/>
            </w14:solidFill>
          </w14:textFill>
        </w:rPr>
      </w:pPr>
      <w:bookmarkStart w:id="10" w:name="_Hlk166611545"/>
      <w:r>
        <w:rPr>
          <w:rFonts w:ascii="Times New Roman" w:hAnsi="Times New Roman"/>
          <w:color w:val="000000" w:themeColor="text1"/>
          <w:sz w:val="24"/>
          <w:szCs w:val="24"/>
          <w14:textFill>
            <w14:solidFill>
              <w14:schemeClr w14:val="tx1"/>
            </w14:solidFill>
          </w14:textFill>
        </w:rPr>
        <w:t>9.14  Somente haverá a necessidade de comprovação do preenchimento de requisitos mediante apresentação dos documentos originais não-digitais quando houver dúvida em relação à integridade do documento digital ou quando a lei expressamente o exigir.</w:t>
      </w:r>
      <w:bookmarkEnd w:id="10"/>
    </w:p>
    <w:p w14:paraId="243C6221">
      <w:pPr>
        <w:pStyle w:val="86"/>
        <w:numPr>
          <w:ilvl w:val="0"/>
          <w:numId w:val="0"/>
        </w:numPr>
        <w:spacing w:before="0" w:after="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9.15. Após a entrega dos documentos para habilitação, não será permitida a substituição ou a apresentação de novos documentos, salvo em sede de diligência, para: (</w:t>
      </w:r>
      <w:r>
        <w:fldChar w:fldCharType="begin"/>
      </w:r>
      <w:r>
        <w:instrText xml:space="preserve"> HYPERLINK "http://www.planalto.gov.br/ccivil_03/_ato2019-2022/2021/lei/L14133.htm" \l "art64" </w:instrText>
      </w:r>
      <w:r>
        <w:fldChar w:fldCharType="separate"/>
      </w:r>
      <w:r>
        <w:rPr>
          <w:rStyle w:val="17"/>
          <w:rFonts w:ascii="Times New Roman" w:hAnsi="Times New Roman"/>
          <w:color w:val="000000" w:themeColor="text1"/>
          <w:sz w:val="24"/>
          <w:szCs w:val="24"/>
          <w14:textFill>
            <w14:solidFill>
              <w14:schemeClr w14:val="tx1"/>
            </w14:solidFill>
          </w14:textFill>
        </w:rPr>
        <w:t>Lei 14.133/21, art. 64</w:t>
      </w:r>
      <w:r>
        <w:rPr>
          <w:rStyle w:val="17"/>
          <w:rFonts w:ascii="Times New Roman" w:hAnsi="Times New Roman"/>
          <w:color w:val="000000" w:themeColor="text1"/>
          <w:sz w:val="24"/>
          <w:szCs w:val="24"/>
          <w14:textFill>
            <w14:solidFill>
              <w14:schemeClr w14:val="tx1"/>
            </w14:solidFill>
          </w14:textFill>
        </w:rPr>
        <w:fldChar w:fldCharType="end"/>
      </w:r>
      <w:r>
        <w:rPr>
          <w:rStyle w:val="17"/>
          <w:rFonts w:ascii="Times New Roman" w:hAnsi="Times New Roman"/>
          <w:color w:val="000000" w:themeColor="text1"/>
          <w:sz w:val="24"/>
          <w:szCs w:val="24"/>
          <w14:textFill>
            <w14:solidFill>
              <w14:schemeClr w14:val="tx1"/>
            </w14:solidFill>
          </w14:textFill>
        </w:rPr>
        <w:t>)</w:t>
      </w:r>
    </w:p>
    <w:p w14:paraId="3B8D5CD6">
      <w:pPr>
        <w:pStyle w:val="88"/>
        <w:numPr>
          <w:ilvl w:val="0"/>
          <w:numId w:val="0"/>
        </w:numPr>
        <w:spacing w:before="0"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 complementação de informações acerca dos documentos já apresentados pelos licitantes e desde que necessária para apurar fatos existentes à época da abertura do certame; e</w:t>
      </w:r>
    </w:p>
    <w:p w14:paraId="392F5735">
      <w:pPr>
        <w:pStyle w:val="88"/>
        <w:numPr>
          <w:ilvl w:val="0"/>
          <w:numId w:val="0"/>
        </w:numPr>
        <w:spacing w:before="0"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b) atualização de documentos cuja validade tenha expirado após a data de recebimento das propostas;</w:t>
      </w:r>
    </w:p>
    <w:p w14:paraId="68316172">
      <w:pPr>
        <w:pStyle w:val="88"/>
        <w:numPr>
          <w:ilvl w:val="0"/>
          <w:numId w:val="0"/>
        </w:numPr>
        <w:spacing w:before="0"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9.16.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49744069">
      <w:pPr>
        <w:pStyle w:val="86"/>
        <w:numPr>
          <w:ilvl w:val="0"/>
          <w:numId w:val="0"/>
        </w:numPr>
        <w:spacing w:before="0" w:after="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9.17. Na hipótese de o licitante não atender às exigências para habilitação, a comissão da contratação examinará a proposta subsequente e assim sucessivamente, na ordem de classificação, até a apuração de uma proposta que atenda ao presente edital.</w:t>
      </w:r>
    </w:p>
    <w:p w14:paraId="0BD7C880">
      <w:pPr>
        <w:pStyle w:val="86"/>
        <w:numPr>
          <w:ilvl w:val="0"/>
          <w:numId w:val="0"/>
        </w:numPr>
        <w:spacing w:before="0" w:after="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9.18. Somente serão disponibilizados para acesso público os documentos de habilitação do licitante cuja proposta atenda ao edital de licitação, após concluídos os procedimentos de que trata o subitem anterior.</w:t>
      </w:r>
    </w:p>
    <w:p w14:paraId="70338D7F">
      <w:pPr>
        <w:pStyle w:val="55"/>
        <w:widowControl w:val="0"/>
        <w:ind w:left="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9.19. A habilitação será verificada por meio do Sistema </w:t>
      </w:r>
      <w:r>
        <w:rPr>
          <w:b/>
          <w:bCs/>
          <w:color w:val="000000" w:themeColor="text1"/>
          <w:szCs w:val="24"/>
          <w14:textFill>
            <w14:solidFill>
              <w14:schemeClr w14:val="tx1"/>
            </w14:solidFill>
          </w14:textFill>
        </w:rPr>
        <w:t>BLL COMPRAS – BOLSA DE LICITAÇÕES DO BRASIL</w:t>
      </w:r>
      <w:r>
        <w:rPr>
          <w:color w:val="000000" w:themeColor="text1"/>
          <w:szCs w:val="24"/>
          <w14:textFill>
            <w14:solidFill>
              <w14:schemeClr w14:val="tx1"/>
            </w14:solidFill>
          </w14:textFill>
        </w:rPr>
        <w:t>, nos documentos por ele abrangidos.</w:t>
      </w:r>
    </w:p>
    <w:p w14:paraId="04C8276B">
      <w:pPr>
        <w:pStyle w:val="86"/>
        <w:numPr>
          <w:ilvl w:val="0"/>
          <w:numId w:val="0"/>
        </w:numPr>
        <w:spacing w:before="0" w:after="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9.20. É de responsabilidade do licitante conferir a exatidão dos seus dados cadastrais no Sistema e mantê-los atualizados junto aos órgãos responsáveis pela informação, devendo proceder, imediatamente, à correção ou à alteração dos registros tão logo identifique incorreção ou aqueles se tornem desatualizados.</w:t>
      </w:r>
    </w:p>
    <w:p w14:paraId="0D9CE51A">
      <w:pPr>
        <w:pStyle w:val="88"/>
        <w:numPr>
          <w:ilvl w:val="0"/>
          <w:numId w:val="0"/>
        </w:numPr>
        <w:spacing w:before="0" w:after="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9.21. A não observância do disposto no item anterior poderá ensejar desclassificação no momento da habilitação.</w:t>
      </w:r>
    </w:p>
    <w:p w14:paraId="570DD6E2">
      <w:pPr>
        <w:pStyle w:val="86"/>
        <w:numPr>
          <w:ilvl w:val="0"/>
          <w:numId w:val="0"/>
        </w:numPr>
        <w:spacing w:before="0" w:after="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9.22. A verificação pela Comissão de Contratação, em sítios eletrônicos oficiais de órgãos e entidades emissores de certidões constitui meio legal de prova, para fins de habilitação.</w:t>
      </w:r>
    </w:p>
    <w:p w14:paraId="48F97E08">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bookmarkStart w:id="11" w:name="_Ref114663151"/>
      <w:r>
        <w:rPr>
          <w:rFonts w:ascii="Times New Roman" w:hAnsi="Times New Roman" w:cs="Times New Roman"/>
          <w:color w:val="000000" w:themeColor="text1"/>
          <w:sz w:val="24"/>
          <w:szCs w:val="24"/>
          <w14:textFill>
            <w14:solidFill>
              <w14:schemeClr w14:val="tx1"/>
            </w14:solidFill>
          </w14:textFill>
        </w:rPr>
        <w:t xml:space="preserve">9.23 Os documentos exigidos para habilitação que não estejam contemplados no Sistema serão enviados por outro meio do sistema, em formato digital, no prazo de </w:t>
      </w:r>
      <w:r>
        <w:rPr>
          <w:rFonts w:ascii="Times New Roman" w:hAnsi="Times New Roman" w:cs="Times New Roman"/>
          <w:b/>
          <w:color w:val="000000" w:themeColor="text1"/>
          <w:sz w:val="24"/>
          <w:szCs w:val="24"/>
          <w14:textFill>
            <w14:solidFill>
              <w14:schemeClr w14:val="tx1"/>
            </w14:solidFill>
          </w14:textFill>
        </w:rPr>
        <w:t>02 (duas) horas</w:t>
      </w:r>
      <w:r>
        <w:rPr>
          <w:rFonts w:ascii="Times New Roman" w:hAnsi="Times New Roman" w:cs="Times New Roman"/>
          <w:color w:val="000000" w:themeColor="text1"/>
          <w:sz w:val="24"/>
          <w:szCs w:val="24"/>
          <w14:textFill>
            <w14:solidFill>
              <w14:schemeClr w14:val="tx1"/>
            </w14:solidFill>
          </w14:textFill>
        </w:rPr>
        <w:t>, prorrogável por igual período, contado da solicitação da Comissão de Contratação.</w:t>
      </w:r>
      <w:bookmarkEnd w:id="11"/>
    </w:p>
    <w:p w14:paraId="2664E242">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9.24. Na hipótese de a fase de habilitação anteceder a fase de apresentação de propostas e lances, os licitantes encaminharão, por meio do sistema, simultaneamente os documentos de habilitação e a proposta com o preço ou o percentual de desconto. </w:t>
      </w:r>
    </w:p>
    <w:p w14:paraId="0748C04B">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9.25. A verificação da habilitação somente será feita em relação ao licitante vencedor.</w:t>
      </w:r>
    </w:p>
    <w:p w14:paraId="0D05A736">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9.26. Os documentos relativos à regularidade fiscal que constem do Projeto Básico/Termo de Referência somente serão exigidos, em qualquer caso, em momento posterior ao julgamento das propostas, e apenas do licitante mais bem classificado.</w:t>
      </w:r>
    </w:p>
    <w:p w14:paraId="2CEC6B4E">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9.27.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4DD5B0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9.28. A comprovação de regularidade fiscal e trabalhista das microempresas e das empresas de pequeno porte somente será exigida para efeito de contratação, e não como condição para participação na licitação (</w:t>
      </w:r>
      <w:r>
        <w:fldChar w:fldCharType="begin"/>
      </w:r>
      <w:r>
        <w:instrText xml:space="preserve"> HYPERLINK "https://www.planalto.gov.br/ccivil_03/_ato2015-2018/2015/decreto/d8538.htm" \l "art4" </w:instrText>
      </w:r>
      <w:r>
        <w:fldChar w:fldCharType="separate"/>
      </w:r>
      <w:r>
        <w:rPr>
          <w:rStyle w:val="17"/>
          <w:rFonts w:ascii="Times New Roman" w:hAnsi="Times New Roman"/>
          <w:color w:val="000000" w:themeColor="text1"/>
          <w:sz w:val="24"/>
          <w:szCs w:val="24"/>
          <w14:textFill>
            <w14:solidFill>
              <w14:schemeClr w14:val="tx1"/>
            </w14:solidFill>
          </w14:textFill>
        </w:rPr>
        <w:t>art. 4º do Decreto nº 8.538/2015</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3AF96D7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9.29. Quando a fase de habilitação anteceder a de julgamento e já tiver sido encerrada, não caberá exclusão de licitante por motivo relacionado à habilitação, salvo em razão de fatos supervenientes ou só conhecidos após o julgamento.</w:t>
      </w:r>
    </w:p>
    <w:p w14:paraId="0DE92CE0">
      <w:pPr>
        <w:pStyle w:val="55"/>
        <w:suppressAutoHyphens w:val="0"/>
        <w:spacing w:before="72" w:beforeLines="30" w:after="72" w:afterLines="30"/>
        <w:ind w:left="0"/>
        <w:contextualSpacing w:val="0"/>
        <w:jc w:val="both"/>
        <w:rPr>
          <w:b/>
          <w:bCs/>
          <w:color w:val="000000" w:themeColor="text1"/>
          <w:szCs w:val="24"/>
          <w14:textFill>
            <w14:solidFill>
              <w14:schemeClr w14:val="tx1"/>
            </w14:solidFill>
          </w14:textFill>
        </w:rPr>
      </w:pPr>
    </w:p>
    <w:p w14:paraId="456B3B28">
      <w:pPr>
        <w:pStyle w:val="70"/>
        <w:numPr>
          <w:ilvl w:val="0"/>
          <w:numId w:val="10"/>
        </w:numPr>
        <w:tabs>
          <w:tab w:val="left" w:pos="720"/>
        </w:tabs>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DOS RECURSOS</w:t>
      </w:r>
      <w:bookmarkEnd w:id="3"/>
    </w:p>
    <w:p w14:paraId="3DC946B2">
      <w:pPr>
        <w:pStyle w:val="86"/>
        <w:numPr>
          <w:ilvl w:val="1"/>
          <w:numId w:val="10"/>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A interposição de recurso referente ao julgamento das propostas, à habilitação ou inabilitação de licitantes, à anulação ou revogação da licitação, observará o disposto no </w:t>
      </w:r>
      <w:r>
        <w:fldChar w:fldCharType="begin"/>
      </w:r>
      <w:r>
        <w:instrText xml:space="preserve"> HYPERLINK "http://www.planalto.gov.br/ccivil_03/_ato2019-2022/2021/lei/L14133.htm" \l "art165" </w:instrText>
      </w:r>
      <w:r>
        <w:fldChar w:fldCharType="separate"/>
      </w:r>
      <w:r>
        <w:rPr>
          <w:rStyle w:val="17"/>
          <w:rFonts w:ascii="Times New Roman" w:hAnsi="Times New Roman"/>
          <w:color w:val="000000" w:themeColor="text1"/>
          <w:sz w:val="24"/>
          <w:szCs w:val="24"/>
          <w14:textFill>
            <w14:solidFill>
              <w14:schemeClr w14:val="tx1"/>
            </w14:solidFill>
          </w14:textFill>
        </w:rPr>
        <w:t>art. 165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6DA9FA58">
      <w:pPr>
        <w:pStyle w:val="86"/>
        <w:numPr>
          <w:ilvl w:val="1"/>
          <w:numId w:val="10"/>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prazo recursal é de 3 (três) dias úteis, contados da data de intimação ou de lavratura da ata.</w:t>
      </w:r>
    </w:p>
    <w:p w14:paraId="2CF60073">
      <w:pPr>
        <w:pStyle w:val="86"/>
        <w:numPr>
          <w:ilvl w:val="1"/>
          <w:numId w:val="10"/>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Quando o recurso apresentado impugnar o julgamento das propostas ou o ato de habilitação ou inabilitação do licitante:</w:t>
      </w:r>
    </w:p>
    <w:p w14:paraId="747C06A1">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10.3.1 a intenção de recorrer deverá ser manifestada imediatamente, sob pena de preclusão;</w:t>
      </w:r>
    </w:p>
    <w:p w14:paraId="551739EF">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10.3.2 o prazo para a manifestação da intenção de recorrer não será inferior a </w:t>
      </w:r>
      <w:r>
        <w:rPr>
          <w:rFonts w:ascii="Times New Roman" w:hAnsi="Times New Roman" w:cs="Times New Roman"/>
          <w:b/>
          <w:bCs/>
          <w:color w:val="000000" w:themeColor="text1"/>
          <w:sz w:val="24"/>
          <w:szCs w:val="24"/>
          <w14:textFill>
            <w14:solidFill>
              <w14:schemeClr w14:val="tx1"/>
            </w14:solidFill>
          </w14:textFill>
        </w:rPr>
        <w:t>30 (trinta) minutos.</w:t>
      </w:r>
    </w:p>
    <w:p w14:paraId="771671F1">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10.3.3 o prazo para apresentação das razões recursais será iniciado na data de intimação ou de lavratura da ata de habilitação ou inabilitação;</w:t>
      </w:r>
    </w:p>
    <w:p w14:paraId="331E2EE0">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10.3.4 na hipótese de adoção da inversão de fases prevista no </w:t>
      </w:r>
      <w:r>
        <w:fldChar w:fldCharType="begin"/>
      </w:r>
      <w:r>
        <w:instrText xml:space="preserve"> HYPERLINK "http://www.planalto.gov.br/ccivil_03/_ato2019-2022/2021/lei/L14133.htm" \l "art17§1"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 1º do art. 17 da Lei nº 14.133, de 2021</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o prazo para apresentação das razões recursais será iniciado na data de intimação da ata de julgamento.</w:t>
      </w:r>
    </w:p>
    <w:p w14:paraId="27F918D3">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10.4 Os recursos deverão ser encaminhados em campo próprio do sistema.</w:t>
      </w:r>
    </w:p>
    <w:p w14:paraId="1A3A1B24">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22FE84E">
      <w:pPr>
        <w:pStyle w:val="86"/>
        <w:numPr>
          <w:ilvl w:val="1"/>
          <w:numId w:val="11"/>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Os recursos interpostos fora do prazo não serão conhecidos. </w:t>
      </w:r>
    </w:p>
    <w:p w14:paraId="42EFC2F7">
      <w:pPr>
        <w:pStyle w:val="86"/>
        <w:numPr>
          <w:ilvl w:val="1"/>
          <w:numId w:val="11"/>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3175447">
      <w:pPr>
        <w:pStyle w:val="86"/>
        <w:numPr>
          <w:ilvl w:val="1"/>
          <w:numId w:val="11"/>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recurso e o pedido de reconsideração terão efeito suspensivo do ato ou da decisão recorrida até que sobrevenha decisão final da autoridade competente. </w:t>
      </w:r>
    </w:p>
    <w:p w14:paraId="3108D367">
      <w:pPr>
        <w:pStyle w:val="86"/>
        <w:numPr>
          <w:ilvl w:val="1"/>
          <w:numId w:val="11"/>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acolhimento do recurso invalida tão somente os atos insuscetíveis de aproveitamento. </w:t>
      </w:r>
    </w:p>
    <w:p w14:paraId="3AA2E552">
      <w:pPr>
        <w:pStyle w:val="86"/>
        <w:numPr>
          <w:ilvl w:val="1"/>
          <w:numId w:val="11"/>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Os autos do processo permanecerão com vista franqueada aos interessados no sítio eletrônico </w:t>
      </w:r>
      <w:r>
        <w:fldChar w:fldCharType="begin"/>
      </w:r>
      <w:r>
        <w:instrText xml:space="preserve"> HYPERLINK "https://bll.org.br/" </w:instrText>
      </w:r>
      <w:r>
        <w:fldChar w:fldCharType="separate"/>
      </w:r>
      <w:r>
        <w:rPr>
          <w:rStyle w:val="17"/>
          <w:rFonts w:ascii="Times New Roman" w:hAnsi="Times New Roman"/>
          <w:color w:val="000000" w:themeColor="text1"/>
          <w:sz w:val="24"/>
          <w:szCs w:val="24"/>
          <w14:textFill>
            <w14:solidFill>
              <w14:schemeClr w14:val="tx1"/>
            </w14:solidFill>
          </w14:textFill>
        </w:rPr>
        <w:t>https://bll.org.br/</w:t>
      </w:r>
      <w:r>
        <w:rPr>
          <w:rStyle w:val="17"/>
          <w:rFonts w:ascii="Times New Roman" w:hAnsi="Times New Roman"/>
          <w:color w:val="000000" w:themeColor="text1"/>
          <w:sz w:val="24"/>
          <w:szCs w:val="24"/>
          <w14:textFill>
            <w14:solidFill>
              <w14:schemeClr w14:val="tx1"/>
            </w14:solidFill>
          </w14:textFill>
        </w:rPr>
        <w:fldChar w:fldCharType="end"/>
      </w:r>
      <w:r>
        <w:rPr>
          <w:rStyle w:val="17"/>
          <w:rFonts w:ascii="Times New Roman" w:hAnsi="Times New Roman"/>
          <w:color w:val="000000" w:themeColor="text1"/>
          <w:sz w:val="24"/>
          <w:szCs w:val="24"/>
          <w14:textFill>
            <w14:solidFill>
              <w14:schemeClr w14:val="tx1"/>
            </w14:solidFill>
          </w14:textFill>
        </w:rPr>
        <w:t xml:space="preserve"> - </w:t>
      </w:r>
      <w:r>
        <w:rPr>
          <w:rFonts w:ascii="Times New Roman" w:hAnsi="Times New Roman"/>
          <w:b/>
          <w:bCs/>
          <w:color w:val="000000" w:themeColor="text1"/>
          <w:sz w:val="24"/>
          <w:szCs w:val="24"/>
          <w14:textFill>
            <w14:solidFill>
              <w14:schemeClr w14:val="tx1"/>
            </w14:solidFill>
          </w14:textFill>
        </w:rPr>
        <w:t>BLL COMPRAS – BOLSA DE LICITAÇÕES DO BRASIL.</w:t>
      </w:r>
    </w:p>
    <w:p w14:paraId="16444F89">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55ABFEF4">
      <w:pPr>
        <w:pStyle w:val="70"/>
        <w:numPr>
          <w:ilvl w:val="0"/>
          <w:numId w:val="11"/>
        </w:numPr>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bookmarkStart w:id="12" w:name="_Toc135469206"/>
      <w:r>
        <w:rPr>
          <w:rFonts w:ascii="Times New Roman" w:hAnsi="Times New Roman"/>
          <w:color w:val="000000" w:themeColor="text1"/>
          <w:sz w:val="24"/>
          <w:szCs w:val="24"/>
          <w14:textFill>
            <w14:solidFill>
              <w14:schemeClr w14:val="tx1"/>
            </w14:solidFill>
          </w14:textFill>
        </w:rPr>
        <w:t>DAS INFRAÇÕES ADMINISTRATIVAS E SANÇÕES</w:t>
      </w:r>
      <w:bookmarkEnd w:id="12"/>
    </w:p>
    <w:p w14:paraId="4260BBB8">
      <w:pPr>
        <w:pStyle w:val="86"/>
        <w:numPr>
          <w:ilvl w:val="1"/>
          <w:numId w:val="12"/>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Comete infração administrativa, nos termos da lei, o licitante que, com dolo ou culpa: </w:t>
      </w:r>
    </w:p>
    <w:p w14:paraId="140E5CF6">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bookmarkStart w:id="13" w:name="_Ref114668085"/>
      <w:bookmarkStart w:id="14" w:name="_Hlk114652595"/>
      <w:r>
        <w:rPr>
          <w:rFonts w:ascii="Times New Roman" w:hAnsi="Times New Roman" w:cs="Times New Roman"/>
          <w:color w:val="000000" w:themeColor="text1"/>
          <w:sz w:val="24"/>
          <w:szCs w:val="24"/>
          <w14:textFill>
            <w14:solidFill>
              <w14:schemeClr w14:val="tx1"/>
            </w14:solidFill>
          </w14:textFill>
        </w:rPr>
        <w:t>deixar de entregar a documentação exigida para o certame ou não entregar qualquer documento que tenha sido solicitado pela Comissão de Comissão durante o certame;</w:t>
      </w:r>
      <w:bookmarkEnd w:id="13"/>
    </w:p>
    <w:p w14:paraId="0610F80D">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bookmarkStart w:id="15" w:name="_Ref114668108"/>
      <w:r>
        <w:rPr>
          <w:rFonts w:ascii="Times New Roman" w:hAnsi="Times New Roman" w:cs="Times New Roman"/>
          <w:color w:val="000000" w:themeColor="text1"/>
          <w:sz w:val="24"/>
          <w:szCs w:val="24"/>
          <w14:textFill>
            <w14:solidFill>
              <w14:schemeClr w14:val="tx1"/>
            </w14:solidFill>
          </w14:textFill>
        </w:rPr>
        <w:t>Salvo em decorrência de fato superveniente devidamente justificado, não mantiver a proposta em especial quando:</w:t>
      </w:r>
      <w:bookmarkEnd w:id="15"/>
    </w:p>
    <w:p w14:paraId="5408C46B">
      <w:pPr>
        <w:pStyle w:val="89"/>
        <w:numPr>
          <w:ilvl w:val="3"/>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não enviar a proposta adequada ao último lance ofertado ou após a negociação; </w:t>
      </w:r>
    </w:p>
    <w:p w14:paraId="6F641176">
      <w:pPr>
        <w:pStyle w:val="89"/>
        <w:numPr>
          <w:ilvl w:val="3"/>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recusar-se a enviar o detalhamento da proposta quando exigível; </w:t>
      </w:r>
    </w:p>
    <w:p w14:paraId="6CFEDED7">
      <w:pPr>
        <w:pStyle w:val="89"/>
        <w:numPr>
          <w:ilvl w:val="3"/>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pedir para ser desclassificado quando encerrada a etapa competitiva; </w:t>
      </w:r>
    </w:p>
    <w:p w14:paraId="08B7CB6E">
      <w:pPr>
        <w:pStyle w:val="89"/>
        <w:numPr>
          <w:ilvl w:val="3"/>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deixar de apresentar amostra; ou</w:t>
      </w:r>
    </w:p>
    <w:p w14:paraId="0E03EF0A">
      <w:pPr>
        <w:pStyle w:val="89"/>
        <w:numPr>
          <w:ilvl w:val="3"/>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apresentar proposta ou amostra em desacordo com as especificações do edital; </w:t>
      </w:r>
    </w:p>
    <w:p w14:paraId="47F60F53">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bookmarkStart w:id="16" w:name="_Ref114668139"/>
      <w:r>
        <w:rPr>
          <w:rFonts w:ascii="Times New Roman" w:hAnsi="Times New Roman" w:cs="Times New Roman"/>
          <w:color w:val="000000" w:themeColor="text1"/>
          <w:sz w:val="24"/>
          <w:szCs w:val="24"/>
          <w14:textFill>
            <w14:solidFill>
              <w14:schemeClr w14:val="tx1"/>
            </w14:solidFill>
          </w14:textFill>
        </w:rPr>
        <w:t>não celebrar o contrato ou não entregar a documentação exigida para a contratação, quando convocado dentro do prazo de validade de sua proposta;</w:t>
      </w:r>
      <w:bookmarkEnd w:id="16"/>
    </w:p>
    <w:p w14:paraId="45B6C1F0">
      <w:pPr>
        <w:pStyle w:val="89"/>
        <w:numPr>
          <w:ilvl w:val="3"/>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recusar-se, sem justificativa, a assinar o contrato ou a ata de registro de preço, ou a aceitar ou retirar o instrumento equivalente no prazo estabelecido pela Administração;</w:t>
      </w:r>
    </w:p>
    <w:p w14:paraId="0F3AE56A">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bookmarkStart w:id="17" w:name="_Ref114668249"/>
      <w:r>
        <w:rPr>
          <w:rFonts w:ascii="Times New Roman" w:hAnsi="Times New Roman" w:cs="Times New Roman"/>
          <w:color w:val="000000" w:themeColor="text1"/>
          <w:sz w:val="24"/>
          <w:szCs w:val="24"/>
          <w14:textFill>
            <w14:solidFill>
              <w14:schemeClr w14:val="tx1"/>
            </w14:solidFill>
          </w14:textFill>
        </w:rPr>
        <w:t>apresentar declaração ou documentação falsa exigida para o certame ou prestar declaração falsa durante a licitação</w:t>
      </w:r>
      <w:bookmarkEnd w:id="17"/>
    </w:p>
    <w:p w14:paraId="617FC316">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bookmarkStart w:id="18" w:name="_Ref114668245"/>
      <w:r>
        <w:rPr>
          <w:rFonts w:ascii="Times New Roman" w:hAnsi="Times New Roman" w:cs="Times New Roman"/>
          <w:color w:val="000000" w:themeColor="text1"/>
          <w:sz w:val="24"/>
          <w:szCs w:val="24"/>
          <w14:textFill>
            <w14:solidFill>
              <w14:schemeClr w14:val="tx1"/>
            </w14:solidFill>
          </w14:textFill>
        </w:rPr>
        <w:t>fraudar a licitação</w:t>
      </w:r>
      <w:bookmarkEnd w:id="18"/>
    </w:p>
    <w:p w14:paraId="7D6C09F1">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bookmarkStart w:id="19" w:name="_Ref114668247"/>
      <w:r>
        <w:rPr>
          <w:rFonts w:ascii="Times New Roman" w:hAnsi="Times New Roman" w:cs="Times New Roman"/>
          <w:color w:val="000000" w:themeColor="text1"/>
          <w:sz w:val="24"/>
          <w:szCs w:val="24"/>
          <w14:textFill>
            <w14:solidFill>
              <w14:schemeClr w14:val="tx1"/>
            </w14:solidFill>
          </w14:textFill>
        </w:rPr>
        <w:t>comportar-se de modo inidôneo ou cometer fraude de qualquer natureza, em especial quando:</w:t>
      </w:r>
      <w:bookmarkEnd w:id="19"/>
    </w:p>
    <w:p w14:paraId="34C6526B">
      <w:pPr>
        <w:pStyle w:val="89"/>
        <w:numPr>
          <w:ilvl w:val="3"/>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induzir deliberadamente a erro no julgamento; </w:t>
      </w:r>
    </w:p>
    <w:p w14:paraId="3754B40E">
      <w:pPr>
        <w:pStyle w:val="89"/>
        <w:numPr>
          <w:ilvl w:val="3"/>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apresentar amostra falsificada ou deteriorada; </w:t>
      </w:r>
    </w:p>
    <w:p w14:paraId="478C471D">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bookmarkStart w:id="20" w:name="_Ref114668251"/>
      <w:r>
        <w:rPr>
          <w:rFonts w:ascii="Times New Roman" w:hAnsi="Times New Roman" w:cs="Times New Roman"/>
          <w:color w:val="000000" w:themeColor="text1"/>
          <w:sz w:val="24"/>
          <w:szCs w:val="24"/>
          <w14:textFill>
            <w14:solidFill>
              <w14:schemeClr w14:val="tx1"/>
            </w14:solidFill>
          </w14:textFill>
        </w:rPr>
        <w:t>praticar atos ilícitos com vistas a frustrar os objetivos da licitação</w:t>
      </w:r>
      <w:bookmarkEnd w:id="20"/>
    </w:p>
    <w:p w14:paraId="6B910F0E">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bookmarkStart w:id="21" w:name="_Ref114668252"/>
      <w:r>
        <w:rPr>
          <w:rFonts w:ascii="Times New Roman" w:hAnsi="Times New Roman" w:cs="Times New Roman"/>
          <w:color w:val="000000" w:themeColor="text1"/>
          <w:sz w:val="24"/>
          <w:szCs w:val="24"/>
          <w14:textFill>
            <w14:solidFill>
              <w14:schemeClr w14:val="tx1"/>
            </w14:solidFill>
          </w14:textFill>
        </w:rPr>
        <w:t xml:space="preserve">praticar ato lesivo previsto no </w:t>
      </w:r>
      <w:r>
        <w:fldChar w:fldCharType="begin"/>
      </w:r>
      <w:r>
        <w:instrText xml:space="preserve"> HYPERLINK "https://www.planalto.gov.br/ccivil_03/_ato2011-2014/2013/lei/l12846.htm" \l "art5"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art. 5º da Lei n.º 12.846, de 2013</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w:t>
      </w:r>
      <w:bookmarkEnd w:id="21"/>
    </w:p>
    <w:bookmarkEnd w:id="14"/>
    <w:p w14:paraId="36FB7F07">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Com fulcro na </w:t>
      </w:r>
      <w:r>
        <w:fldChar w:fldCharType="begin"/>
      </w:r>
      <w:r>
        <w:instrText xml:space="preserve"> HYPERLINK "http://www.planalto.gov.br/ccivil_03/_ato2019-2022/2021/lei/L14133.htm" </w:instrText>
      </w:r>
      <w:r>
        <w:fldChar w:fldCharType="separate"/>
      </w:r>
      <w:r>
        <w:rPr>
          <w:rStyle w:val="17"/>
          <w:rFonts w:ascii="Times New Roman" w:hAnsi="Times New Roman"/>
          <w:color w:val="000000" w:themeColor="text1"/>
          <w:sz w:val="24"/>
          <w:szCs w:val="24"/>
          <w14:textFill>
            <w14:solidFill>
              <w14:schemeClr w14:val="tx1"/>
            </w14:solidFill>
          </w14:textFill>
        </w:rPr>
        <w:t>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a Administração poderá, garantida a prévia defesa, aplicar aos licitantes e/ou adjudicatários as seguintes sanções, sem prejuízo das responsabilidades civil e criminal: </w:t>
      </w:r>
    </w:p>
    <w:p w14:paraId="6944FB98">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advertência; </w:t>
      </w:r>
    </w:p>
    <w:p w14:paraId="1674DE12">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multa;</w:t>
      </w:r>
    </w:p>
    <w:p w14:paraId="1C7828F1">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impedimento de licitar e contratar; e</w:t>
      </w:r>
    </w:p>
    <w:p w14:paraId="48C75534">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declaração de inidoneidade para licitar ou contratar, enquanto perdurarem os motivos determinantes da punição ou até que seja promovida sua reabilitação perante a própria autoridade que aplicou a penalidade.</w:t>
      </w:r>
    </w:p>
    <w:p w14:paraId="221C99D0">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Na aplicação das sanções serão considerados:</w:t>
      </w:r>
    </w:p>
    <w:p w14:paraId="3E4585F2">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 natureza e a gravidade da infração cometida.</w:t>
      </w:r>
    </w:p>
    <w:p w14:paraId="0C307666">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as peculiaridades do caso concreto;</w:t>
      </w:r>
    </w:p>
    <w:p w14:paraId="3A3AE698">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as circunstâncias agravantes ou atenuantes;</w:t>
      </w:r>
    </w:p>
    <w:p w14:paraId="00AD3043">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os danos que dela provierem para a Administração Pública;</w:t>
      </w:r>
    </w:p>
    <w:p w14:paraId="0F21220E">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 implantação ou o aperfeiçoamento de programa de integridade, conforme normas e orientações dos órgãos de controle.</w:t>
      </w:r>
    </w:p>
    <w:p w14:paraId="052430E8">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A multa será recolhida em percentual de 0,5% a 30% incidente sobre o valor do contrato licitado, recolhida no prazo máximo de </w:t>
      </w:r>
      <w:r>
        <w:rPr>
          <w:rFonts w:ascii="Times New Roman" w:hAnsi="Times New Roman"/>
          <w:b/>
          <w:bCs/>
          <w:color w:val="000000" w:themeColor="text1"/>
          <w:sz w:val="24"/>
          <w:szCs w:val="24"/>
          <w14:textFill>
            <w14:solidFill>
              <w14:schemeClr w14:val="tx1"/>
            </w14:solidFill>
          </w14:textFill>
        </w:rPr>
        <w:t>30 (trinta) dias úteis</w:t>
      </w:r>
      <w:r>
        <w:rPr>
          <w:rFonts w:ascii="Times New Roman" w:hAnsi="Times New Roman"/>
          <w:color w:val="000000" w:themeColor="text1"/>
          <w:sz w:val="24"/>
          <w:szCs w:val="24"/>
          <w14:textFill>
            <w14:solidFill>
              <w14:schemeClr w14:val="tx1"/>
            </w14:solidFill>
          </w14:textFill>
        </w:rPr>
        <w:t xml:space="preserve">, a contar da comunicação oficial. </w:t>
      </w:r>
    </w:p>
    <w:p w14:paraId="5874EDA3">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bookmarkStart w:id="22" w:name="_Hlk113876035"/>
      <w:r>
        <w:rPr>
          <w:rFonts w:ascii="Times New Roman" w:hAnsi="Times New Roman" w:cs="Times New Roman"/>
          <w:color w:val="000000" w:themeColor="text1"/>
          <w:sz w:val="24"/>
          <w:szCs w:val="24"/>
          <w14:textFill>
            <w14:solidFill>
              <w14:schemeClr w14:val="tx1"/>
            </w14:solidFill>
          </w14:textFill>
        </w:rPr>
        <w:t xml:space="preserve">Para as infrações previstas nos itens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REF _Ref114668085 \r \h  \* MERGEFORMAT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11.1.1</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REF _Ref114668108 \r \h  \* MERGEFORMAT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11.1.2</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e 11</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REF _Ref114668139 \r \h  \* MERGEFORMAT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11.1.3</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a multa será de 0,5% a 15%do valor do contrato licitado.</w:t>
      </w:r>
    </w:p>
    <w:bookmarkEnd w:id="22"/>
    <w:p w14:paraId="18CD7500">
      <w:pPr>
        <w:pStyle w:val="88"/>
        <w:numPr>
          <w:ilvl w:val="2"/>
          <w:numId w:val="1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Para as infrações previstas nos itens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REF _Ref114668249 \r \h  \* MERGEFORMAT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11.1.4</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REF _Ref114668245 \r \h  \* MERGEFORMAT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11.1.5</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REF _Ref114668247 \r \h  \* MERGEFORMAT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11.1.6</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REF _Ref114668251 \r \h  \* MERGEFORMAT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11.1.7</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e </w:t>
      </w:r>
      <w:r>
        <w:rPr>
          <w:rFonts w:ascii="Times New Roman" w:hAnsi="Times New Roman" w:cs="Times New Roman"/>
          <w:color w:val="000000" w:themeColor="text1"/>
          <w:sz w:val="24"/>
          <w:szCs w:val="24"/>
          <w14:textFill>
            <w14:solidFill>
              <w14:schemeClr w14:val="tx1"/>
            </w14:solidFill>
          </w14:textFill>
        </w:rPr>
        <w:fldChar w:fldCharType="begin"/>
      </w:r>
      <w:r>
        <w:rPr>
          <w:rFonts w:ascii="Times New Roman" w:hAnsi="Times New Roman" w:cs="Times New Roman"/>
          <w:color w:val="000000" w:themeColor="text1"/>
          <w:sz w:val="24"/>
          <w:szCs w:val="24"/>
          <w14:textFill>
            <w14:solidFill>
              <w14:schemeClr w14:val="tx1"/>
            </w14:solidFill>
          </w14:textFill>
        </w:rPr>
        <w:instrText xml:space="preserve"> REF _Ref114668252 \r \h  \* MERGEFORMAT </w:instrText>
      </w:r>
      <w:r>
        <w:rPr>
          <w:rFonts w:ascii="Times New Roman" w:hAnsi="Times New Roman" w:cs="Times New Roman"/>
          <w:color w:val="000000" w:themeColor="text1"/>
          <w:sz w:val="24"/>
          <w:szCs w:val="24"/>
          <w14:textFill>
            <w14:solidFill>
              <w14:schemeClr w14:val="tx1"/>
            </w14:solidFill>
          </w14:textFill>
        </w:rPr>
        <w:fldChar w:fldCharType="separate"/>
      </w:r>
      <w:r>
        <w:rPr>
          <w:rFonts w:ascii="Times New Roman" w:hAnsi="Times New Roman" w:cs="Times New Roman"/>
          <w:color w:val="000000" w:themeColor="text1"/>
          <w:sz w:val="24"/>
          <w:szCs w:val="24"/>
          <w14:textFill>
            <w14:solidFill>
              <w14:schemeClr w14:val="tx1"/>
            </w14:solidFill>
          </w14:textFill>
        </w:rPr>
        <w:t>11.1.8</w:t>
      </w:r>
      <w:r>
        <w:rPr>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a multa será de 15%a 30%do valor do contrato licitado.</w:t>
      </w:r>
    </w:p>
    <w:p w14:paraId="1D0E36A7">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As sanções de advertência, impedimento de licitar e contratar e declaração de inidoneidade para licitar ou contratar poderão ser aplicadas, cumulativamente ou não, à penalidade de multa.</w:t>
      </w:r>
    </w:p>
    <w:p w14:paraId="45535A3E">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Na aplicação da sanção de multa será facultada a defesa do interessado no prazo de 15 (quinze) dias úteis, contado da data de sua intimação.</w:t>
      </w:r>
    </w:p>
    <w:p w14:paraId="29B9D17E">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A sanção de impedimento de licitar e contratar será aplicada ao responsável em decorrência das infrações administrativas relacionadas nos itens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_Ref114668085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11.1.1</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_Ref114668108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11.1.2</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e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_Ref114668139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11.1.3</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8A6A7DD">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Poderá ser aplicada ao responsável a sanção de declaração de inidoneidade para licitar ou contratar, em decorrência da prática das infrações dispostas nos itens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_Ref114668249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11.1.4</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_Ref114668245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11.1.5</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_Ref114668247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11.1.6</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_Ref114668251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11.1.7</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e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_Ref114668252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11.1.8</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bem como pelas infrações administrativas previstas nos itens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_Ref114668085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11.1.1</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_Ref114668108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11.1.2</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e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_Ref114668139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11.1.3</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que justifiquem a imposição de penalidade mais grave que a sanção de impedimento de licitar e contratar, cuja duração observará o prazo previsto no </w:t>
      </w:r>
      <w:r>
        <w:fldChar w:fldCharType="begin"/>
      </w:r>
      <w:r>
        <w:instrText xml:space="preserve"> HYPERLINK "http://www.planalto.gov.br/ccivil_03/_ato2019-2022/2021/lei/L14133.htm" \l "art156§5" </w:instrText>
      </w:r>
      <w:r>
        <w:fldChar w:fldCharType="separate"/>
      </w:r>
      <w:r>
        <w:rPr>
          <w:rStyle w:val="17"/>
          <w:rFonts w:ascii="Times New Roman" w:hAnsi="Times New Roman"/>
          <w:color w:val="000000" w:themeColor="text1"/>
          <w:sz w:val="24"/>
          <w:szCs w:val="24"/>
          <w14:textFill>
            <w14:solidFill>
              <w14:schemeClr w14:val="tx1"/>
            </w14:solidFill>
          </w14:textFill>
        </w:rPr>
        <w:t>art. 156, §5º, da Lei n.º 14.133/2021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0C82A201">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A recusa injustificada do adjudicatário em assinar o contrato ou a ata de registro de preço, ou em aceitar ou retirar o instrumento equivalente no prazo estabelecido pela Administração, descrita no item </w:t>
      </w:r>
      <w:r>
        <w:rPr>
          <w:rFonts w:ascii="Times New Roman" w:hAnsi="Times New Roman"/>
          <w:color w:val="000000" w:themeColor="text1"/>
          <w:sz w:val="24"/>
          <w:szCs w:val="24"/>
          <w14:textFill>
            <w14:solidFill>
              <w14:schemeClr w14:val="tx1"/>
            </w14:solidFill>
          </w14:textFill>
        </w:rPr>
        <w:fldChar w:fldCharType="begin"/>
      </w:r>
      <w:r>
        <w:rPr>
          <w:rFonts w:ascii="Times New Roman" w:hAnsi="Times New Roman"/>
          <w:color w:val="000000" w:themeColor="text1"/>
          <w:sz w:val="24"/>
          <w:szCs w:val="24"/>
          <w14:textFill>
            <w14:solidFill>
              <w14:schemeClr w14:val="tx1"/>
            </w14:solidFill>
          </w14:textFill>
        </w:rPr>
        <w:instrText xml:space="preserve"> REF _Ref114668139 \r \h  \* MERGEFORMAT </w:instrText>
      </w:r>
      <w:r>
        <w:rPr>
          <w:rFonts w:ascii="Times New Roman" w:hAnsi="Times New Roman"/>
          <w:color w:val="000000" w:themeColor="text1"/>
          <w:sz w:val="24"/>
          <w:szCs w:val="24"/>
          <w14:textFill>
            <w14:solidFill>
              <w14:schemeClr w14:val="tx1"/>
            </w14:solidFill>
          </w14:textFill>
        </w:rPr>
        <w:fldChar w:fldCharType="separate"/>
      </w:r>
      <w:r>
        <w:rPr>
          <w:rFonts w:ascii="Times New Roman" w:hAnsi="Times New Roman"/>
          <w:color w:val="000000" w:themeColor="text1"/>
          <w:sz w:val="24"/>
          <w:szCs w:val="24"/>
          <w14:textFill>
            <w14:solidFill>
              <w14:schemeClr w14:val="tx1"/>
            </w14:solidFill>
          </w14:textFill>
        </w:rPr>
        <w:t>11.1.3</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caracterizará o descumprimento total da obrigação assumida e o sujeitará às penalidades e à imediata perda da garantia de proposta em favor do órgão ou entidade promotora da licitação, nos termos do </w:t>
      </w:r>
      <w:r>
        <w:fldChar w:fldCharType="begin"/>
      </w:r>
      <w:r>
        <w:instrText xml:space="preserve"> HYPERLINK "https://www.gov.br/compras/pt-br/acesso-a-informacao/legislacao/instrucoes-normativas/instrucao-normativa-seges-me-no-73-de-30-de-setembro-de-2022" </w:instrText>
      </w:r>
      <w:r>
        <w:fldChar w:fldCharType="separate"/>
      </w:r>
      <w:r>
        <w:rPr>
          <w:rStyle w:val="17"/>
          <w:rFonts w:ascii="Times New Roman" w:hAnsi="Times New Roman"/>
          <w:color w:val="000000" w:themeColor="text1"/>
          <w:sz w:val="24"/>
          <w:szCs w:val="24"/>
          <w14:textFill>
            <w14:solidFill>
              <w14:schemeClr w14:val="tx1"/>
            </w14:solidFill>
          </w14:textFill>
        </w:rPr>
        <w:t>art. 45, §4º da IN SEGES/ME n.º 73, de 2022</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w:t>
      </w:r>
    </w:p>
    <w:p w14:paraId="0A8DB63E">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Pr>
          <w:rFonts w:ascii="Times New Roman" w:hAnsi="Times New Roman"/>
          <w:b/>
          <w:bCs/>
          <w:color w:val="000000" w:themeColor="text1"/>
          <w:sz w:val="24"/>
          <w:szCs w:val="24"/>
          <w14:textFill>
            <w14:solidFill>
              <w14:schemeClr w14:val="tx1"/>
            </w14:solidFill>
          </w14:textFill>
        </w:rPr>
        <w:t>2 (dois) ou mais servidores estáveis</w:t>
      </w:r>
      <w:r>
        <w:rPr>
          <w:rFonts w:ascii="Times New Roman" w:hAnsi="Times New Roman"/>
          <w:color w:val="000000" w:themeColor="text1"/>
          <w:sz w:val="24"/>
          <w:szCs w:val="24"/>
          <w14:textFill>
            <w14:solidFill>
              <w14:schemeClr w14:val="tx1"/>
            </w14:solidFill>
          </w14:textFill>
        </w:rPr>
        <w:t xml:space="preserve">, que avaliará fatos e circunstâncias conhecidos e intimará o licitante ou o adjudicatário para, no prazo de 15 (quinze) dias úteis, contado da data de sua intimação, apresentar defesa escrita e especificar as provas que pretenda produzir. </w:t>
      </w:r>
    </w:p>
    <w:p w14:paraId="79950CA3">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12B82F">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730BD5C">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recurso e o pedido de reconsideração terão efeito suspensivo do ato ou da decisão recorrida até que sobrevenha decisão final da autoridade competente.</w:t>
      </w:r>
    </w:p>
    <w:p w14:paraId="23DD6DE8">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aplicação das sanções previstas neste edital não exclui, em hipótese alguma, a obrigação de reparação integral dos danos causados.</w:t>
      </w:r>
    </w:p>
    <w:p w14:paraId="00CE1DF3">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7E5F9D62">
      <w:pPr>
        <w:pStyle w:val="70"/>
        <w:numPr>
          <w:ilvl w:val="0"/>
          <w:numId w:val="12"/>
        </w:numPr>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bookmarkStart w:id="23" w:name="_Toc135469207"/>
      <w:r>
        <w:rPr>
          <w:rFonts w:ascii="Times New Roman" w:hAnsi="Times New Roman"/>
          <w:color w:val="000000" w:themeColor="text1"/>
          <w:sz w:val="24"/>
          <w:szCs w:val="24"/>
          <w14:textFill>
            <w14:solidFill>
              <w14:schemeClr w14:val="tx1"/>
            </w14:solidFill>
          </w14:textFill>
        </w:rPr>
        <w:t>DA IMPUGNAÇÃO AO EDITAL E DO PEDIDO DE ESCLARECIMENTO</w:t>
      </w:r>
      <w:bookmarkEnd w:id="23"/>
    </w:p>
    <w:p w14:paraId="3525BBF4">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Qualquer pessoa é parte legítima para impugnar este Edital por irregularidade na aplicação da </w:t>
      </w:r>
      <w:r>
        <w:fldChar w:fldCharType="begin"/>
      </w:r>
      <w:r>
        <w:instrText xml:space="preserve"> HYPERLINK "http://www.planalto.gov.br/ccivil_03/_ato2019-2022/2021/lei/L14133.htm" </w:instrText>
      </w:r>
      <w:r>
        <w:fldChar w:fldCharType="separate"/>
      </w:r>
      <w:r>
        <w:rPr>
          <w:rStyle w:val="17"/>
          <w:rFonts w:ascii="Times New Roman" w:hAnsi="Times New Roman"/>
          <w:color w:val="000000" w:themeColor="text1"/>
          <w:sz w:val="24"/>
          <w:szCs w:val="24"/>
          <w14:textFill>
            <w14:solidFill>
              <w14:schemeClr w14:val="tx1"/>
            </w14:solidFill>
          </w14:textFill>
        </w:rPr>
        <w:t>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devendo protocolar o pedido até 3 (três) dias úteis antes da data da abertura do certame.</w:t>
      </w:r>
    </w:p>
    <w:p w14:paraId="03A84EB2">
      <w:pPr>
        <w:pStyle w:val="86"/>
        <w:numPr>
          <w:ilvl w:val="1"/>
          <w:numId w:val="1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resposta à impugnação ou ao pedido de esclarecimento será divulgado em sítio eletrônico oficial no prazo de até 3 (três) dias úteis, limitado ao último dia útil anterior à data da abertura do certame.</w:t>
      </w:r>
    </w:p>
    <w:p w14:paraId="6ADFA7FA">
      <w:pPr>
        <w:suppressAutoHyphens w:val="0"/>
        <w:autoSpaceDE w:val="0"/>
        <w:autoSpaceDN w:val="0"/>
        <w:adjustRightInd w:val="0"/>
        <w:spacing w:before="6" w:after="6"/>
        <w:jc w:val="both"/>
        <w:rPr>
          <w:rFonts w:eastAsia="Calibri"/>
          <w:color w:val="000000" w:themeColor="text1"/>
          <w:szCs w:val="24"/>
          <w:lang w:eastAsia="pt-BR"/>
          <w14:textFill>
            <w14:solidFill>
              <w14:schemeClr w14:val="tx1"/>
            </w14:solidFill>
          </w14:textFill>
        </w:rPr>
      </w:pPr>
      <w:r>
        <w:rPr>
          <w:rFonts w:eastAsia="Calibri"/>
          <w:color w:val="000000" w:themeColor="text1"/>
          <w:szCs w:val="24"/>
          <w:lang w:eastAsia="pt-BR"/>
          <w14:textFill>
            <w14:solidFill>
              <w14:schemeClr w14:val="tx1"/>
            </w14:solidFill>
          </w14:textFill>
        </w:rPr>
        <w:t>12.3.</w:t>
      </w:r>
      <w:r>
        <w:rPr>
          <w:rFonts w:eastAsia="Calibri"/>
          <w:color w:val="000000" w:themeColor="text1"/>
          <w:szCs w:val="24"/>
          <w:lang w:eastAsia="pt-BR"/>
          <w14:textFill>
            <w14:solidFill>
              <w14:schemeClr w14:val="tx1"/>
            </w14:solidFill>
          </w14:textFill>
        </w:rPr>
        <w:tab/>
      </w:r>
      <w:r>
        <w:rPr>
          <w:rFonts w:eastAsia="Calibri"/>
          <w:color w:val="000000" w:themeColor="text1"/>
          <w:szCs w:val="24"/>
          <w:lang w:eastAsia="pt-BR"/>
          <w14:textFill>
            <w14:solidFill>
              <w14:schemeClr w14:val="tx1"/>
            </w14:solidFill>
          </w14:textFill>
        </w:rPr>
        <w:t xml:space="preserve">A impugnação e o pedido de esclarecimento poderão ser realizados por forma eletrônica,  </w:t>
      </w:r>
      <w:r>
        <w:fldChar w:fldCharType="begin"/>
      </w:r>
      <w:r>
        <w:instrText xml:space="preserve"> HYPERLINK "https://bll.org.br/" </w:instrText>
      </w:r>
      <w:r>
        <w:fldChar w:fldCharType="separate"/>
      </w:r>
      <w:r>
        <w:rPr>
          <w:rFonts w:eastAsia="Calibri"/>
          <w:color w:val="000000" w:themeColor="text1"/>
          <w:szCs w:val="24"/>
          <w:lang w:eastAsia="pt-BR"/>
          <w14:textFill>
            <w14:solidFill>
              <w14:schemeClr w14:val="tx1"/>
            </w14:solidFill>
          </w14:textFill>
        </w:rPr>
        <w:t>https://bll.org.br/</w:t>
      </w:r>
      <w:r>
        <w:rPr>
          <w:rFonts w:eastAsia="Calibri"/>
          <w:color w:val="000000" w:themeColor="text1"/>
          <w:szCs w:val="24"/>
          <w:lang w:eastAsia="pt-BR"/>
          <w14:textFill>
            <w14:solidFill>
              <w14:schemeClr w14:val="tx1"/>
            </w14:solidFill>
          </w14:textFill>
        </w:rPr>
        <w:fldChar w:fldCharType="end"/>
      </w:r>
      <w:r>
        <w:rPr>
          <w:rFonts w:eastAsia="Calibri"/>
          <w:color w:val="000000" w:themeColor="text1"/>
          <w:szCs w:val="24"/>
          <w:lang w:eastAsia="pt-BR"/>
          <w14:textFill>
            <w14:solidFill>
              <w14:schemeClr w14:val="tx1"/>
            </w14:solidFill>
          </w14:textFill>
        </w:rPr>
        <w:t xml:space="preserve"> ou via email: </w:t>
      </w:r>
      <w:r>
        <w:rPr>
          <w:rFonts w:eastAsia="Calibri"/>
          <w:color w:val="000000" w:themeColor="text1"/>
          <w:szCs w:val="24"/>
          <w:u w:val="single"/>
          <w:lang w:eastAsia="pt-BR"/>
          <w14:textFill>
            <w14:solidFill>
              <w14:schemeClr w14:val="tx1"/>
            </w14:solidFill>
          </w14:textFill>
        </w:rPr>
        <w:t>licitação@pmcaracol.ms.gov.br</w:t>
      </w:r>
      <w:r>
        <w:rPr>
          <w:rFonts w:eastAsia="Calibri"/>
          <w:color w:val="000000" w:themeColor="text1"/>
          <w:szCs w:val="24"/>
          <w:lang w:eastAsia="pt-BR"/>
          <w14:textFill>
            <w14:solidFill>
              <w14:schemeClr w14:val="tx1"/>
            </w14:solidFill>
          </w14:textFill>
        </w:rPr>
        <w:t>.</w:t>
      </w:r>
    </w:p>
    <w:p w14:paraId="213C0D32">
      <w:pPr>
        <w:pStyle w:val="86"/>
        <w:numPr>
          <w:ilvl w:val="1"/>
          <w:numId w:val="13"/>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As impugnações e pedidos de esclarecimentos não suspendem os prazos previstos no certame.</w:t>
      </w:r>
    </w:p>
    <w:p w14:paraId="17D2F5E2">
      <w:pPr>
        <w:pStyle w:val="86"/>
        <w:numPr>
          <w:ilvl w:val="1"/>
          <w:numId w:val="13"/>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concessão de efeito suspensivo à impugnação é medida excepcional e deverá ser motivada pela comissão de contratação, nos autos do processo de licitação.</w:t>
      </w:r>
    </w:p>
    <w:p w14:paraId="132F93DB">
      <w:pPr>
        <w:pStyle w:val="86"/>
        <w:numPr>
          <w:ilvl w:val="1"/>
          <w:numId w:val="13"/>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Acolhida a impugnação, será definida e publicada nova data para a realização do certame.</w:t>
      </w:r>
    </w:p>
    <w:p w14:paraId="2347E73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187EEF39">
      <w:pPr>
        <w:pStyle w:val="70"/>
        <w:numPr>
          <w:ilvl w:val="0"/>
          <w:numId w:val="13"/>
        </w:numPr>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bookmarkStart w:id="24" w:name="_Toc135469208"/>
      <w:r>
        <w:rPr>
          <w:rFonts w:ascii="Times New Roman" w:hAnsi="Times New Roman"/>
          <w:color w:val="000000" w:themeColor="text1"/>
          <w:sz w:val="24"/>
          <w:szCs w:val="24"/>
          <w14:textFill>
            <w14:solidFill>
              <w14:schemeClr w14:val="tx1"/>
            </w14:solidFill>
          </w14:textFill>
        </w:rPr>
        <w:t>DAS DISPOSIÇÕES GERAIS</w:t>
      </w:r>
      <w:bookmarkEnd w:id="24"/>
    </w:p>
    <w:p w14:paraId="58AC0BF0">
      <w:pPr>
        <w:pStyle w:val="86"/>
        <w:numPr>
          <w:ilvl w:val="1"/>
          <w:numId w:val="13"/>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Será divulgada ata da sessão pública no sistema eletrônico.</w:t>
      </w:r>
    </w:p>
    <w:p w14:paraId="5B52D2CC">
      <w:pPr>
        <w:pStyle w:val="86"/>
        <w:numPr>
          <w:ilvl w:val="1"/>
          <w:numId w:val="13"/>
        </w:numPr>
        <w:spacing w:before="72" w:beforeLines="30" w:after="72" w:afterLines="30" w:line="240" w:lineRule="auto"/>
        <w:ind w:left="0" w:firstLine="0"/>
        <w:rPr>
          <w:rFonts w:ascii="Times New Roman" w:hAnsi="Times New Roman" w:eastAsia="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Comissão de Contratação.</w:t>
      </w:r>
    </w:p>
    <w:p w14:paraId="136DC96F">
      <w:pPr>
        <w:pStyle w:val="86"/>
        <w:numPr>
          <w:ilvl w:val="1"/>
          <w:numId w:val="13"/>
        </w:numPr>
        <w:spacing w:before="72" w:beforeLines="30" w:after="72" w:afterLines="30" w:line="240" w:lineRule="auto"/>
        <w:ind w:left="0" w:firstLine="0"/>
        <w:rPr>
          <w:rFonts w:ascii="Times New Roman" w:hAnsi="Times New Roman" w:eastAsia="Times New Roman"/>
          <w:b/>
          <w:bCs/>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Todas as referências de tempo no Edital, no aviso e durante a sessão pública observarão </w:t>
      </w:r>
      <w:r>
        <w:rPr>
          <w:rFonts w:ascii="Times New Roman" w:hAnsi="Times New Roman"/>
          <w:b/>
          <w:bCs/>
          <w:color w:val="000000" w:themeColor="text1"/>
          <w:sz w:val="24"/>
          <w:szCs w:val="24"/>
          <w14:textFill>
            <w14:solidFill>
              <w14:schemeClr w14:val="tx1"/>
            </w14:solidFill>
          </w14:textFill>
        </w:rPr>
        <w:t>o horário de Brasília - DF.</w:t>
      </w:r>
    </w:p>
    <w:p w14:paraId="75D55B52">
      <w:pPr>
        <w:pStyle w:val="86"/>
        <w:numPr>
          <w:ilvl w:val="1"/>
          <w:numId w:val="13"/>
        </w:numPr>
        <w:spacing w:before="72" w:beforeLines="30" w:after="72" w:afterLines="30" w:line="240" w:lineRule="auto"/>
        <w:ind w:left="0" w:firstLine="0"/>
        <w:rPr>
          <w:rFonts w:ascii="Times New Roman" w:hAnsi="Times New Roman" w:eastAsia="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homologação do resultado desta licitação não implicará direito à contratação.</w:t>
      </w:r>
    </w:p>
    <w:p w14:paraId="151D5B3E">
      <w:pPr>
        <w:pStyle w:val="86"/>
        <w:numPr>
          <w:ilvl w:val="1"/>
          <w:numId w:val="13"/>
        </w:numPr>
        <w:spacing w:before="72" w:beforeLines="30" w:after="72" w:afterLines="30" w:line="240" w:lineRule="auto"/>
        <w:ind w:left="0" w:firstLine="0"/>
        <w:rPr>
          <w:rFonts w:ascii="Times New Roman" w:hAnsi="Times New Roman" w:eastAsia="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2421624">
      <w:pPr>
        <w:pStyle w:val="86"/>
        <w:numPr>
          <w:ilvl w:val="1"/>
          <w:numId w:val="13"/>
        </w:numPr>
        <w:spacing w:before="72" w:beforeLines="30" w:after="72" w:afterLines="30" w:line="240" w:lineRule="auto"/>
        <w:ind w:left="0" w:firstLine="0"/>
        <w:rPr>
          <w:rFonts w:ascii="Times New Roman" w:hAnsi="Times New Roman" w:eastAsia="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licitantes assumem todos os custos de preparação e apresentação de suas propostas e a Administração não será, em nenhum caso, responsável por esses custos, independentemente da condução ou do resultado do processo licitatório.</w:t>
      </w:r>
    </w:p>
    <w:p w14:paraId="5C583AE5">
      <w:pPr>
        <w:pStyle w:val="86"/>
        <w:numPr>
          <w:ilvl w:val="1"/>
          <w:numId w:val="13"/>
        </w:numPr>
        <w:spacing w:before="72" w:beforeLines="30" w:after="72" w:afterLines="30" w:line="240" w:lineRule="auto"/>
        <w:ind w:left="0" w:firstLine="0"/>
        <w:rPr>
          <w:rFonts w:ascii="Times New Roman" w:hAnsi="Times New Roman" w:eastAsia="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Na contagem dos prazos estabelecidos neste Edital e seus Anexos, excluir-se-á o dia do início e incluir-se-á o do vencimento. Só se iniciam e vencem os prazos em dias de expediente na Administração.</w:t>
      </w:r>
    </w:p>
    <w:p w14:paraId="3FD83889">
      <w:pPr>
        <w:pStyle w:val="86"/>
        <w:numPr>
          <w:ilvl w:val="1"/>
          <w:numId w:val="13"/>
        </w:numPr>
        <w:spacing w:before="72" w:beforeLines="30" w:after="72" w:afterLines="30" w:line="240" w:lineRule="auto"/>
        <w:ind w:left="0" w:firstLine="0"/>
        <w:rPr>
          <w:rFonts w:ascii="Times New Roman" w:hAnsi="Times New Roman" w:eastAsia="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desatendimento de exigências formais não essenciais não importará o afastamento do licitante, desde que seja possível o aproveitamento do ato, observados os princípios da isonomia e do interesse público.</w:t>
      </w:r>
    </w:p>
    <w:p w14:paraId="64FDB556">
      <w:pPr>
        <w:pStyle w:val="86"/>
        <w:numPr>
          <w:ilvl w:val="1"/>
          <w:numId w:val="13"/>
        </w:numPr>
        <w:spacing w:before="72" w:beforeLines="30" w:after="72" w:afterLines="30" w:line="240" w:lineRule="auto"/>
        <w:ind w:left="0" w:firstLine="0"/>
        <w:rPr>
          <w:rFonts w:ascii="Times New Roman" w:hAnsi="Times New Roman" w:eastAsia="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Em caso de divergência entre disposições deste Edital e de seus anexos ou demais peças que compõem o processo, prevalecerá as deste Edital.</w:t>
      </w:r>
    </w:p>
    <w:p w14:paraId="74228EB6">
      <w:pPr>
        <w:pStyle w:val="86"/>
        <w:numPr>
          <w:ilvl w:val="1"/>
          <w:numId w:val="13"/>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Edital e seus anexos estão disponíveis, na íntegra, no Portal Nacional de Contratações Públicas (PNCP) e endereço eletrônico: </w:t>
      </w:r>
      <w:r>
        <w:fldChar w:fldCharType="begin"/>
      </w:r>
      <w:r>
        <w:instrText xml:space="preserve"> HYPERLINK "https://bll.org.br/" </w:instrText>
      </w:r>
      <w:r>
        <w:fldChar w:fldCharType="separate"/>
      </w:r>
      <w:r>
        <w:rPr>
          <w:rStyle w:val="17"/>
          <w:rFonts w:ascii="Times New Roman" w:hAnsi="Times New Roman"/>
          <w:color w:val="000000" w:themeColor="text1"/>
          <w:sz w:val="24"/>
          <w:szCs w:val="24"/>
          <w14:textFill>
            <w14:solidFill>
              <w14:schemeClr w14:val="tx1"/>
            </w14:solidFill>
          </w14:textFill>
        </w:rPr>
        <w:t>https://bll.org.br/</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b/>
          <w:bCs/>
          <w:color w:val="000000" w:themeColor="text1"/>
          <w:sz w:val="24"/>
          <w:szCs w:val="24"/>
          <w14:textFill>
            <w14:solidFill>
              <w14:schemeClr w14:val="tx1"/>
            </w14:solidFill>
          </w14:textFill>
        </w:rPr>
        <w:t xml:space="preserve">BLL COMPRAS – BOLSA DE LICITAÇÕES DO BRASIL. </w:t>
      </w:r>
    </w:p>
    <w:p w14:paraId="6CC9E097">
      <w:pPr>
        <w:pStyle w:val="86"/>
        <w:numPr>
          <w:ilvl w:val="1"/>
          <w:numId w:val="13"/>
        </w:numPr>
        <w:spacing w:before="72" w:beforeLines="30" w:after="72" w:afterLines="30" w:line="240" w:lineRule="auto"/>
        <w:ind w:left="0" w:firstLine="0"/>
        <w:rPr>
          <w:rFonts w:ascii="Times New Roman" w:hAnsi="Times New Roman" w:eastAsia="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Integram este Edital, para todos os fins e efeitos, os seguintes anexos:</w:t>
      </w:r>
    </w:p>
    <w:p w14:paraId="17B9E018">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a) ANEXO I –Termo de Referência </w:t>
      </w:r>
    </w:p>
    <w:p w14:paraId="50D6A719">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b) ANEXO II - Estudo Técnico Preliminar</w:t>
      </w:r>
    </w:p>
    <w:p w14:paraId="55D554A1">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c) ANEXO III – Minuta de Termo de Contrato</w:t>
      </w:r>
    </w:p>
    <w:p w14:paraId="741C8990">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d) ANEXO IV – Memorial Descritivo/Projeto Básico</w:t>
      </w:r>
    </w:p>
    <w:p w14:paraId="05D65ACB">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e) ANEXO V – Planilha Orçamentária</w:t>
      </w:r>
    </w:p>
    <w:p w14:paraId="0B65CC6E">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f) ANEXO VI – Cronograma físico-financeiro</w:t>
      </w:r>
    </w:p>
    <w:p w14:paraId="5B6051A8">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g) ANEXO VII – BDI</w:t>
      </w:r>
    </w:p>
    <w:p w14:paraId="19296EA1">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h) ANEXO VIII – Modelo de Declaração de vínculo empregatício</w:t>
      </w:r>
    </w:p>
    <w:p w14:paraId="6585CCBC">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k) ANEXO IX – Modelo de Declaração ME/EPP</w:t>
      </w:r>
    </w:p>
    <w:p w14:paraId="590C359E">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l) ANEXO X – Modelo de Declaração Geral</w:t>
      </w:r>
    </w:p>
    <w:p w14:paraId="4471C8C3">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m) ANEXO XI – Modelo de Declaração de Renúncia de visita</w:t>
      </w:r>
    </w:p>
    <w:p w14:paraId="5C2FBCED">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n) ANEXO XII – Modelo de Atestado de visita técnica</w:t>
      </w:r>
    </w:p>
    <w:p w14:paraId="2E6FB301">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o) ANEXO XIII – Modelo de declaração de prestação de garantia</w:t>
      </w:r>
    </w:p>
    <w:p w14:paraId="554F3715">
      <w:pPr>
        <w:spacing w:before="288" w:beforeLines="120" w:after="288" w:afterLines="120"/>
        <w:jc w:val="right"/>
        <w:rPr>
          <w:rFonts w:eastAsia="MS Mincho"/>
          <w:color w:val="000000" w:themeColor="text1"/>
          <w:szCs w:val="24"/>
          <w14:textFill>
            <w14:solidFill>
              <w14:schemeClr w14:val="tx1"/>
            </w14:solidFill>
          </w14:textFill>
        </w:rPr>
      </w:pPr>
      <w:r>
        <w:rPr>
          <w:rFonts w:eastAsia="MS Mincho"/>
          <w:color w:val="000000" w:themeColor="text1"/>
          <w:szCs w:val="24"/>
          <w14:textFill>
            <w14:solidFill>
              <w14:schemeClr w14:val="tx1"/>
            </w14:solidFill>
          </w14:textFill>
        </w:rPr>
        <w:t>Caracol MS, 25 de fevereiro de 2026.</w:t>
      </w:r>
    </w:p>
    <w:p w14:paraId="5B00F5D2">
      <w:pPr>
        <w:spacing w:before="288" w:beforeLines="120" w:after="288" w:afterLines="120"/>
        <w:jc w:val="right"/>
        <w:rPr>
          <w:rFonts w:eastAsia="MS Mincho"/>
          <w:color w:val="000000" w:themeColor="text1"/>
          <w:szCs w:val="24"/>
          <w14:textFill>
            <w14:solidFill>
              <w14:schemeClr w14:val="tx1"/>
            </w14:solidFill>
          </w14:textFill>
        </w:rPr>
      </w:pPr>
    </w:p>
    <w:bookmarkEnd w:id="4"/>
    <w:p w14:paraId="4EE36749">
      <w:pPr>
        <w:pStyle w:val="100"/>
        <w:spacing w:line="276" w:lineRule="auto"/>
        <w:jc w:val="center"/>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Carlos Antonio dos Santos Gouvêa</w:t>
      </w:r>
    </w:p>
    <w:p w14:paraId="04FE27E0">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Secretário Municipal de Planejamento</w:t>
      </w:r>
    </w:p>
    <w:p w14:paraId="254C7360">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(Autoridade nos processos licitatórios, conforme portaria n. 024/2024)</w:t>
      </w:r>
    </w:p>
    <w:p w14:paraId="00F2E9CB">
      <w:pPr>
        <w:jc w:val="center"/>
        <w:rPr>
          <w:b/>
          <w:color w:val="000000" w:themeColor="text1"/>
          <w:szCs w:val="24"/>
          <w14:textFill>
            <w14:solidFill>
              <w14:schemeClr w14:val="tx1"/>
            </w14:solidFill>
          </w14:textFill>
        </w:rPr>
      </w:pPr>
    </w:p>
    <w:p w14:paraId="4BBE7464">
      <w:pPr>
        <w:suppressAutoHyphens w:val="0"/>
        <w:jc w:val="center"/>
        <w:rPr>
          <w:rFonts w:eastAsia="Arial"/>
          <w:b/>
          <w:bCs/>
          <w:color w:val="000000" w:themeColor="text1"/>
          <w:szCs w:val="24"/>
          <w:lang w:eastAsia="pt-BR"/>
          <w14:textFill>
            <w14:solidFill>
              <w14:schemeClr w14:val="tx1"/>
            </w14:solidFill>
          </w14:textFill>
        </w:rPr>
      </w:pPr>
      <w:r>
        <w:rPr>
          <w:b/>
          <w:color w:val="000000" w:themeColor="text1"/>
          <w:szCs w:val="24"/>
          <w14:textFill>
            <w14:solidFill>
              <w14:schemeClr w14:val="tx1"/>
            </w14:solidFill>
          </w14:textFill>
        </w:rPr>
        <w:br w:type="page"/>
      </w:r>
      <w:r>
        <w:rPr>
          <w:b/>
          <w:color w:val="000000" w:themeColor="text1"/>
          <w:szCs w:val="24"/>
          <w14:textFill>
            <w14:solidFill>
              <w14:schemeClr w14:val="tx1"/>
            </w14:solidFill>
          </w14:textFill>
        </w:rPr>
        <w:t>ANEXO I</w:t>
      </w:r>
    </w:p>
    <w:p w14:paraId="6483EB84">
      <w:pPr>
        <w:spacing w:before="72" w:beforeLines="30" w:after="72" w:afterLines="30"/>
        <w:contextualSpacing/>
        <w:jc w:val="center"/>
        <w:rPr>
          <w:rFonts w:eastAsia="MS Mincho"/>
          <w:b/>
          <w:color w:val="000000" w:themeColor="text1"/>
          <w:szCs w:val="24"/>
          <w:u w:val="single"/>
          <w14:textFill>
            <w14:solidFill>
              <w14:schemeClr w14:val="tx1"/>
            </w14:solidFill>
          </w14:textFill>
        </w:rPr>
      </w:pPr>
      <w:bookmarkStart w:id="25" w:name="_Hlk82471863"/>
      <w:r>
        <w:rPr>
          <w:rFonts w:eastAsia="MS Mincho"/>
          <w:b/>
          <w:color w:val="000000" w:themeColor="text1"/>
          <w:szCs w:val="24"/>
          <w:u w:val="single"/>
          <w14:textFill>
            <w14:solidFill>
              <w14:schemeClr w14:val="tx1"/>
            </w14:solidFill>
          </w14:textFill>
        </w:rPr>
        <w:t>TERMO DE REFERÊNCIA</w:t>
      </w:r>
    </w:p>
    <w:bookmarkEnd w:id="25"/>
    <w:p w14:paraId="33EF079D">
      <w:pPr>
        <w:spacing w:before="72" w:beforeLines="30" w:after="72" w:afterLines="30"/>
        <w:jc w:val="center"/>
        <w:rPr>
          <w:rFonts w:eastAsia="Arial"/>
          <w:b/>
          <w:color w:val="000000" w:themeColor="text1"/>
          <w:szCs w:val="24"/>
          <w:u w:val="single"/>
          <w14:textFill>
            <w14:solidFill>
              <w14:schemeClr w14:val="tx1"/>
            </w14:solidFill>
          </w14:textFill>
        </w:rPr>
      </w:pPr>
    </w:p>
    <w:p w14:paraId="1DE6ED50">
      <w:pPr>
        <w:spacing w:before="120" w:after="288" w:afterLines="120" w:line="312" w:lineRule="auto"/>
        <w:contextualSpacing/>
        <w:jc w:val="center"/>
        <w:rPr>
          <w:rFonts w:eastAsia="MS Mincho"/>
          <w:b/>
          <w:color w:val="000000" w:themeColor="text1"/>
          <w:szCs w:val="24"/>
          <w:u w:val="single"/>
          <w14:textFill>
            <w14:solidFill>
              <w14:schemeClr w14:val="tx1"/>
            </w14:solidFill>
          </w14:textFill>
        </w:rPr>
      </w:pPr>
      <w:r>
        <w:rPr>
          <w:rFonts w:eastAsia="MS Mincho"/>
          <w:b/>
          <w:color w:val="000000" w:themeColor="text1"/>
          <w:szCs w:val="24"/>
          <w:u w:val="single"/>
          <w14:textFill>
            <w14:solidFill>
              <w14:schemeClr w14:val="tx1"/>
            </w14:solidFill>
          </w14:textFill>
        </w:rPr>
        <w:t>TERMO DE REFERÊNCIA</w:t>
      </w:r>
    </w:p>
    <w:p w14:paraId="3F2ACCFC">
      <w:pPr>
        <w:pStyle w:val="70"/>
        <w:numPr>
          <w:ilvl w:val="0"/>
          <w:numId w:val="14"/>
        </w:numPr>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CONDIÇÕES GERAIS DA CONTRATAÇÃO</w:t>
      </w:r>
    </w:p>
    <w:p w14:paraId="6806BEDB">
      <w:pPr>
        <w:pStyle w:val="86"/>
        <w:numPr>
          <w:ilvl w:val="0"/>
          <w:numId w:val="0"/>
        </w:numPr>
        <w:ind w:left="142"/>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1.1.  CONTRATAÇÃO DE EMPRESA PARA AMPLIAÇÃO DA ESCOLA INÁCIO SILVESTRE MONTEIRO, LOCALIZADA NO DISTRITO DO ALTO CARACOL, NO MUNICÍPIO DE CARACOL/MS, nos termos da tabela abaixo, conforme condições e exigências estabelecidas neste instrumento.</w:t>
      </w:r>
    </w:p>
    <w:tbl>
      <w:tblPr>
        <w:tblStyle w:val="12"/>
        <w:tblW w:w="9781"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1"/>
        <w:gridCol w:w="3402"/>
        <w:gridCol w:w="1134"/>
        <w:gridCol w:w="992"/>
        <w:gridCol w:w="1701"/>
        <w:gridCol w:w="1701"/>
      </w:tblGrid>
      <w:tr w14:paraId="6B630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7" w:hRule="atLeast"/>
        </w:trPr>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5D4B332">
            <w:pPr>
              <w:pStyle w:val="100"/>
              <w:jc w:val="center"/>
              <w:rPr>
                <w:rFonts w:ascii="Times New Roman" w:hAnsi="Times New Roman" w:cs="Times New Roman"/>
                <w:b/>
                <w:bCs/>
                <w:color w:val="000000" w:themeColor="text1"/>
                <w:lang w:eastAsia="en-US"/>
                <w14:textFill>
                  <w14:solidFill>
                    <w14:schemeClr w14:val="tx1"/>
                  </w14:solidFill>
                </w14:textFill>
              </w:rPr>
            </w:pPr>
            <w:r>
              <w:rPr>
                <w:rFonts w:ascii="Times New Roman" w:hAnsi="Times New Roman" w:cs="Times New Roman"/>
                <w:b/>
                <w:bCs/>
                <w:color w:val="000000" w:themeColor="text1"/>
                <w:lang w:eastAsia="en-US"/>
                <w14:textFill>
                  <w14:solidFill>
                    <w14:schemeClr w14:val="tx1"/>
                  </w14:solidFill>
                </w14:textFill>
              </w:rPr>
              <w:t>ITEM</w:t>
            </w:r>
          </w:p>
        </w:tc>
        <w:tc>
          <w:tcPr>
            <w:tcW w:w="34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BEB64A0">
            <w:pPr>
              <w:pStyle w:val="100"/>
              <w:jc w:val="center"/>
              <w:rPr>
                <w:rFonts w:ascii="Times New Roman" w:hAnsi="Times New Roman" w:cs="Times New Roman"/>
                <w:b/>
                <w:bCs/>
                <w:color w:val="000000" w:themeColor="text1"/>
                <w:lang w:eastAsia="en-US"/>
                <w14:textFill>
                  <w14:solidFill>
                    <w14:schemeClr w14:val="tx1"/>
                  </w14:solidFill>
                </w14:textFill>
              </w:rPr>
            </w:pPr>
            <w:r>
              <w:rPr>
                <w:rFonts w:ascii="Times New Roman" w:hAnsi="Times New Roman" w:cs="Times New Roman"/>
                <w:b/>
                <w:bCs/>
                <w:color w:val="000000" w:themeColor="text1"/>
                <w:lang w:eastAsia="en-US"/>
                <w14:textFill>
                  <w14:solidFill>
                    <w14:schemeClr w14:val="tx1"/>
                  </w14:solidFill>
                </w14:textFill>
              </w:rPr>
              <w:t>ESPECIFICAÇÃO</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00801157">
            <w:pPr>
              <w:pStyle w:val="100"/>
              <w:jc w:val="center"/>
              <w:rPr>
                <w:rFonts w:ascii="Times New Roman" w:hAnsi="Times New Roman" w:cs="Times New Roman"/>
                <w:b/>
                <w:bCs/>
                <w:color w:val="000000" w:themeColor="text1"/>
                <w:lang w:eastAsia="en-US"/>
                <w14:textFill>
                  <w14:solidFill>
                    <w14:schemeClr w14:val="tx1"/>
                  </w14:solidFill>
                </w14:textFill>
              </w:rPr>
            </w:pPr>
            <w:r>
              <w:rPr>
                <w:rFonts w:ascii="Times New Roman" w:hAnsi="Times New Roman" w:cs="Times New Roman"/>
                <w:b/>
                <w:bCs/>
                <w:color w:val="000000" w:themeColor="text1"/>
                <w:lang w:eastAsia="en-US"/>
                <w14:textFill>
                  <w14:solidFill>
                    <w14:schemeClr w14:val="tx1"/>
                  </w14:solidFill>
                </w14:textFill>
              </w:rPr>
              <w:t>UNIDADE</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C25E775">
            <w:pPr>
              <w:pStyle w:val="100"/>
              <w:jc w:val="center"/>
              <w:rPr>
                <w:rFonts w:ascii="Times New Roman" w:hAnsi="Times New Roman" w:cs="Times New Roman"/>
                <w:b/>
                <w:bCs/>
                <w:color w:val="000000" w:themeColor="text1"/>
                <w:lang w:eastAsia="en-US"/>
                <w14:textFill>
                  <w14:solidFill>
                    <w14:schemeClr w14:val="tx1"/>
                  </w14:solidFill>
                </w14:textFill>
              </w:rPr>
            </w:pPr>
            <w:r>
              <w:rPr>
                <w:rFonts w:ascii="Times New Roman" w:hAnsi="Times New Roman" w:cs="Times New Roman"/>
                <w:b/>
                <w:bCs/>
                <w:color w:val="000000" w:themeColor="text1"/>
                <w:lang w:eastAsia="en-US"/>
                <w14:textFill>
                  <w14:solidFill>
                    <w14:schemeClr w14:val="tx1"/>
                  </w14:solidFill>
                </w14:textFill>
              </w:rPr>
              <w:t>QUANT.</w:t>
            </w:r>
          </w:p>
        </w:tc>
        <w:tc>
          <w:tcPr>
            <w:tcW w:w="1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52D5DD4">
            <w:pPr>
              <w:pStyle w:val="100"/>
              <w:jc w:val="center"/>
              <w:rPr>
                <w:rFonts w:ascii="Times New Roman" w:hAnsi="Times New Roman" w:cs="Times New Roman"/>
                <w:b/>
                <w:bCs/>
                <w:color w:val="000000" w:themeColor="text1"/>
                <w:lang w:eastAsia="en-US"/>
                <w14:textFill>
                  <w14:solidFill>
                    <w14:schemeClr w14:val="tx1"/>
                  </w14:solidFill>
                </w14:textFill>
              </w:rPr>
            </w:pPr>
            <w:r>
              <w:rPr>
                <w:rFonts w:ascii="Times New Roman" w:hAnsi="Times New Roman" w:cs="Times New Roman"/>
                <w:b/>
                <w:bCs/>
                <w:color w:val="000000" w:themeColor="text1"/>
                <w:lang w:eastAsia="en-US"/>
                <w14:textFill>
                  <w14:solidFill>
                    <w14:schemeClr w14:val="tx1"/>
                  </w14:solidFill>
                </w14:textFill>
              </w:rPr>
              <w:t>VALOR UNIT.</w:t>
            </w:r>
          </w:p>
        </w:tc>
        <w:tc>
          <w:tcPr>
            <w:tcW w:w="1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187569A8">
            <w:pPr>
              <w:pStyle w:val="100"/>
              <w:jc w:val="center"/>
              <w:rPr>
                <w:rFonts w:ascii="Times New Roman" w:hAnsi="Times New Roman" w:cs="Times New Roman"/>
                <w:b/>
                <w:bCs/>
                <w:color w:val="000000" w:themeColor="text1"/>
                <w:lang w:eastAsia="en-US"/>
                <w14:textFill>
                  <w14:solidFill>
                    <w14:schemeClr w14:val="tx1"/>
                  </w14:solidFill>
                </w14:textFill>
              </w:rPr>
            </w:pPr>
            <w:r>
              <w:rPr>
                <w:rFonts w:ascii="Times New Roman" w:hAnsi="Times New Roman" w:cs="Times New Roman"/>
                <w:b/>
                <w:bCs/>
                <w:color w:val="000000" w:themeColor="text1"/>
                <w:lang w:eastAsia="en-US"/>
                <w14:textFill>
                  <w14:solidFill>
                    <w14:schemeClr w14:val="tx1"/>
                  </w14:solidFill>
                </w14:textFill>
              </w:rPr>
              <w:t>VALOR TOTAL</w:t>
            </w:r>
          </w:p>
        </w:tc>
      </w:tr>
      <w:tr w14:paraId="3BC48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2" w:hRule="atLeast"/>
        </w:trPr>
        <w:tc>
          <w:tcPr>
            <w:tcW w:w="85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51AEB433">
            <w:pPr>
              <w:widowControl w:val="0"/>
              <w:spacing w:before="120" w:after="288" w:afterLines="120" w:line="312" w:lineRule="auto"/>
              <w:rPr>
                <w:color w:val="000000" w:themeColor="text1"/>
                <w:sz w:val="22"/>
                <w:szCs w:val="22"/>
                <w:lang w:eastAsia="en-US"/>
                <w14:textFill>
                  <w14:solidFill>
                    <w14:schemeClr w14:val="tx1"/>
                  </w14:solidFill>
                </w14:textFill>
              </w:rPr>
            </w:pPr>
          </w:p>
          <w:p w14:paraId="3643DFD2">
            <w:pPr>
              <w:widowControl w:val="0"/>
              <w:spacing w:before="120" w:after="288" w:afterLines="120" w:line="312" w:lineRule="auto"/>
              <w:jc w:val="center"/>
              <w:rPr>
                <w:color w:val="000000" w:themeColor="text1"/>
                <w:sz w:val="22"/>
                <w:szCs w:val="22"/>
                <w:lang w:eastAsia="en-US"/>
                <w14:textFill>
                  <w14:solidFill>
                    <w14:schemeClr w14:val="tx1"/>
                  </w14:solidFill>
                </w14:textFill>
              </w:rPr>
            </w:pPr>
            <w:r>
              <w:rPr>
                <w:color w:val="000000" w:themeColor="text1"/>
                <w:sz w:val="22"/>
                <w:szCs w:val="22"/>
                <w:lang w:eastAsia="en-US"/>
                <w14:textFill>
                  <w14:solidFill>
                    <w14:schemeClr w14:val="tx1"/>
                  </w14:solidFill>
                </w14:textFill>
              </w:rPr>
              <w:t>01</w:t>
            </w:r>
          </w:p>
        </w:tc>
        <w:tc>
          <w:tcPr>
            <w:tcW w:w="340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64EE4637">
            <w:pPr>
              <w:pStyle w:val="100"/>
              <w:spacing w:line="360" w:lineRule="auto"/>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color w:val="000000" w:themeColor="text1"/>
                <w14:textFill>
                  <w14:solidFill>
                    <w14:schemeClr w14:val="tx1"/>
                  </w14:solidFill>
                </w14:textFill>
              </w:rPr>
              <w:t>AMPLIAÇÃO DA ESCOLA INÁCIO SILVESTRE MONTEIRO, LOCALIZADA NO DISTRITO DO ALTO CARACOL, NO MUNICÍPIO DE CARACOL/MS.</w:t>
            </w:r>
          </w:p>
        </w:tc>
        <w:tc>
          <w:tcPr>
            <w:tcW w:w="113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4089E66">
            <w:pPr>
              <w:widowControl w:val="0"/>
              <w:spacing w:before="120" w:after="288" w:afterLines="120" w:line="312" w:lineRule="auto"/>
              <w:jc w:val="center"/>
              <w:rPr>
                <w:color w:val="000000" w:themeColor="text1"/>
                <w:sz w:val="22"/>
                <w:szCs w:val="22"/>
                <w:lang w:eastAsia="en-US"/>
                <w14:textFill>
                  <w14:solidFill>
                    <w14:schemeClr w14:val="tx1"/>
                  </w14:solidFill>
                </w14:textFill>
              </w:rPr>
            </w:pPr>
          </w:p>
          <w:p w14:paraId="79B1708A">
            <w:pPr>
              <w:widowControl w:val="0"/>
              <w:spacing w:before="120" w:after="288" w:afterLines="120" w:line="312" w:lineRule="auto"/>
              <w:jc w:val="center"/>
              <w:rPr>
                <w:color w:val="000000" w:themeColor="text1"/>
                <w:sz w:val="22"/>
                <w:szCs w:val="22"/>
                <w:lang w:eastAsia="en-US"/>
                <w14:textFill>
                  <w14:solidFill>
                    <w14:schemeClr w14:val="tx1"/>
                  </w14:solidFill>
                </w14:textFill>
              </w:rPr>
            </w:pPr>
            <w:r>
              <w:rPr>
                <w:color w:val="000000" w:themeColor="text1"/>
                <w:sz w:val="22"/>
                <w:szCs w:val="22"/>
                <w:lang w:eastAsia="en-US"/>
                <w14:textFill>
                  <w14:solidFill>
                    <w14:schemeClr w14:val="tx1"/>
                  </w14:solidFill>
                </w14:textFill>
              </w:rPr>
              <w:t>UN</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273754E5">
            <w:pPr>
              <w:widowControl w:val="0"/>
              <w:spacing w:before="120" w:after="288" w:afterLines="120" w:line="312" w:lineRule="auto"/>
              <w:jc w:val="center"/>
              <w:rPr>
                <w:color w:val="000000" w:themeColor="text1"/>
                <w:sz w:val="22"/>
                <w:szCs w:val="22"/>
                <w:lang w:eastAsia="en-US"/>
                <w14:textFill>
                  <w14:solidFill>
                    <w14:schemeClr w14:val="tx1"/>
                  </w14:solidFill>
                </w14:textFill>
              </w:rPr>
            </w:pPr>
          </w:p>
          <w:p w14:paraId="10C0AB4A">
            <w:pPr>
              <w:widowControl w:val="0"/>
              <w:spacing w:before="120" w:after="288" w:afterLines="120" w:line="312" w:lineRule="auto"/>
              <w:jc w:val="center"/>
              <w:rPr>
                <w:color w:val="000000" w:themeColor="text1"/>
                <w:sz w:val="22"/>
                <w:szCs w:val="22"/>
                <w:lang w:eastAsia="en-US"/>
                <w14:textFill>
                  <w14:solidFill>
                    <w14:schemeClr w14:val="tx1"/>
                  </w14:solidFill>
                </w14:textFill>
              </w:rPr>
            </w:pPr>
            <w:r>
              <w:rPr>
                <w:color w:val="000000" w:themeColor="text1"/>
                <w:sz w:val="22"/>
                <w:szCs w:val="22"/>
                <w:lang w:eastAsia="en-US"/>
                <w14:textFill>
                  <w14:solidFill>
                    <w14:schemeClr w14:val="tx1"/>
                  </w14:solidFill>
                </w14:textFill>
              </w:rPr>
              <w:t>1</w:t>
            </w:r>
          </w:p>
        </w:tc>
        <w:tc>
          <w:tcPr>
            <w:tcW w:w="1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4A77DE0B">
            <w:pPr>
              <w:widowControl w:val="0"/>
              <w:spacing w:before="120" w:after="288" w:afterLines="120" w:line="312" w:lineRule="auto"/>
              <w:jc w:val="center"/>
              <w:rPr>
                <w:rFonts w:eastAsia="Calibri"/>
                <w:color w:val="000000" w:themeColor="text1"/>
                <w:sz w:val="22"/>
                <w:szCs w:val="22"/>
                <w:lang w:eastAsia="en-US"/>
                <w14:textFill>
                  <w14:solidFill>
                    <w14:schemeClr w14:val="tx1"/>
                  </w14:solidFill>
                </w14:textFill>
              </w:rPr>
            </w:pPr>
          </w:p>
          <w:p w14:paraId="738E339E">
            <w:pPr>
              <w:widowControl w:val="0"/>
              <w:spacing w:before="120" w:after="288" w:afterLines="120" w:line="312" w:lineRule="auto"/>
              <w:jc w:val="center"/>
              <w:rPr>
                <w:color w:val="000000" w:themeColor="text1"/>
                <w:sz w:val="22"/>
                <w:szCs w:val="22"/>
                <w:highlight w:val="yellow"/>
                <w:lang w:eastAsia="en-US"/>
                <w14:textFill>
                  <w14:solidFill>
                    <w14:schemeClr w14:val="tx1"/>
                  </w14:solidFill>
                </w14:textFill>
              </w:rPr>
            </w:pPr>
            <w:r>
              <w:rPr>
                <w:rFonts w:eastAsia="Calibri"/>
                <w:color w:val="000000" w:themeColor="text1"/>
                <w:sz w:val="22"/>
                <w:szCs w:val="22"/>
                <w:lang w:eastAsia="en-US"/>
                <w14:textFill>
                  <w14:solidFill>
                    <w14:schemeClr w14:val="tx1"/>
                  </w14:solidFill>
                </w14:textFill>
              </w:rPr>
              <w:t>R$ 348.659,59</w:t>
            </w:r>
          </w:p>
        </w:tc>
        <w:tc>
          <w:tcPr>
            <w:tcW w:w="170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14:paraId="315F3C9F">
            <w:pPr>
              <w:widowControl w:val="0"/>
              <w:spacing w:before="120" w:after="288" w:afterLines="120" w:line="312" w:lineRule="auto"/>
              <w:jc w:val="center"/>
              <w:rPr>
                <w:color w:val="000000" w:themeColor="text1"/>
                <w:sz w:val="22"/>
                <w:szCs w:val="22"/>
                <w:highlight w:val="yellow"/>
                <w:lang w:eastAsia="en-US"/>
                <w14:textFill>
                  <w14:solidFill>
                    <w14:schemeClr w14:val="tx1"/>
                  </w14:solidFill>
                </w14:textFill>
              </w:rPr>
            </w:pPr>
          </w:p>
          <w:p w14:paraId="2DA55BEE">
            <w:pPr>
              <w:widowControl w:val="0"/>
              <w:spacing w:before="120" w:after="288" w:afterLines="120" w:line="312" w:lineRule="auto"/>
              <w:jc w:val="center"/>
              <w:rPr>
                <w:color w:val="000000" w:themeColor="text1"/>
                <w:sz w:val="22"/>
                <w:szCs w:val="22"/>
                <w:highlight w:val="yellow"/>
                <w:lang w:eastAsia="en-US"/>
                <w14:textFill>
                  <w14:solidFill>
                    <w14:schemeClr w14:val="tx1"/>
                  </w14:solidFill>
                </w14:textFill>
              </w:rPr>
            </w:pPr>
            <w:r>
              <w:rPr>
                <w:color w:val="000000" w:themeColor="text1"/>
                <w:sz w:val="22"/>
                <w:szCs w:val="22"/>
                <w:lang w:eastAsia="en-US"/>
                <w14:textFill>
                  <w14:solidFill>
                    <w14:schemeClr w14:val="tx1"/>
                  </w14:solidFill>
                </w14:textFill>
              </w:rPr>
              <w:t>R$ 348.659,59</w:t>
            </w:r>
          </w:p>
        </w:tc>
      </w:tr>
    </w:tbl>
    <w:p w14:paraId="7E81EC15">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1.2. O valor total da obra é de </w:t>
      </w:r>
      <w:r>
        <w:rPr>
          <w:rFonts w:ascii="Times New Roman" w:hAnsi="Times New Roman" w:cs="Times New Roman"/>
          <w:b/>
          <w:bCs/>
          <w:i w:val="0"/>
          <w:iCs w:val="0"/>
          <w:color w:val="000000" w:themeColor="text1"/>
          <w:sz w:val="24"/>
          <w:szCs w:val="24"/>
          <w14:textFill>
            <w14:solidFill>
              <w14:schemeClr w14:val="tx1"/>
            </w14:solidFill>
          </w14:textFill>
        </w:rPr>
        <w:t>R$ 348.659,59</w:t>
      </w:r>
      <w:r>
        <w:rPr>
          <w:rFonts w:ascii="Times New Roman" w:hAnsi="Times New Roman" w:cs="Times New Roman"/>
          <w:i w:val="0"/>
          <w:iCs w:val="0"/>
          <w:color w:val="000000" w:themeColor="text1"/>
          <w:sz w:val="24"/>
          <w:szCs w:val="24"/>
          <w14:textFill>
            <w14:solidFill>
              <w14:schemeClr w14:val="tx1"/>
            </w14:solidFill>
          </w14:textFill>
        </w:rPr>
        <w:t xml:space="preserve"> (trezentos e quarenta e oito mil e seiscentos e cinquenta e nove reais e cinquenta e nove centavos).</w:t>
      </w:r>
    </w:p>
    <w:p w14:paraId="594ADB50">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1.3. O serviço objeto desta contratação é caracterizado como Obra Comum de Engenharia, cujos padrões de desempenho e qualidade foram objetivamente definidos através de especificações usuais de mercado.</w:t>
      </w:r>
    </w:p>
    <w:p w14:paraId="27CC654E">
      <w:pPr>
        <w:pStyle w:val="86"/>
        <w:numPr>
          <w:ilvl w:val="0"/>
          <w:numId w:val="0"/>
        </w:numPr>
        <w:spacing w:before="72" w:beforeLines="30" w:after="72" w:afterLines="30" w:line="240" w:lineRule="auto"/>
        <w:rPr>
          <w:rFonts w:ascii="Times New Roman" w:hAnsi="Times New Roman"/>
          <w:strike/>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1.4. O prazo de vigência da contratação é de </w:t>
      </w:r>
      <w:r>
        <w:rPr>
          <w:rFonts w:ascii="Times New Roman" w:hAnsi="Times New Roman"/>
          <w:b/>
          <w:bCs/>
          <w:color w:val="000000" w:themeColor="text1"/>
          <w:sz w:val="24"/>
          <w:szCs w:val="24"/>
          <w14:textFill>
            <w14:solidFill>
              <w14:schemeClr w14:val="tx1"/>
            </w14:solidFill>
          </w14:textFill>
        </w:rPr>
        <w:t>12 (doze) meses</w:t>
      </w:r>
      <w:r>
        <w:rPr>
          <w:rFonts w:ascii="Times New Roman" w:hAnsi="Times New Roman"/>
          <w:color w:val="000000" w:themeColor="text1"/>
          <w:sz w:val="24"/>
          <w:szCs w:val="24"/>
          <w14:textFill>
            <w14:solidFill>
              <w14:schemeClr w14:val="tx1"/>
            </w14:solidFill>
          </w14:textFill>
        </w:rPr>
        <w:t>, contados do primeiro dia útil subsequente a publicação do extrato do contrato no Diário Oficial do Município, nos termos do Artigo 105 da Lei nº 14.133/2021.</w:t>
      </w:r>
    </w:p>
    <w:p w14:paraId="6757219F">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1.5. O contrato oferece maior detalhamento das regras que serão aplicadas em relação à vigência da contratação.</w:t>
      </w:r>
    </w:p>
    <w:p w14:paraId="14B1CB1F">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2 FUNDAMENTAÇÃO E DESCRIÇÃO DA NECESSIDADE DA CONTRATAÇÃO </w:t>
      </w:r>
    </w:p>
    <w:p w14:paraId="03CA2F7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Fundamentação da Contratação e de seus quantitativos encontra-se pormenorizada em tópico específico dos Estudos Técnicos Preliminares.</w:t>
      </w:r>
    </w:p>
    <w:p w14:paraId="7E8CB655">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objeto da contratação está previsto no Plano de Contratações Anual 2026, conforme detalhamento a seguir:</w:t>
      </w:r>
    </w:p>
    <w:p w14:paraId="773BD89B">
      <w:pPr>
        <w:pStyle w:val="100"/>
        <w:numPr>
          <w:ilvl w:val="0"/>
          <w:numId w:val="15"/>
        </w:numPr>
        <w:spacing w:before="72" w:beforeLines="30" w:after="72" w:afterLines="30"/>
        <w:ind w:left="0" w:firstLine="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ID PCA no PNCP: 03217924000132-0-000005/2026 e https://pncp.gov.br/app/pca/03217924000132/2026</w:t>
      </w:r>
    </w:p>
    <w:p w14:paraId="4DF1AAB8">
      <w:pPr>
        <w:pStyle w:val="100"/>
        <w:numPr>
          <w:ilvl w:val="0"/>
          <w:numId w:val="15"/>
        </w:numPr>
        <w:spacing w:before="72" w:beforeLines="30" w:after="72" w:afterLines="30"/>
        <w:ind w:left="0" w:firstLine="0"/>
        <w:rPr>
          <w:rFonts w:ascii="Times New Roman" w:hAnsi="Times New Roman" w:cs="Times New Roman"/>
          <w:bCs/>
          <w:color w:val="000000" w:themeColor="text1"/>
          <w:sz w:val="24"/>
          <w:szCs w:val="24"/>
          <w14:textFill>
            <w14:solidFill>
              <w14:schemeClr w14:val="tx1"/>
            </w14:solidFill>
          </w14:textFill>
        </w:rPr>
      </w:pPr>
      <w:r>
        <w:rPr>
          <w:rFonts w:ascii="Times New Roman" w:hAnsi="Times New Roman" w:cs="Times New Roman"/>
          <w:bCs/>
          <w:color w:val="000000" w:themeColor="text1"/>
          <w:sz w:val="24"/>
          <w:szCs w:val="24"/>
          <w14:textFill>
            <w14:solidFill>
              <w14:schemeClr w14:val="tx1"/>
            </w14:solidFill>
          </w14:textFill>
        </w:rPr>
        <w:t>Data de publicação no PNCP: 18/11/2025</w:t>
      </w:r>
    </w:p>
    <w:p w14:paraId="4B2F2AC9">
      <w:pPr>
        <w:pStyle w:val="55"/>
        <w:numPr>
          <w:ilvl w:val="0"/>
          <w:numId w:val="15"/>
        </w:numPr>
        <w:suppressAutoHyphens w:val="0"/>
        <w:spacing w:before="72" w:beforeLines="30" w:after="72" w:afterLines="30"/>
        <w:ind w:left="0" w:right="-1" w:firstLine="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Id do item no PCA: 34857</w:t>
      </w:r>
    </w:p>
    <w:p w14:paraId="6B8947F8">
      <w:pPr>
        <w:pStyle w:val="55"/>
        <w:numPr>
          <w:ilvl w:val="0"/>
          <w:numId w:val="15"/>
        </w:numPr>
        <w:suppressAutoHyphens w:val="0"/>
        <w:spacing w:before="72" w:beforeLines="30" w:after="72" w:afterLines="30"/>
        <w:ind w:left="0" w:right="-1" w:firstLine="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Classe/Grupo: 51 – Obras e Instalações</w:t>
      </w:r>
    </w:p>
    <w:p w14:paraId="0C9AE4F7">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3.  DESCRIÇÃO DA SOLUÇÃO COMO UM TODO CONSIDERADO O CICLO DE VIDA DO OBJETO </w:t>
      </w:r>
    </w:p>
    <w:p w14:paraId="2D4E928D">
      <w:pPr>
        <w:pStyle w:val="223"/>
        <w:numPr>
          <w:ilvl w:val="1"/>
          <w:numId w:val="16"/>
        </w:numPr>
        <w:spacing w:before="72" w:beforeLines="30" w:after="72" w:afterLines="30" w:line="240" w:lineRule="auto"/>
        <w:ind w:left="0" w:firstLine="0"/>
        <w:rPr>
          <w:rFonts w:ascii="Times New Roman" w:hAnsi="Times New Roman" w:cs="Times New Roman"/>
          <w:i w:val="0"/>
          <w:iCs w:val="0"/>
          <w:color w:val="000000" w:themeColor="text1"/>
          <w:sz w:val="24"/>
          <w:szCs w:val="24"/>
          <w14:textFill>
            <w14:solidFill>
              <w14:schemeClr w14:val="tx1"/>
            </w14:solidFill>
          </w14:textFill>
        </w:rPr>
      </w:pPr>
      <w:bookmarkStart w:id="26" w:name="_Ref121236534"/>
      <w:r>
        <w:rPr>
          <w:rFonts w:ascii="Times New Roman" w:hAnsi="Times New Roman" w:cs="Times New Roman"/>
          <w:i w:val="0"/>
          <w:iCs w:val="0"/>
          <w:color w:val="000000" w:themeColor="text1"/>
          <w:sz w:val="24"/>
          <w:szCs w:val="24"/>
          <w14:textFill>
            <w14:solidFill>
              <w14:schemeClr w14:val="tx1"/>
            </w14:solidFill>
          </w14:textFill>
        </w:rPr>
        <w:t>A descrição da solução como um todo encontra-se pormenorizada em tópico específico dos Estudos Técnicos Preliminares</w:t>
      </w:r>
      <w:bookmarkEnd w:id="26"/>
      <w:r>
        <w:rPr>
          <w:rFonts w:ascii="Times New Roman" w:hAnsi="Times New Roman" w:cs="Times New Roman"/>
          <w:i w:val="0"/>
          <w:iCs w:val="0"/>
          <w:color w:val="000000" w:themeColor="text1"/>
          <w:sz w:val="24"/>
          <w:szCs w:val="24"/>
          <w14:textFill>
            <w14:solidFill>
              <w14:schemeClr w14:val="tx1"/>
            </w14:solidFill>
          </w14:textFill>
        </w:rPr>
        <w:t>.</w:t>
      </w:r>
    </w:p>
    <w:p w14:paraId="3A58F541">
      <w:pPr>
        <w:pStyle w:val="70"/>
        <w:numPr>
          <w:ilvl w:val="0"/>
          <w:numId w:val="17"/>
        </w:numPr>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REQUISITOS DA CONTRATAÇÃO </w:t>
      </w:r>
    </w:p>
    <w:p w14:paraId="01C583C7">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Subcontratação</w:t>
      </w:r>
    </w:p>
    <w:p w14:paraId="115D0F8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4.1. É admitida a subcontratação parcial do objeto, nas seguintes condições:                                  </w:t>
      </w:r>
    </w:p>
    <w:p w14:paraId="3A28BA22">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4.1.1 É vedada a subcontratação completa ou da parcela principal do objeto da contratação.</w:t>
      </w:r>
    </w:p>
    <w:p w14:paraId="477974E8">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4.1.2    O Contratado apresentará à Administração documentação que comprove a capacidade técnica do subcontratado, que será avaliada e juntada aos autos do processo correspondente;                                                                                                                                    </w:t>
      </w:r>
    </w:p>
    <w:p w14:paraId="1986B7DC">
      <w:pPr>
        <w:pStyle w:val="88"/>
        <w:numPr>
          <w:ilvl w:val="2"/>
          <w:numId w:val="18"/>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 subcontratação fica limitada a 25% (vinte e cinco por cento) do objeto a ser licitado;</w:t>
      </w:r>
    </w:p>
    <w:p w14:paraId="604822A6">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4.1.4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A662F31">
      <w:pPr>
        <w:pStyle w:val="223"/>
        <w:numPr>
          <w:ilvl w:val="0"/>
          <w:numId w:val="0"/>
        </w:numPr>
        <w:spacing w:before="72" w:beforeLines="30" w:after="72" w:afterLines="30" w:line="240" w:lineRule="auto"/>
        <w:rPr>
          <w:rFonts w:ascii="Times New Roman" w:hAnsi="Times New Roman" w:cs="Times New Roman"/>
          <w:b/>
          <w:bCs/>
          <w:i w:val="0"/>
          <w:iCs w:val="0"/>
          <w:color w:val="000000" w:themeColor="text1"/>
          <w:sz w:val="24"/>
          <w:szCs w:val="24"/>
          <w14:textFill>
            <w14:solidFill>
              <w14:schemeClr w14:val="tx1"/>
            </w14:solidFill>
          </w14:textFill>
        </w:rPr>
      </w:pPr>
      <w:r>
        <w:rPr>
          <w:rFonts w:ascii="Times New Roman" w:hAnsi="Times New Roman" w:cs="Times New Roman"/>
          <w:b/>
          <w:bCs/>
          <w:i w:val="0"/>
          <w:iCs w:val="0"/>
          <w:color w:val="000000" w:themeColor="text1"/>
          <w:sz w:val="24"/>
          <w:szCs w:val="24"/>
          <w14:textFill>
            <w14:solidFill>
              <w14:schemeClr w14:val="tx1"/>
            </w14:solidFill>
          </w14:textFill>
        </w:rPr>
        <w:t>Garantia da contratação</w:t>
      </w:r>
    </w:p>
    <w:p w14:paraId="4D2D526D">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4.2.</w:t>
      </w:r>
      <w:r>
        <w:rPr>
          <w:rFonts w:ascii="Times New Roman" w:hAnsi="Times New Roman" w:cs="Times New Roman"/>
          <w:b/>
          <w:bCs/>
          <w:i w:val="0"/>
          <w:iCs w:val="0"/>
          <w:color w:val="000000" w:themeColor="text1"/>
          <w:sz w:val="24"/>
          <w:szCs w:val="24"/>
          <w14:textFill>
            <w14:solidFill>
              <w14:schemeClr w14:val="tx1"/>
            </w14:solidFill>
          </w14:textFill>
        </w:rPr>
        <w:t xml:space="preserve"> </w:t>
      </w:r>
      <w:r>
        <w:rPr>
          <w:rFonts w:ascii="Times New Roman" w:hAnsi="Times New Roman" w:cs="Times New Roman"/>
          <w:i w:val="0"/>
          <w:iCs w:val="0"/>
          <w:color w:val="000000" w:themeColor="text1"/>
          <w:sz w:val="24"/>
          <w:szCs w:val="24"/>
          <w14:textFill>
            <w14:solidFill>
              <w14:schemeClr w14:val="tx1"/>
            </w14:solidFill>
          </w14:textFill>
        </w:rPr>
        <w:t>Será exigida a garantia da contratação de que tratam os Arts. 96 e seguintes da Lei nº 14.133, de 2021, no percentual e condições descritos abaixo:</w:t>
      </w:r>
    </w:p>
    <w:p w14:paraId="5EC00174">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4.2.1. O percentual da garantia será de:</w:t>
      </w:r>
    </w:p>
    <w:p w14:paraId="0704A186">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a) 5% (cinco por cento) do valor inicial do contrato, conforme Art. 98 da Lei nº 14.133, de 2021;</w:t>
      </w:r>
    </w:p>
    <w:p w14:paraId="57B5581C">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b) deverá ser acrescido do valor equivalente à diferença entre 85% do valor orçado pela Administração e o valor da proposta vencedora, nos termos do art. 59, § 5º, da lei nº 14.133, de 2021.</w:t>
      </w:r>
    </w:p>
    <w:p w14:paraId="6302207B">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4.3. Caberá ao contratado optar por uma das seguintes modalidades de garantia:</w:t>
      </w:r>
    </w:p>
    <w:p w14:paraId="63A5079E">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4D2218AE">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II - Seguro-garantia;</w:t>
      </w:r>
    </w:p>
    <w:p w14:paraId="3019B4B6">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III - Fiança bancária emitida por banco ou instituição financeira devidamente autorizada a operar no País pelo Banco Central do Brasil;</w:t>
      </w:r>
    </w:p>
    <w:p w14:paraId="65367A5D">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IV - Título de capitalização custeado por pagamento único, com resgate pelo valor total. (Incluído pela Lei nº 14.770, de 2023).</w:t>
      </w:r>
    </w:p>
    <w:p w14:paraId="7601303A">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4.3.1. A garantia, nas modalidades caução e fiança bancária, deverá ser prestada em até 10 (dez) dias úteis após a assinatura do contrato.</w:t>
      </w:r>
    </w:p>
    <w:p w14:paraId="26A4173C">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4.4. Na hipótese de suspensão do contrato por ordem ou inadimplemento da Administração, o contratado ficará desobrigado de renovar a garantia ou de endossar a apólice de seguro até a ordem de reinício da execução ou o adimplemento pela Administração.</w:t>
      </w:r>
    </w:p>
    <w:p w14:paraId="001C1D83">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4.5. O edital fixará prazo mínimo de 1 (um) mês, contado da data de homologação da licitação e anterior à assinatura do contrato, para a prestação da garantia pelo contratado quando optar pela modalidade seguro- garantia.</w:t>
      </w:r>
    </w:p>
    <w:p w14:paraId="51A4CD5B">
      <w:pPr>
        <w:pStyle w:val="223"/>
        <w:numPr>
          <w:ilvl w:val="0"/>
          <w:numId w:val="0"/>
        </w:numPr>
        <w:spacing w:before="72" w:beforeLines="30" w:after="72" w:afterLines="30" w:line="240" w:lineRule="auto"/>
        <w:rPr>
          <w:rFonts w:ascii="Times New Roman" w:hAnsi="Times New Roman" w:cs="Times New Roman"/>
          <w:b/>
          <w:bCs/>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4.6. O contrato oferece maior detalhamento das regras que serão aplicadas em relação à garantia da contratação.</w:t>
      </w:r>
    </w:p>
    <w:p w14:paraId="3A6700B0">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Vistoria</w:t>
      </w:r>
    </w:p>
    <w:p w14:paraId="1C9245FE">
      <w:pPr>
        <w:pStyle w:val="86"/>
        <w:numPr>
          <w:ilvl w:val="1"/>
          <w:numId w:val="19"/>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Será assegurado ao interessado o direito de realizar vistoria prévia no local de execução dos serviços, acompanhado por servidor designado para esse fim, no horário das 07h00 às 10h00 e das 13h00 às 16h00, de segunda a sexta-feira, conforme o horário oficial do Estado de Mato Grosso do Sul. A vistoria deverá ser agendada previamente, com antecedência mínima de 24 horas em relação à data do certame, por meio do telefone (67) 3495-1107 ou pelo WhatsApp (67) 9 9296-6652.</w:t>
      </w:r>
    </w:p>
    <w:p w14:paraId="3293E3E3">
      <w:pPr>
        <w:pStyle w:val="86"/>
        <w:numPr>
          <w:ilvl w:val="1"/>
          <w:numId w:val="19"/>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Serão disponibilizados datas e horários distintos para os interessados em realizar a vistoria prévia.</w:t>
      </w:r>
    </w:p>
    <w:p w14:paraId="6E9A414C">
      <w:pPr>
        <w:pStyle w:val="86"/>
        <w:numPr>
          <w:ilvl w:val="1"/>
          <w:numId w:val="19"/>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Para a realização da vistoria, o representante legal da empresa ou o responsável técnico deverá estar devidamente identificado, mediante apresentação de documento de identidade civil e de documento expedido pela empresa que comprove sua autorização e habilitação para representá-la no ato.</w:t>
      </w:r>
    </w:p>
    <w:p w14:paraId="2EC7E58A">
      <w:pPr>
        <w:pStyle w:val="86"/>
        <w:numPr>
          <w:ilvl w:val="1"/>
          <w:numId w:val="19"/>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Caso o licitante opte por não realizar a vistoria, deverá apresentar Declaração de Renúncia da Vistoria, assinada pelo representante legal da empresa, assumindo inteiramente a responsabilidade ou consequências por essa omissão. </w:t>
      </w:r>
    </w:p>
    <w:p w14:paraId="45BDAC62">
      <w:pPr>
        <w:pStyle w:val="86"/>
        <w:numPr>
          <w:ilvl w:val="1"/>
          <w:numId w:val="19"/>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197B148">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188B0FDC">
      <w:pPr>
        <w:pStyle w:val="70"/>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MODELO DE EXECUÇÃO DO OBJETO</w:t>
      </w:r>
    </w:p>
    <w:p w14:paraId="29EC1FBF">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Condições de execução</w:t>
      </w:r>
    </w:p>
    <w:p w14:paraId="628ABE66">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execução do objeto seguirá a seguinte dinâmica:</w:t>
      </w:r>
    </w:p>
    <w:p w14:paraId="7FB72AFD">
      <w:pPr>
        <w:pStyle w:val="224"/>
        <w:spacing w:before="72" w:beforeLines="30" w:after="72" w:afterLines="30" w:line="240" w:lineRule="auto"/>
        <w:ind w:left="0"/>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Início da execução do objeto: </w:t>
      </w:r>
      <w:r>
        <w:rPr>
          <w:rFonts w:ascii="Times New Roman" w:hAnsi="Times New Roman" w:cs="Times New Roman"/>
          <w:b/>
          <w:bCs/>
          <w:i w:val="0"/>
          <w:iCs w:val="0"/>
          <w:color w:val="000000" w:themeColor="text1"/>
          <w:sz w:val="24"/>
          <w:szCs w:val="24"/>
          <w14:textFill>
            <w14:solidFill>
              <w14:schemeClr w14:val="tx1"/>
            </w14:solidFill>
          </w14:textFill>
        </w:rPr>
        <w:t>até 5 (cinco) dias úteis</w:t>
      </w:r>
      <w:r>
        <w:rPr>
          <w:rFonts w:ascii="Times New Roman" w:hAnsi="Times New Roman" w:cs="Times New Roman"/>
          <w:i w:val="0"/>
          <w:iCs w:val="0"/>
          <w:color w:val="000000" w:themeColor="text1"/>
          <w:sz w:val="24"/>
          <w:szCs w:val="24"/>
          <w14:textFill>
            <w14:solidFill>
              <w14:schemeClr w14:val="tx1"/>
            </w14:solidFill>
          </w14:textFill>
        </w:rPr>
        <w:t xml:space="preserve"> contados a partir da emissão da Ordem de Serviços pelo Departamento de Licitações e Contratos.</w:t>
      </w:r>
    </w:p>
    <w:p w14:paraId="30F9273E">
      <w:pPr>
        <w:pStyle w:val="224"/>
        <w:spacing w:before="72" w:beforeLines="30" w:after="72" w:afterLines="30" w:line="240" w:lineRule="auto"/>
        <w:ind w:left="0"/>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Cronograma de realização dos serviços: Os serviços serão executados no prazo de </w:t>
      </w:r>
      <w:r>
        <w:rPr>
          <w:rFonts w:ascii="Times New Roman" w:hAnsi="Times New Roman" w:cs="Times New Roman"/>
          <w:b/>
          <w:bCs/>
          <w:i w:val="0"/>
          <w:iCs w:val="0"/>
          <w:color w:val="000000" w:themeColor="text1"/>
          <w:sz w:val="24"/>
          <w:szCs w:val="24"/>
          <w:u w:val="single"/>
          <w14:textFill>
            <w14:solidFill>
              <w14:schemeClr w14:val="tx1"/>
            </w14:solidFill>
          </w14:textFill>
        </w:rPr>
        <w:t>120 DIAS</w:t>
      </w:r>
      <w:r>
        <w:rPr>
          <w:rFonts w:ascii="Times New Roman" w:hAnsi="Times New Roman" w:cs="Times New Roman"/>
          <w:i w:val="0"/>
          <w:iCs w:val="0"/>
          <w:color w:val="000000" w:themeColor="text1"/>
          <w:sz w:val="24"/>
          <w:szCs w:val="24"/>
          <w14:textFill>
            <w14:solidFill>
              <w14:schemeClr w14:val="tx1"/>
            </w14:solidFill>
          </w14:textFill>
        </w:rPr>
        <w:t xml:space="preserve">, e serão acompanhados por meio de </w:t>
      </w:r>
      <w:r>
        <w:rPr>
          <w:rFonts w:ascii="Times New Roman" w:hAnsi="Times New Roman" w:cs="Times New Roman"/>
          <w:b/>
          <w:bCs/>
          <w:i w:val="0"/>
          <w:iCs w:val="0"/>
          <w:color w:val="000000" w:themeColor="text1"/>
          <w:sz w:val="24"/>
          <w:szCs w:val="24"/>
          <w:u w:val="single"/>
          <w14:textFill>
            <w14:solidFill>
              <w14:schemeClr w14:val="tx1"/>
            </w14:solidFill>
          </w14:textFill>
        </w:rPr>
        <w:t>BOLETIM DE MEDIÇÃO.</w:t>
      </w:r>
    </w:p>
    <w:p w14:paraId="61634EC3">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Local e horário da prestação dos serviços</w:t>
      </w:r>
    </w:p>
    <w:p w14:paraId="39D1757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serviços serão prestados no seguinte endereço: Escola Municipal Inácio Silvestre Monteiro, BR-267, Zona Rural, Alto Caracol - Caracol/MS, na seguinte coordenada geográfica: -21.737296196911263, -56.87960792181063.</w:t>
      </w:r>
    </w:p>
    <w:p w14:paraId="339536C5">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serviços serão prestados em horário comercial, das 07h00 às 17h00.</w:t>
      </w:r>
    </w:p>
    <w:p w14:paraId="7E62EECA">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Materiais a serem disponibilizados</w:t>
      </w:r>
    </w:p>
    <w:p w14:paraId="346FC9AC">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Para a perfeita execução dos serviços, a Contratada deverá dispor de mão de obra devidamente qualificada e fornecer todos os materiais, equipamentos, ferramentas e utensílios necessários, nas quantidades e qualidades previstas no projeto executivo, projetos complementares, memorial descritivo e planilha orçamentária fornecidos pela Prefeitura Municipal de Caracol/MS. Deverá ainda observar integralmente as exigências e os padrões estabelecidos pelas normas técnicas vigentes e pelos órgãos competentes de controle, promovendo a substituição de quaisquer itens que não atendam às especificações ou apresentem defeitos.</w:t>
      </w:r>
    </w:p>
    <w:p w14:paraId="3F98A2ED">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Informações relevantes para o dimensionamento da proposta</w:t>
      </w:r>
    </w:p>
    <w:p w14:paraId="5DAF36F6">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demanda do órgão tem como base as seguintes características:</w:t>
      </w:r>
    </w:p>
    <w:p w14:paraId="25DC658B">
      <w:pPr>
        <w:pStyle w:val="224"/>
        <w:spacing w:before="72" w:beforeLines="30" w:after="72" w:afterLines="30" w:line="240" w:lineRule="auto"/>
        <w:ind w:left="0"/>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A obra consiste na construção de 03 (três) salas de aula com área de 41,02 m² cada, 02 (duas) salas administrativas com área de 8,98 m² cada e uma varanda com área de 55,14 m², em alvenaria de blocos cerâmicos e cobertura com telha termoacústica.</w:t>
      </w:r>
    </w:p>
    <w:p w14:paraId="133047BC">
      <w:pPr>
        <w:pStyle w:val="224"/>
        <w:spacing w:before="72" w:beforeLines="30" w:after="72" w:afterLines="30" w:line="240" w:lineRule="auto"/>
        <w:ind w:left="0"/>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Serviços a serem executados:</w:t>
      </w:r>
    </w:p>
    <w:p w14:paraId="3E3CC0A7">
      <w:pPr>
        <w:pStyle w:val="89"/>
        <w:numPr>
          <w:ilvl w:val="3"/>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Os serviços compreenderão a implantação e organização do canteiro de obras, limpeza e preparação do terreno, execução das fundações, estrutura em concreto armado, paredes de vedação, revestimentos e pinturas internas e externas, execução de pisos e calçadas, instalação de cobertura com telhas termoacústicas e forro em PVC, instalação de esquadrias de portas e janelas, bem como a execução completa das instalações elétricas da ampliação. Ao término da obra, deverá ser realizada a limpeza final do canteiro.</w:t>
      </w:r>
    </w:p>
    <w:p w14:paraId="3BB799D7">
      <w:pPr>
        <w:pStyle w:val="89"/>
        <w:numPr>
          <w:ilvl w:val="3"/>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Todos os serviços deverão ser executados em conformidade com os projetos arquitetônico, estrutural e elétrico, bem como com a planilha orçamentária e o memorial descritivo da obra, atendendo integralmente às exigências e padrões estabelecidos pelas normas vigentes e pelos órgãos competentes de controle.</w:t>
      </w:r>
    </w:p>
    <w:p w14:paraId="0D959869">
      <w:pPr>
        <w:pStyle w:val="376"/>
        <w:spacing w:before="72" w:beforeLines="30" w:after="72" w:afterLines="30" w:line="240" w:lineRule="auto"/>
        <w:rPr>
          <w:rFonts w:ascii="Times New Roman" w:hAnsi="Times New Roman" w:eastAsia="Calibri"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Especificação da garantia do serviço (art. 40, §1º, inciso III, da Lei nº 14.133, de 2021)</w:t>
      </w:r>
    </w:p>
    <w:p w14:paraId="3F04BCAD">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prazo de garantia contratual dos serviços, complementar à garantia legal, será de, no mínimo sessenta (60) meses, contado a partir do primeiro dia útil subsequente à data do recebimento definitivo do objeto.</w:t>
      </w:r>
    </w:p>
    <w:p w14:paraId="33C70C18">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garantia será prestada com vistas a manter os serviços e equipamentos em perfeitas condições de uso, sem qualquer ônus ou custo operacional para a Contratante.</w:t>
      </w:r>
    </w:p>
    <w:p w14:paraId="7627C6FD">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garantia abrange, inclusive, a realização da manutenção corretiva dos serviços pela própria Contratada.</w:t>
      </w:r>
    </w:p>
    <w:p w14:paraId="6F09C2A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Entende-se por manutenção corretiva aquela destinada a corrigir os defeitos apresentados pelos serviços prestados, compreendendo a realização de ajustes, reparos e correções necessárias.</w:t>
      </w:r>
    </w:p>
    <w:p w14:paraId="647E8744">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Uma vez notificada, a Contratada realizará a reparação ou substituição dos serviços que apresentarem vício ou defeito, devendo iniciar a reparação ou substituição em até 05 (cinco) dias úteis, contados a partir do recebimento da notificação.</w:t>
      </w:r>
    </w:p>
    <w:p w14:paraId="4378FE1C">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651837DB">
      <w:pPr>
        <w:pStyle w:val="70"/>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MODELO DE GESTÃO DO CONTRATO</w:t>
      </w:r>
    </w:p>
    <w:p w14:paraId="6D23CBEF">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contrato deverá ser executado fielmente pelas partes, de acordo com as cláusulas avençadas e as normas da </w:t>
      </w:r>
      <w:r>
        <w:fldChar w:fldCharType="begin"/>
      </w:r>
      <w:r>
        <w:instrText xml:space="preserve"> HYPERLINK "http://www.planalto.gov.br/ccivil_03/_ato2019-2022/2021/lei/L14133.htm" \h </w:instrText>
      </w:r>
      <w:r>
        <w:fldChar w:fldCharType="separate"/>
      </w:r>
      <w:r>
        <w:rPr>
          <w:rStyle w:val="17"/>
          <w:rFonts w:ascii="Times New Roman" w:hAnsi="Times New Roman"/>
          <w:color w:val="000000" w:themeColor="text1"/>
          <w:sz w:val="24"/>
          <w:szCs w:val="24"/>
          <w14:textFill>
            <w14:solidFill>
              <w14:schemeClr w14:val="tx1"/>
            </w14:solidFill>
          </w14:textFill>
        </w:rPr>
        <w:t>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e cada parte responderá pelas consequências de sua inexecução total ou parcial</w:t>
      </w:r>
      <w:r>
        <w:rPr>
          <w:rFonts w:ascii="Times New Roman" w:hAnsi="Times New Roman" w:eastAsia="Arial"/>
          <w:color w:val="000000" w:themeColor="text1"/>
          <w:sz w:val="24"/>
          <w:szCs w:val="24"/>
          <w14:textFill>
            <w14:solidFill>
              <w14:schemeClr w14:val="tx1"/>
            </w14:solidFill>
          </w14:textFill>
        </w:rPr>
        <w:t>.</w:t>
      </w:r>
    </w:p>
    <w:p w14:paraId="115387F0">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Em caso de impedimento, ordem de paralisação ou suspensão do contrato, o cronograma de execução será prorrogado automaticamente pelo tempo correspondente, anotadas tais circunstâncias mediante simples apostila.</w:t>
      </w:r>
    </w:p>
    <w:p w14:paraId="4C92BC42">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As comunicações entre o órgão ou entidade e a contratada devem ser realizadas por escrito sempre que o ato exigir tal formalidade, admitindo-se o uso de mensagem eletrônica para esse fim.</w:t>
      </w:r>
    </w:p>
    <w:p w14:paraId="344D010D">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órgão ou entidade poderá convocar representante da empresa para adoção de providências que devam ser cumpridas de imediato.</w:t>
      </w:r>
    </w:p>
    <w:p w14:paraId="092E17BB">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85129C4">
      <w:pPr>
        <w:pStyle w:val="229"/>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Fiscalização</w:t>
      </w:r>
    </w:p>
    <w:p w14:paraId="6CBC0CF5">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execução do contrato deverá ser acompanhada e fiscalizada pelo(s) fiscal(is) do contrato, ou pelos respectivos substitutos (</w:t>
      </w:r>
      <w:r>
        <w:rPr>
          <w:rFonts w:ascii="Times New Roman" w:hAnsi="Times New Roman"/>
          <w:color w:val="000000" w:themeColor="text1"/>
          <w:sz w:val="24"/>
          <w:szCs w:val="24"/>
          <w:u w:val="single"/>
          <w14:textFill>
            <w14:solidFill>
              <w14:schemeClr w14:val="tx1"/>
            </w14:solidFill>
          </w14:textFill>
        </w:rPr>
        <w:t>Lei nº 14.133, de 2021, art. 117, caput</w:t>
      </w:r>
      <w:r>
        <w:rPr>
          <w:rFonts w:ascii="Times New Roman" w:hAnsi="Times New Roman"/>
          <w:color w:val="000000" w:themeColor="text1"/>
          <w:sz w:val="24"/>
          <w:szCs w:val="24"/>
          <w14:textFill>
            <w14:solidFill>
              <w14:schemeClr w14:val="tx1"/>
            </w14:solidFill>
          </w14:textFill>
        </w:rPr>
        <w:t>).</w:t>
      </w:r>
    </w:p>
    <w:p w14:paraId="0549FB28">
      <w:pPr>
        <w:pStyle w:val="86"/>
        <w:numPr>
          <w:ilvl w:val="1"/>
          <w:numId w:val="2"/>
        </w:numPr>
        <w:spacing w:before="72" w:beforeLines="30" w:after="72" w:afterLines="30" w:line="240" w:lineRule="auto"/>
        <w:ind w:left="0" w:firstLine="0"/>
        <w:rPr>
          <w:rFonts w:ascii="Times New Roman" w:hAnsi="Times New Roman" w:eastAsia="MS Mincho"/>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fiscal do contrato acompanhará a execução do contrato, para que sejam cumpridas todas as condições estabelecidas no contrato, de modo a assegurar os melhores resultados para a Administração. </w:t>
      </w:r>
    </w:p>
    <w:p w14:paraId="0234F398">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fiscal do contrato anotará no histórico de gerenciamento do contrato todas as ocorrências relacionadas à execução do contrato, com a descrição do que for necessário para a regularização das faltas ou dos defeitos observados.</w:t>
      </w:r>
    </w:p>
    <w:p w14:paraId="4471BB53">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Identificada qualquer inexatidão ou irregularidade, o fiscal técnico do contrato emitirá notificações para a correção da execução do contrato, determinando prazo para a correção. </w:t>
      </w:r>
    </w:p>
    <w:p w14:paraId="5A2C4654">
      <w:pPr>
        <w:pStyle w:val="86"/>
        <w:numPr>
          <w:ilvl w:val="1"/>
          <w:numId w:val="2"/>
        </w:numPr>
        <w:spacing w:before="72" w:beforeLines="30" w:after="72" w:afterLines="30" w:line="240" w:lineRule="auto"/>
        <w:ind w:left="0" w:firstLine="0"/>
        <w:rPr>
          <w:rFonts w:ascii="Times New Roman" w:hAnsi="Times New Roman" w:eastAsia="Arial"/>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fiscal do contrato informará ao gestor do contato, em tempo hábil, a situação que demandar decisão ou adoção de medidas que ultrapassem sua competência, para que adote as medidas necessárias e saneadoras, se for o caso.</w:t>
      </w:r>
    </w:p>
    <w:p w14:paraId="6F92F9ED">
      <w:pPr>
        <w:pStyle w:val="86"/>
        <w:numPr>
          <w:ilvl w:val="1"/>
          <w:numId w:val="2"/>
        </w:numPr>
        <w:spacing w:before="72" w:beforeLines="30" w:after="72" w:afterLines="30" w:line="240" w:lineRule="auto"/>
        <w:ind w:left="0" w:firstLine="0"/>
        <w:rPr>
          <w:rFonts w:ascii="Times New Roman" w:hAnsi="Times New Roman" w:eastAsia="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No caso de ocorrências que possam inviabilizar a execução do contrato nas datas aprazadas, o fiscal técnico do contrato comunicará o fato imediatamente ao gestor do contrato. </w:t>
      </w:r>
    </w:p>
    <w:p w14:paraId="748AEB23">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fiscal do contrato comunicará ao gestor do contrato, em tempo hábil, o término do contrato sob sua responsabilidade, com vistas à tempestiva </w:t>
      </w:r>
      <w:r>
        <w:rPr>
          <w:rFonts w:ascii="Times New Roman" w:hAnsi="Times New Roman" w:eastAsia="Times New Roman"/>
          <w:color w:val="000000" w:themeColor="text1"/>
          <w:sz w:val="24"/>
          <w:szCs w:val="24"/>
          <w14:textFill>
            <w14:solidFill>
              <w14:schemeClr w14:val="tx1"/>
            </w14:solidFill>
          </w14:textFill>
        </w:rPr>
        <w:t xml:space="preserve">renovação </w:t>
      </w:r>
      <w:r>
        <w:rPr>
          <w:rFonts w:ascii="Times New Roman" w:hAnsi="Times New Roman"/>
          <w:color w:val="000000" w:themeColor="text1"/>
          <w:sz w:val="24"/>
          <w:szCs w:val="24"/>
          <w14:textFill>
            <w14:solidFill>
              <w14:schemeClr w14:val="tx1"/>
            </w14:solidFill>
          </w14:textFill>
        </w:rPr>
        <w:t>ou à prorrogação contratual.</w:t>
      </w:r>
    </w:p>
    <w:p w14:paraId="106B893D">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Gestor do Contrato</w:t>
      </w:r>
    </w:p>
    <w:p w14:paraId="087CB5D1">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357BF6F">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857DB1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D7DE6E9">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21070C2">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BC27C8C">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gestor do contrato tomará providências para a formalização de processo administrativo de responsabilização para fins de aplicação de sanções, a ser conduzido pela comissão de que trata o </w:t>
      </w:r>
      <w:r>
        <w:rPr>
          <w:rFonts w:ascii="Times New Roman" w:hAnsi="Times New Roman"/>
          <w:color w:val="000000" w:themeColor="text1"/>
          <w:sz w:val="24"/>
          <w:szCs w:val="24"/>
          <w:u w:val="single"/>
          <w14:textFill>
            <w14:solidFill>
              <w14:schemeClr w14:val="tx1"/>
            </w14:solidFill>
          </w14:textFill>
        </w:rPr>
        <w:t xml:space="preserve">art. 158 da Lei nº 14.133, de 2021. </w:t>
      </w:r>
    </w:p>
    <w:p w14:paraId="0F30D7EF">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5FD8B3D4">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gestor do contrato deverá enviar a documentação pertinente ao setor de contratos para a formalização dos procedimentos de liquidação e pagamento, no valor dimensionado pela fiscalização e gestão nos termos do contrato.</w:t>
      </w:r>
    </w:p>
    <w:p w14:paraId="13B941A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1777BB36">
      <w:pPr>
        <w:pStyle w:val="70"/>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CRITÉRIOS DE MEDIÇÃO E PAGAMENTO</w:t>
      </w:r>
    </w:p>
    <w:p w14:paraId="6755CF5F">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7.1. A aferição da execução contratual para fins de pagamento considerará os seguintes critérios:</w:t>
      </w:r>
    </w:p>
    <w:p w14:paraId="620157A9">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14:textFill>
            <w14:solidFill>
              <w14:schemeClr w14:val="tx1"/>
            </w14:solidFill>
          </w14:textFill>
        </w:rPr>
        <w:t xml:space="preserve">7.1.1. Boletim de medição: </w:t>
      </w:r>
      <w:r>
        <w:rPr>
          <w:color w:val="000000" w:themeColor="text1"/>
          <w:szCs w:val="24"/>
          <w:lang w:eastAsia="en-US"/>
          <w14:textFill>
            <w14:solidFill>
              <w14:schemeClr w14:val="tx1"/>
            </w14:solidFill>
          </w14:textFill>
        </w:rPr>
        <w:t>adoção de sistemática de remuneração orientada por preços unitários ou referenciada pela execução de quantidades de itens unitários. (art. 46, § 9º, da Lei nº 14.133/2021).</w:t>
      </w:r>
    </w:p>
    <w:p w14:paraId="688CDAAA">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7.1.2. Nos contratos de obras e serviços de engenharia, sempre que compatível com o regime de execução, a medição será mensal </w:t>
      </w:r>
      <w:bookmarkStart w:id="27" w:name="_Hlk163205737"/>
      <w:r>
        <w:rPr>
          <w:rFonts w:ascii="Times New Roman" w:hAnsi="Times New Roman" w:cs="Times New Roman"/>
          <w:color w:val="000000" w:themeColor="text1"/>
          <w:sz w:val="24"/>
          <w:szCs w:val="24"/>
          <w14:textFill>
            <w14:solidFill>
              <w14:schemeClr w14:val="tx1"/>
            </w14:solidFill>
          </w14:textFill>
        </w:rPr>
        <w:t>(art. 92, § 5º, da Lei nº 14.133/2021).</w:t>
      </w:r>
    </w:p>
    <w:p w14:paraId="7EAD97A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7.1.3. O órgão pagará à contratada, pelos serviços contratados e executados, os preços integrantes da proposta aprovada, ressalvada a incidência de reajustamento e a ocorrência de imprevistos. Fica expressamente estabelecido que os preços unitários incluem todos os custos diretos e indiretos para a execução do(s) serviço(s), de acordo com as condições previstas nas Especificações e nas Normas indicadas neste edital e demais documentos da licitação, constituindo assim sua única remuneração pelos trabalhos contratados e executados. </w:t>
      </w:r>
    </w:p>
    <w:p w14:paraId="649FD11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7.1.4. Será indicada a retenção ou glosa no pagamento, proporcional à irregularidade verificada, sem prejuízo das sanções cabíveis, caso se constate que a Contratada:</w:t>
      </w:r>
    </w:p>
    <w:p w14:paraId="622516BA">
      <w:pPr>
        <w:pStyle w:val="89"/>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7.1.4.1. Não produzir os resultados acordados;</w:t>
      </w:r>
    </w:p>
    <w:p w14:paraId="43E5C053">
      <w:pPr>
        <w:pStyle w:val="89"/>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7.1.4.2. Deixar de executar, ou não executar com a qualidade mínima exigida as atividades contratadas; ou</w:t>
      </w:r>
    </w:p>
    <w:p w14:paraId="6010196D">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7.1.4.3. Deixar de utilizar materiais e recursos humanos exigidos para a execução do serviço, ou utilizá-los com qualidade ou quantidade inferior à demandada.</w:t>
      </w:r>
    </w:p>
    <w:bookmarkEnd w:id="27"/>
    <w:p w14:paraId="64AC4C4D">
      <w:pPr>
        <w:pStyle w:val="376"/>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Do recebimento</w:t>
      </w:r>
    </w:p>
    <w:p w14:paraId="40F820C8">
      <w:pPr>
        <w:pStyle w:val="86"/>
        <w:numPr>
          <w:ilvl w:val="1"/>
          <w:numId w:val="20"/>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Ao final de cada etapa da execução contratual, conforme previsto no Cronograma Físico-Financeiro, o Contratado apresentará a medição prévia dos serviços executados no período, por meio de planilha e memória de cálculo detalhada.</w:t>
      </w:r>
    </w:p>
    <w:p w14:paraId="0A0E6756">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O contratado também apresentará, a cada medição, os documentos comprobatórios da procedência legal dos produtos e subprodutos florestais utilizados naquela etapa da execução contratual, quando for o caso.</w:t>
      </w:r>
    </w:p>
    <w:p w14:paraId="659EF713">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Os serviços serão recebidos provisoriamente, no prazo de até 10 (dez) dias úteis</w:t>
      </w:r>
      <w:r>
        <w:rPr>
          <w:rFonts w:ascii="Times New Roman" w:hAnsi="Times New Roman"/>
          <w:color w:val="000000" w:themeColor="text1"/>
          <w:sz w:val="24"/>
          <w:szCs w:val="24"/>
          <w14:textFill>
            <w14:solidFill>
              <w14:schemeClr w14:val="tx1"/>
            </w14:solidFill>
          </w14:textFill>
        </w:rPr>
        <w:t>, pelos fiscais, mediante termos detalhados, quando verificado o cumprimento das exigências de caráter técnico e administrativo. (Art. 140, I, a, da Lei nº 14.133)</w:t>
      </w:r>
    </w:p>
    <w:p w14:paraId="1E7993E2">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O prazo da disposição acima será contado do recebimento de comunicação de cobrança oriunda do contratado com a comprovação da prestação dos serviços a que se referem a parcela a ser paga.</w:t>
      </w:r>
    </w:p>
    <w:p w14:paraId="392B01DF">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O fiscal do contrato realizará o recebimento provisório do objeto do contrato que comprove o cumprimento das exigências de caráter técnico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41F38767">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Será considerado como ocorrido o recebimento provisório com a entrega do termo detalhado ou, em havendo mais de um a ser feito, com a entrega do último.</w:t>
      </w:r>
    </w:p>
    <w:p w14:paraId="369E4785">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12A8FA2">
      <w:pPr>
        <w:pStyle w:val="88"/>
        <w:numPr>
          <w:ilvl w:val="2"/>
          <w:numId w:val="2"/>
        </w:numPr>
        <w:spacing w:before="72" w:beforeLines="30" w:after="72" w:afterLines="30" w:line="240" w:lineRule="auto"/>
        <w:ind w:left="0" w:firstLine="0"/>
        <w:rPr>
          <w:rFonts w:ascii="Times New Roman" w:hAnsi="Times New Roman" w:cs="Times New Roman"/>
          <w:strike/>
          <w:color w:val="000000" w:themeColor="text1"/>
          <w:sz w:val="24"/>
          <w:szCs w:val="24"/>
          <w:u w:val="single"/>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 fiscalização não efetuará o ateste da última e/ou única medição de serviços até que sejam sanadas todas as eventuais pendências que possam vir a ser apontadas no Recebimento Provisório.</w:t>
      </w:r>
    </w:p>
    <w:p w14:paraId="08D51D49">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O recebimento provisório também ficará sujeito, quando cabível, à conclusão de todos os testes de campo e à entrega dos Manuais e Instruções exigíveis.</w:t>
      </w:r>
    </w:p>
    <w:p w14:paraId="72D12E7E">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Os serviços poderão ser rejeitados, no todo ou em parte, quando em desacordo com as especificações constantes neste Termo de Referência e na proposta, sem prejuízo da aplicação das penalidades.</w:t>
      </w:r>
    </w:p>
    <w:p w14:paraId="5DF181B8">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50A6A0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Os serviços serão recebidos definitivamente no prazo de até 10 (dez) dias úteis</w:t>
      </w:r>
      <w:r>
        <w:rPr>
          <w:rFonts w:ascii="Times New Roman" w:hAnsi="Times New Roman"/>
          <w:color w:val="000000" w:themeColor="text1"/>
          <w:sz w:val="24"/>
          <w:szCs w:val="24"/>
          <w14:textFill>
            <w14:solidFill>
              <w14:schemeClr w14:val="tx1"/>
            </w14:solidFill>
          </w14:textFill>
        </w:rPr>
        <w:t>, contados do recebimento provisório, por servidor ou comissão designada pela autoridade competente, após a verificação da qualidade e quantidade do serviço e consequente aceitação mediante termo detalhado, obedecendo os seguintes procedimentos:</w:t>
      </w:r>
    </w:p>
    <w:p w14:paraId="4B935860">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6EB24B0A">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8F5BB9D">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Emitir Termo Detalhado para efeito de recebimento definitivo dos serviços prestados, com base nos relatórios e documentações apresentadas; e</w:t>
      </w:r>
    </w:p>
    <w:p w14:paraId="162B4EFA">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Comunicar a empresa para que emita a Nota Fiscal ou Fatura, com o valor exato dimensionado pela fiscalização.</w:t>
      </w:r>
    </w:p>
    <w:p w14:paraId="1681979A">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Enviar a documentação pertinente ao setor de contratos para a formalização dos procedimentos de liquidação e pagamento, no valor dimensionado pela fiscalização e gestão.</w:t>
      </w:r>
    </w:p>
    <w:p w14:paraId="04A1AD11">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No caso de controvérsia sobre a execução do objeto, quanto à dimensão, qualidade e quantidade, deverá ser observado o teor do </w:t>
      </w:r>
      <w:r>
        <w:fldChar w:fldCharType="begin"/>
      </w:r>
      <w:r>
        <w:instrText xml:space="preserve"> HYPERLINK "https://www.planalto.gov.br/ccivil_03/_ato2019-2022/2021/lei/l14133.htm" \l "art143" \h </w:instrText>
      </w:r>
      <w:r>
        <w:fldChar w:fldCharType="separate"/>
      </w:r>
      <w:r>
        <w:rPr>
          <w:rStyle w:val="17"/>
          <w:rFonts w:ascii="Times New Roman" w:hAnsi="Times New Roman"/>
          <w:color w:val="000000" w:themeColor="text1"/>
          <w:sz w:val="24"/>
          <w:szCs w:val="24"/>
          <w14:textFill>
            <w14:solidFill>
              <w14:schemeClr w14:val="tx1"/>
            </w14:solidFill>
          </w14:textFill>
        </w:rPr>
        <w:t>art. 143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comunicando-se à empresa para emissão de Nota Fiscal no que pertine à parcela incontroversa da execução do objeto, para efeito de liquidação e pagamento.</w:t>
      </w:r>
    </w:p>
    <w:p w14:paraId="4979088B">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Nenhum prazo de recebimento ocorrerá enquanto pendente a solução, pelo contratado, de inconsistências verificadas na execução do objeto ou no instrumento de cobrança.</w:t>
      </w:r>
    </w:p>
    <w:p w14:paraId="43498C25">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recebimento provisório ou definitivo não excluirá a responsabilidade civil pela solidez e pela segurança do serviço nem a responsabilidade ético-profissional pela perfeita execução do contrato.</w:t>
      </w:r>
    </w:p>
    <w:p w14:paraId="77924480">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Liquidação</w:t>
      </w:r>
    </w:p>
    <w:p w14:paraId="415AD344">
      <w:pPr>
        <w:pStyle w:val="86"/>
        <w:numPr>
          <w:ilvl w:val="1"/>
          <w:numId w:val="2"/>
        </w:numPr>
        <w:spacing w:before="72" w:beforeLines="30" w:after="72" w:afterLines="30" w:line="240" w:lineRule="auto"/>
        <w:ind w:left="0" w:firstLine="0"/>
        <w:rPr>
          <w:rFonts w:ascii="Times New Roman" w:hAnsi="Times New Roman"/>
          <w:strike/>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Recebida a Nota Fiscal ou documento de cobrança equivalente, correrá o prazo de até 10 (dez) dias úteis para fins de liquidação, na forma desta seção, prorrogáveis por igual período.</w:t>
      </w:r>
    </w:p>
    <w:p w14:paraId="5467BFC7">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O prazo de que trata o item anterior será reduzido à metade, mantendo-se a possibilidade de prorrogação, nos casos de contratações decorrentes de despesas cujos valores não ultrapassem o limite de que trata o </w:t>
      </w:r>
      <w:r>
        <w:rPr>
          <w:rFonts w:ascii="Times New Roman" w:hAnsi="Times New Roman" w:cs="Times New Roman"/>
          <w:color w:val="000000" w:themeColor="text1"/>
          <w:sz w:val="24"/>
          <w:szCs w:val="24"/>
          <w:u w:val="single"/>
          <w14:textFill>
            <w14:solidFill>
              <w14:schemeClr w14:val="tx1"/>
            </w14:solidFill>
          </w14:textFill>
        </w:rPr>
        <w:t>inciso II do art. 75 da Lei nº 14.133, de 2021.</w:t>
      </w:r>
    </w:p>
    <w:p w14:paraId="2B351A99">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Para fins de liquidação, o setor competente deve verificar se a Nota Fiscal ou Fatura apresentada expressa os elementos necessários e essenciais do documento, tais como:</w:t>
      </w:r>
    </w:p>
    <w:p w14:paraId="2F4A293D">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t>o prazo de validade;</w:t>
      </w:r>
    </w:p>
    <w:p w14:paraId="4B1CD1D7">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b)</w:t>
      </w:r>
      <w:r>
        <w:rPr>
          <w:rFonts w:ascii="Times New Roman" w:hAnsi="Times New Roman" w:eastAsia="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t>a data da emissão;</w:t>
      </w:r>
    </w:p>
    <w:p w14:paraId="2BAB064A">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c)</w:t>
      </w:r>
      <w:r>
        <w:rPr>
          <w:rFonts w:ascii="Times New Roman" w:hAnsi="Times New Roman" w:eastAsia="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t>os dados do contrato e do órgão contratante;</w:t>
      </w:r>
    </w:p>
    <w:p w14:paraId="5B1D0EE9">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d)</w:t>
      </w:r>
      <w:r>
        <w:rPr>
          <w:rFonts w:ascii="Times New Roman" w:hAnsi="Times New Roman" w:eastAsia="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t>o período respectivo de execução do contrato;</w:t>
      </w:r>
    </w:p>
    <w:p w14:paraId="04D1EC2C">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e)</w:t>
      </w:r>
      <w:r>
        <w:rPr>
          <w:rFonts w:ascii="Times New Roman" w:hAnsi="Times New Roman" w:eastAsia="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t>o valor a pagar; e</w:t>
      </w:r>
    </w:p>
    <w:p w14:paraId="045DFA34">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f)</w:t>
      </w:r>
      <w:r>
        <w:rPr>
          <w:rFonts w:ascii="Times New Roman" w:hAnsi="Times New Roman" w:cs="Times New Roman"/>
          <w:color w:val="000000" w:themeColor="text1"/>
          <w:sz w:val="24"/>
          <w:szCs w:val="24"/>
          <w14:textFill>
            <w14:solidFill>
              <w14:schemeClr w14:val="tx1"/>
            </w14:solidFill>
          </w14:textFill>
        </w:rPr>
        <w:tab/>
      </w:r>
      <w:r>
        <w:rPr>
          <w:rFonts w:ascii="Times New Roman" w:hAnsi="Times New Roman" w:cs="Times New Roman"/>
          <w:color w:val="000000" w:themeColor="text1"/>
          <w:sz w:val="24"/>
          <w:szCs w:val="24"/>
          <w14:textFill>
            <w14:solidFill>
              <w14:schemeClr w14:val="tx1"/>
            </w14:solidFill>
          </w14:textFill>
        </w:rPr>
        <w:t>eventual destaque do valor de retenções tributárias cabíveis.</w:t>
      </w:r>
    </w:p>
    <w:p w14:paraId="2454426F">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F854FE0">
      <w:pPr>
        <w:pStyle w:val="86"/>
        <w:numPr>
          <w:ilvl w:val="1"/>
          <w:numId w:val="2"/>
        </w:numPr>
        <w:spacing w:before="72" w:beforeLines="30" w:after="72" w:afterLines="30" w:line="240" w:lineRule="auto"/>
        <w:ind w:left="0" w:firstLine="0"/>
        <w:rPr>
          <w:rFonts w:ascii="Times New Roman" w:hAnsi="Times New Roman"/>
          <w:strike/>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Nota Fiscal ou Fatura deverá ser obrigatoriamente acompanhada da comprovação da regularidade fiscal.</w:t>
      </w:r>
    </w:p>
    <w:p w14:paraId="48561D04">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A Administração deverá verificar a manutenção das condições habilitatórias do contratado. </w:t>
      </w:r>
    </w:p>
    <w:p w14:paraId="2AA3F7B9">
      <w:pPr>
        <w:pStyle w:val="86"/>
        <w:numPr>
          <w:ilvl w:val="1"/>
          <w:numId w:val="2"/>
        </w:numPr>
        <w:spacing w:before="72" w:beforeLines="30" w:after="72" w:afterLines="30" w:line="240" w:lineRule="auto"/>
        <w:ind w:left="0" w:firstLine="0"/>
        <w:rPr>
          <w:rFonts w:ascii="Times New Roman" w:hAnsi="Times New Roman" w:eastAsia="MS Mincho"/>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F6342C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E06C76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Persistindo a irregularidade, o contratante deverá adotar as medidas necessárias à rescisão contratual nos autos do processo administrativo correspondente, assegurada ao contratado a ampla defesa.</w:t>
      </w:r>
    </w:p>
    <w:p w14:paraId="751DA4B1">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Havendo a efetiva execução do objeto, os pagamentos serão realizados normalmente, até que se decida pela rescisão do contrato.</w:t>
      </w:r>
    </w:p>
    <w:p w14:paraId="0D44236C">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Prazo de pagamento</w:t>
      </w:r>
    </w:p>
    <w:p w14:paraId="0A0FA94C">
      <w:pPr>
        <w:pStyle w:val="86"/>
        <w:numPr>
          <w:ilvl w:val="1"/>
          <w:numId w:val="2"/>
        </w:numPr>
        <w:spacing w:before="72" w:beforeLines="30" w:after="72" w:afterLines="30" w:line="240" w:lineRule="auto"/>
        <w:ind w:left="0" w:firstLine="0"/>
        <w:rPr>
          <w:rFonts w:ascii="Times New Roman" w:hAnsi="Times New Roman"/>
          <w:strike/>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pagamento será efetuado no prazo máximo de até 10 (dez) dias úteis, contados da finalização da liquidação da despesa.</w:t>
      </w:r>
    </w:p>
    <w:p w14:paraId="15DE91E4">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No caso de atraso pelo Contratante, os valores devidos ao contratado serão atualizados monetariamente entre o termo final do prazo de pagamento até a data de sua efetiva realização, mediante aplicação do índice INCC (Índice Nacional da Construção Civil) de correção monetária.</w:t>
      </w:r>
    </w:p>
    <w:p w14:paraId="168FA408">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Forma de pagamento</w:t>
      </w:r>
    </w:p>
    <w:p w14:paraId="1F949655">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pagamento será realizado através de ordem bancária, para crédito em banco, agência e conta corrente indicados pelo contratado.</w:t>
      </w:r>
    </w:p>
    <w:p w14:paraId="22580309">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Será considerada data do pagamento o dia em que constar como emitida a ordem bancária para pagamento.</w:t>
      </w:r>
    </w:p>
    <w:p w14:paraId="2579470A">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Quando do pagamento, será efetuada a retenção tributária prevista na legislação aplicável.</w:t>
      </w:r>
    </w:p>
    <w:p w14:paraId="38A70B26">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Independentemente do percentual de tributo inserido na planilha, quando houver, serão retidos na fonte, quando da realização do pagamento, os percentuais estabelecidos na legislação vigente.</w:t>
      </w:r>
    </w:p>
    <w:p w14:paraId="7B637356">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14CB5D6">
      <w:pPr>
        <w:pStyle w:val="86"/>
        <w:numPr>
          <w:ilvl w:val="0"/>
          <w:numId w:val="0"/>
        </w:numPr>
        <w:spacing w:before="72" w:beforeLines="30" w:after="72" w:afterLines="30" w:line="240" w:lineRule="auto"/>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Antecipação de pagamento</w:t>
      </w:r>
    </w:p>
    <w:p w14:paraId="66E89580">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presente contratação não permite a antecipação de pagamento.</w:t>
      </w:r>
    </w:p>
    <w:p w14:paraId="03BC49A3">
      <w:pPr>
        <w:pStyle w:val="86"/>
        <w:numPr>
          <w:ilvl w:val="0"/>
          <w:numId w:val="0"/>
        </w:numPr>
        <w:spacing w:before="72" w:beforeLines="30" w:after="72" w:afterLines="30" w:line="240" w:lineRule="auto"/>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Cessão de crédito</w:t>
      </w:r>
    </w:p>
    <w:p w14:paraId="6961A889">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Não é admitida a cessão fiduciária de direitos creditícios com instituição financeira.</w:t>
      </w:r>
    </w:p>
    <w:p w14:paraId="45196AF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628B840E">
      <w:pPr>
        <w:pStyle w:val="70"/>
        <w:spacing w:before="72" w:beforeLines="30" w:after="72" w:afterLines="30"/>
        <w:ind w:left="0" w:firstLine="0"/>
        <w:rPr>
          <w:rFonts w:ascii="Times New Roman" w:hAnsi="Times New Roman" w:eastAsia="Calibri"/>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FORMA E CRITÉRIOS DE SELEÇÃO DO FORNECEDOR E REGIME DE EXECUÇÃO</w:t>
      </w:r>
    </w:p>
    <w:p w14:paraId="1D5609B2">
      <w:pPr>
        <w:pStyle w:val="376"/>
        <w:spacing w:before="72" w:beforeLines="30" w:after="72" w:afterLines="30" w:line="240" w:lineRule="auto"/>
        <w:rPr>
          <w:rFonts w:ascii="Times New Roman" w:hAnsi="Times New Roman" w:cs="Times New Roman" w:eastAsiaTheme="minorEastAsia"/>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Forma de seleção e critério de julgamento da proposta</w:t>
      </w:r>
    </w:p>
    <w:p w14:paraId="08BEA7C4">
      <w:pPr>
        <w:pStyle w:val="86"/>
        <w:numPr>
          <w:ilvl w:val="1"/>
          <w:numId w:val="2"/>
        </w:numPr>
        <w:spacing w:before="72" w:beforeLines="30" w:after="72" w:afterLines="30" w:line="240" w:lineRule="auto"/>
        <w:ind w:left="0" w:firstLine="0"/>
        <w:rPr>
          <w:rFonts w:ascii="Times New Roman" w:hAnsi="Times New Roman" w:eastAsia="Arial"/>
          <w:color w:val="000000" w:themeColor="text1"/>
          <w:sz w:val="24"/>
          <w:szCs w:val="24"/>
          <w14:textFill>
            <w14:solidFill>
              <w14:schemeClr w14:val="tx1"/>
            </w14:solidFill>
          </w14:textFill>
        </w:rPr>
      </w:pPr>
      <w:r>
        <w:rPr>
          <w:rFonts w:ascii="Times New Roman" w:hAnsi="Times New Roman" w:eastAsia="Arial"/>
          <w:color w:val="000000" w:themeColor="text1"/>
          <w:sz w:val="24"/>
          <w:szCs w:val="24"/>
          <w14:textFill>
            <w14:solidFill>
              <w14:schemeClr w14:val="tx1"/>
            </w14:solidFill>
          </w14:textFill>
        </w:rPr>
        <w:t>O fornecedor</w:t>
      </w:r>
      <w:r>
        <w:rPr>
          <w:rFonts w:ascii="Times New Roman" w:hAnsi="Times New Roman"/>
          <w:color w:val="000000" w:themeColor="text1"/>
          <w:sz w:val="24"/>
          <w:szCs w:val="24"/>
          <w14:textFill>
            <w14:solidFill>
              <w14:schemeClr w14:val="tx1"/>
            </w14:solidFill>
          </w14:textFill>
        </w:rPr>
        <w:t xml:space="preserve"> será selecionado por meio da realização de procedimento de LICITAÇÃO, na modalidade CONCORRÊNCIA, sob a forma ELETRÔNICA</w:t>
      </w:r>
      <w:r>
        <w:rPr>
          <w:rFonts w:ascii="Times New Roman" w:hAnsi="Times New Roman" w:eastAsia="Arial"/>
          <w:color w:val="000000" w:themeColor="text1"/>
          <w:sz w:val="24"/>
          <w:szCs w:val="24"/>
          <w14:textFill>
            <w14:solidFill>
              <w14:schemeClr w14:val="tx1"/>
            </w14:solidFill>
          </w14:textFill>
        </w:rPr>
        <w:t xml:space="preserve">, com adoção do critério de julgamento pelo </w:t>
      </w:r>
      <w:r>
        <w:rPr>
          <w:rFonts w:ascii="Times New Roman" w:hAnsi="Times New Roman" w:eastAsia="Arial"/>
          <w:b/>
          <w:color w:val="000000" w:themeColor="text1"/>
          <w:sz w:val="24"/>
          <w:szCs w:val="24"/>
          <w:u w:val="single"/>
          <w14:textFill>
            <w14:solidFill>
              <w14:schemeClr w14:val="tx1"/>
            </w14:solidFill>
          </w14:textFill>
        </w:rPr>
        <w:t>MAIOR DESCONTO GLOBAL.</w:t>
      </w:r>
    </w:p>
    <w:p w14:paraId="1536C33A">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Regime de execução</w:t>
      </w:r>
    </w:p>
    <w:p w14:paraId="70EC444F">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regime de execução do contrato será por </w:t>
      </w:r>
      <w:r>
        <w:rPr>
          <w:rFonts w:ascii="Times New Roman" w:hAnsi="Times New Roman"/>
          <w:b/>
          <w:bCs/>
          <w:color w:val="000000" w:themeColor="text1"/>
          <w:sz w:val="24"/>
          <w:szCs w:val="24"/>
          <w:u w:val="single"/>
          <w14:textFill>
            <w14:solidFill>
              <w14:schemeClr w14:val="tx1"/>
            </w14:solidFill>
          </w14:textFill>
        </w:rPr>
        <w:t>EMPREITADA POR PREÇO UNITÁRIO.</w:t>
      </w:r>
    </w:p>
    <w:p w14:paraId="33058C67">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Critérios de aceitabilidade de preços</w:t>
      </w:r>
    </w:p>
    <w:p w14:paraId="76E80F13">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critério de aceitabilidade de preços será o valor global estimado para a contratação, bem como os valores unitários dos itens constantes na planilha orçamentária, observados os limites estabelecidos pela Administração e as composições de custos de referência adotadas.</w:t>
      </w:r>
    </w:p>
    <w:p w14:paraId="3F974CE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u w:val="single"/>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licitante mais bem classificado na disputa deverá apresentar à Administração, por meio eletrônico, planilha contendo o preço global, os quantitativos e os </w:t>
      </w:r>
      <w:r>
        <w:rPr>
          <w:rFonts w:ascii="Times New Roman" w:hAnsi="Times New Roman"/>
          <w:color w:val="000000" w:themeColor="text1"/>
          <w:sz w:val="24"/>
          <w:szCs w:val="24"/>
          <w:u w:val="single"/>
          <w14:textFill>
            <w14:solidFill>
              <w14:schemeClr w14:val="tx1"/>
            </w14:solidFill>
          </w14:textFill>
        </w:rPr>
        <w:t>preços unitários com o respectivo desconto linear</w:t>
      </w:r>
      <w:r>
        <w:rPr>
          <w:rFonts w:ascii="Times New Roman" w:hAnsi="Times New Roman"/>
          <w:color w:val="000000" w:themeColor="text1"/>
          <w:sz w:val="24"/>
          <w:szCs w:val="24"/>
          <w14:textFill>
            <w14:solidFill>
              <w14:schemeClr w14:val="tx1"/>
            </w14:solidFill>
          </w14:textFill>
        </w:rPr>
        <w:t>, conforme modelo de planilha elaborado pela Administração, para fins de avaliação da exequibilidade, nos termos do art. 59, §3º da Lei nº 14.133/2021.</w:t>
      </w:r>
    </w:p>
    <w:p w14:paraId="2A6F1836">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Exigências de habilitação</w:t>
      </w:r>
    </w:p>
    <w:p w14:paraId="0300899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Para fins de habilitação, deverá o licitante comprovar os seguintes requisitos:</w:t>
      </w:r>
    </w:p>
    <w:p w14:paraId="46AC1624">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Habilitação jurídica</w:t>
      </w:r>
    </w:p>
    <w:p w14:paraId="52DA2F35">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Empresário individual</w:t>
      </w:r>
      <w:r>
        <w:rPr>
          <w:rFonts w:ascii="Times New Roman" w:hAnsi="Times New Roman"/>
          <w:color w:val="000000" w:themeColor="text1"/>
          <w:sz w:val="24"/>
          <w:szCs w:val="24"/>
          <w14:textFill>
            <w14:solidFill>
              <w14:schemeClr w14:val="tx1"/>
            </w14:solidFill>
          </w14:textFill>
        </w:rPr>
        <w:t xml:space="preserve">: inscrição no Registro Público de Empresas Mercantis, a cargo da Junta Comercial da respectiva sede; </w:t>
      </w:r>
    </w:p>
    <w:p w14:paraId="1751E3B7">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Sociedade empresária, sociedade limitada unipessoal – SLU ou sociedade identificada como empresa individual de responsabilidade limitada - EIRELI:</w:t>
      </w:r>
      <w:r>
        <w:rPr>
          <w:rFonts w:ascii="Times New Roman" w:hAnsi="Times New Roman"/>
          <w:color w:val="000000" w:themeColor="text1"/>
          <w:sz w:val="24"/>
          <w:szCs w:val="24"/>
          <w14:textFill>
            <w14:solidFill>
              <w14:schemeClr w14:val="tx1"/>
            </w14:solidFill>
          </w14:textFill>
        </w:rPr>
        <w:t xml:space="preserve"> inscrição do ato constitutivo, estatuto ou contrato social no Registro Público de Empresas Mercantis, a cargo da Junta Comercial da respectiva sede, acompanhada de documento comprobatório de seus administradores;</w:t>
      </w:r>
    </w:p>
    <w:p w14:paraId="3B99A6B1">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Sociedade empresária estrangeira</w:t>
      </w:r>
      <w:r>
        <w:rPr>
          <w:rFonts w:ascii="Times New Roman" w:hAnsi="Times New Roman"/>
          <w:color w:val="000000" w:themeColor="text1"/>
          <w:sz w:val="24"/>
          <w:szCs w:val="24"/>
          <w14:textFill>
            <w14:solidFill>
              <w14:schemeClr w14:val="tx1"/>
            </w14:solidFill>
          </w14:textFill>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09CAB85">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Sociedade simples</w:t>
      </w:r>
      <w:r>
        <w:rPr>
          <w:rFonts w:ascii="Times New Roman" w:hAnsi="Times New Roman"/>
          <w:color w:val="000000" w:themeColor="text1"/>
          <w:sz w:val="24"/>
          <w:szCs w:val="24"/>
          <w14:textFill>
            <w14:solidFill>
              <w14:schemeClr w14:val="tx1"/>
            </w14:solidFill>
          </w14:textFill>
        </w:rPr>
        <w:t>: inscrição do ato constitutivo no Registro Civil de Pessoas Jurídicas do local de sua sede, acompanhada de documento comprobatório de seus administradores;</w:t>
      </w:r>
    </w:p>
    <w:p w14:paraId="656CD146">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Filial, sucursal ou agência de sociedade simples ou empresária</w:t>
      </w:r>
      <w:r>
        <w:rPr>
          <w:rFonts w:ascii="Times New Roman" w:hAnsi="Times New Roman"/>
          <w:color w:val="000000" w:themeColor="text1"/>
          <w:sz w:val="24"/>
          <w:szCs w:val="24"/>
          <w14:textFill>
            <w14:solidFill>
              <w14:schemeClr w14:val="tx1"/>
            </w14:solidFill>
          </w14:textFill>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AA560F8">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documentos apresentados deverão estar acompanhados de todas as alterações ou da consolidação respectiva.</w:t>
      </w:r>
    </w:p>
    <w:p w14:paraId="5585CB35">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Habilitação fiscal, social e trabalhista</w:t>
      </w:r>
    </w:p>
    <w:p w14:paraId="08D1842D">
      <w:pPr>
        <w:pStyle w:val="86"/>
        <w:numPr>
          <w:ilvl w:val="1"/>
          <w:numId w:val="2"/>
        </w:numPr>
        <w:spacing w:before="72" w:beforeLines="30" w:after="72" w:afterLines="30" w:line="240" w:lineRule="auto"/>
        <w:ind w:left="0" w:firstLine="0"/>
        <w:rPr>
          <w:rFonts w:ascii="Times New Roman" w:hAnsi="Times New Roman"/>
          <w:strike/>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Prova de inscrição no Cadastro Nacional de Pessoas Jurídicas;</w:t>
      </w:r>
    </w:p>
    <w:p w14:paraId="68C8769B">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D7B045A">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Prova de regularidade com o Fundo de Garantia do Tempo de Serviço (FGTS);</w:t>
      </w:r>
    </w:p>
    <w:p w14:paraId="2362EE0D">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Prova de inexistência de débitos inadimplidos perante a Justiça do Trabalho, mediante a apresentação de certidão negativa ou positiva com efeito de negativa, nos termos do Título VII-A da Consolidação das Leis do Trabalho, aprovada pelo </w:t>
      </w:r>
      <w:r>
        <w:fldChar w:fldCharType="begin"/>
      </w:r>
      <w:r>
        <w:instrText xml:space="preserve"> HYPERLINK "https://www.planalto.gov.br/ccivil_03/decreto-lei/del5452.htm" \h </w:instrText>
      </w:r>
      <w:r>
        <w:fldChar w:fldCharType="separate"/>
      </w:r>
      <w:r>
        <w:rPr>
          <w:rStyle w:val="17"/>
          <w:rFonts w:ascii="Times New Roman" w:hAnsi="Times New Roman"/>
          <w:color w:val="000000" w:themeColor="text1"/>
          <w:sz w:val="24"/>
          <w:szCs w:val="24"/>
          <w14:textFill>
            <w14:solidFill>
              <w14:schemeClr w14:val="tx1"/>
            </w14:solidFill>
          </w14:textFill>
        </w:rPr>
        <w:t>Decreto-Lei nº 5.452, de 1º de maio de 1943</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25533E38">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Prova de regularidade com a Fazenda Municipal do domicílio ou sede do fornecedor, relativa à atividade em cujo exercício contrata ou concorre.</w:t>
      </w:r>
    </w:p>
    <w:p w14:paraId="0586A77D">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Caso o fornecedor seja considerado isento dos tributos relacionados ao objeto contratual, deverá comprovar tal condição mediante a apresentação de declaração da Fazenda respectiva do seu domicílio ou sede, ou outra equivalente, na forma da lei.</w:t>
      </w:r>
    </w:p>
    <w:p w14:paraId="19D42248">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A33DCA6">
      <w:pPr>
        <w:pStyle w:val="376"/>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Qualificação Econômico-Financeira</w:t>
      </w:r>
    </w:p>
    <w:p w14:paraId="32A4CADC">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Certidão negativa de falência expedida pelo distribuidor da sede do fornecedor - Lei nº 14.133, de 2021, art. 69, caput, inciso II);</w:t>
      </w:r>
    </w:p>
    <w:p w14:paraId="77072BD1">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Style w:val="79"/>
          <w:rFonts w:ascii="Times New Roman" w:hAnsi="Times New Roman" w:eastAsia="Arial"/>
          <w:color w:val="000000" w:themeColor="text1"/>
          <w:sz w:val="24"/>
          <w:szCs w:val="24"/>
          <w14:textFill>
            <w14:solidFill>
              <w14:schemeClr w14:val="tx1"/>
            </w14:solidFill>
          </w14:textFill>
        </w:rPr>
        <w:t>Balanço patrimonial, demonstração de resultado de exercício e demais demonstrações contábeis dos 2 (dois) últimos exercícios sociais, comprovando:</w:t>
      </w:r>
    </w:p>
    <w:p w14:paraId="6928DF38">
      <w:pPr>
        <w:pStyle w:val="86"/>
        <w:numPr>
          <w:ilvl w:val="1"/>
          <w:numId w:val="2"/>
        </w:numPr>
        <w:spacing w:before="72" w:beforeLines="30" w:after="72" w:afterLines="30" w:line="240" w:lineRule="auto"/>
        <w:ind w:left="0" w:firstLine="0"/>
        <w:rPr>
          <w:rFonts w:ascii="Times New Roman" w:hAnsi="Times New Roman" w:eastAsia="MS Mincho"/>
          <w:color w:val="000000" w:themeColor="text1"/>
          <w:sz w:val="24"/>
          <w:szCs w:val="24"/>
          <w14:textFill>
            <w14:solidFill>
              <w14:schemeClr w14:val="tx1"/>
            </w14:solidFill>
          </w14:textFill>
        </w:rPr>
      </w:pPr>
      <w:r>
        <w:rPr>
          <w:rStyle w:val="79"/>
          <w:rFonts w:ascii="Times New Roman" w:hAnsi="Times New Roman" w:eastAsia="Arial"/>
          <w:color w:val="000000" w:themeColor="text1"/>
          <w:sz w:val="24"/>
          <w:szCs w:val="24"/>
          <w14:textFill>
            <w14:solidFill>
              <w14:schemeClr w14:val="tx1"/>
            </w14:solidFill>
          </w14:textFill>
        </w:rPr>
        <w:t xml:space="preserve">Índices de Liquidez Geral (LG), Liquidez Corrente (LC), e Solvência Geral (SG) superiores a 1 (um); </w:t>
      </w:r>
    </w:p>
    <w:p w14:paraId="60084F91">
      <w:pPr>
        <w:pStyle w:val="86"/>
        <w:numPr>
          <w:ilvl w:val="1"/>
          <w:numId w:val="2"/>
        </w:numPr>
        <w:spacing w:before="72" w:beforeLines="30" w:after="72" w:afterLines="30" w:line="240" w:lineRule="auto"/>
        <w:ind w:left="0" w:firstLine="0"/>
        <w:rPr>
          <w:rFonts w:ascii="Times New Roman" w:hAnsi="Times New Roman" w:eastAsia="MS Mincho"/>
          <w:color w:val="000000" w:themeColor="text1"/>
          <w:sz w:val="24"/>
          <w:szCs w:val="24"/>
          <w14:textFill>
            <w14:solidFill>
              <w14:schemeClr w14:val="tx1"/>
            </w14:solidFill>
          </w14:textFill>
        </w:rPr>
      </w:pPr>
      <w:r>
        <w:rPr>
          <w:rStyle w:val="79"/>
          <w:rFonts w:ascii="Times New Roman" w:hAnsi="Times New Roman" w:eastAsia="Arial"/>
          <w:color w:val="000000" w:themeColor="text1"/>
          <w:sz w:val="24"/>
          <w:szCs w:val="24"/>
          <w14:textFill>
            <w14:solidFill>
              <w14:schemeClr w14:val="tx1"/>
            </w14:solidFill>
          </w14:textFill>
        </w:rPr>
        <w:t>As empresas criadas no exercício financeiro da licitação deverão atender a todas as exigências da habilitação e poderão substituir os demonstrativos contábeis pelo balanço de abertura; e</w:t>
      </w:r>
    </w:p>
    <w:p w14:paraId="39E160EB">
      <w:pPr>
        <w:pStyle w:val="86"/>
        <w:numPr>
          <w:ilvl w:val="1"/>
          <w:numId w:val="2"/>
        </w:numPr>
        <w:spacing w:before="72" w:beforeLines="30" w:after="72" w:afterLines="30" w:line="240" w:lineRule="auto"/>
        <w:ind w:left="0" w:firstLine="0"/>
        <w:rPr>
          <w:rStyle w:val="79"/>
          <w:rFonts w:ascii="Times New Roman" w:hAnsi="Times New Roman" w:eastAsia="MS Mincho"/>
          <w:color w:val="000000" w:themeColor="text1"/>
          <w:sz w:val="24"/>
          <w:szCs w:val="24"/>
          <w14:textFill>
            <w14:solidFill>
              <w14:schemeClr w14:val="tx1"/>
            </w14:solidFill>
          </w14:textFill>
        </w:rPr>
      </w:pPr>
      <w:r>
        <w:rPr>
          <w:rStyle w:val="79"/>
          <w:rFonts w:ascii="Times New Roman" w:hAnsi="Times New Roman" w:eastAsia="Arial"/>
          <w:color w:val="000000" w:themeColor="text1"/>
          <w:sz w:val="24"/>
          <w:szCs w:val="24"/>
          <w14:textFill>
            <w14:solidFill>
              <w14:schemeClr w14:val="tx1"/>
            </w14:solidFill>
          </w14:textFill>
        </w:rPr>
        <w:t>Os documentos referidos acima limitar-se-ão ao último exercício no caso de a pessoa jurídica ter sido constituída há menos de 2 (dois) anos. </w:t>
      </w:r>
    </w:p>
    <w:p w14:paraId="164FD8C9">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documentos referidos acima deverão ser exigidos com base no limite definido pela Receita Federal do Brasil para transmissão da Escrituração Contábil Digital - ECD ao Sped.</w:t>
      </w:r>
    </w:p>
    <w:p w14:paraId="103C6074">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Caso a empresa licitante apresente resultado inferior ou igual a 1 (um) em qualquer dos índices de Liquidez Geral (LG), Solvência Geral (SG) e Liquidez Corrente (LC), será exigido para fins de habilitação capital mínimo de </w:t>
      </w:r>
      <w:r>
        <w:rPr>
          <w:rFonts w:ascii="Times New Roman" w:hAnsi="Times New Roman"/>
          <w:b/>
          <w:bCs/>
          <w:color w:val="000000" w:themeColor="text1"/>
          <w:sz w:val="24"/>
          <w:szCs w:val="24"/>
          <w14:textFill>
            <w14:solidFill>
              <w14:schemeClr w14:val="tx1"/>
            </w14:solidFill>
          </w14:textFill>
        </w:rPr>
        <w:t xml:space="preserve">10% (dez por cento) </w:t>
      </w:r>
      <w:r>
        <w:rPr>
          <w:rFonts w:ascii="Times New Roman" w:hAnsi="Times New Roman"/>
          <w:color w:val="000000" w:themeColor="text1"/>
          <w:sz w:val="24"/>
          <w:szCs w:val="24"/>
          <w14:textFill>
            <w14:solidFill>
              <w14:schemeClr w14:val="tx1"/>
            </w14:solidFill>
          </w14:textFill>
        </w:rPr>
        <w:t>do valor total estimado da parcela pertinente.</w:t>
      </w:r>
    </w:p>
    <w:p w14:paraId="774CF5EA">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As empresas criadas no exercício financeiro da licitação deverão atender a todas as exigências da habilitação e poderão substituir os demonstrativos contábeis pelo balanço de abertura. (</w:t>
      </w:r>
      <w:r>
        <w:rPr>
          <w:rFonts w:ascii="Times New Roman" w:hAnsi="Times New Roman"/>
          <w:color w:val="000000" w:themeColor="text1"/>
          <w:sz w:val="24"/>
          <w:szCs w:val="24"/>
          <w:u w:val="single"/>
          <w14:textFill>
            <w14:solidFill>
              <w14:schemeClr w14:val="tx1"/>
            </w14:solidFill>
          </w14:textFill>
        </w:rPr>
        <w:t>Lei nº 14.133, de 2021, art. 65, §1º</w:t>
      </w:r>
      <w:r>
        <w:rPr>
          <w:rFonts w:ascii="Times New Roman" w:hAnsi="Times New Roman"/>
          <w:color w:val="000000" w:themeColor="text1"/>
          <w:sz w:val="24"/>
          <w:szCs w:val="24"/>
          <w14:textFill>
            <w14:solidFill>
              <w14:schemeClr w14:val="tx1"/>
            </w14:solidFill>
          </w14:textFill>
        </w:rPr>
        <w:t>).</w:t>
      </w:r>
    </w:p>
    <w:p w14:paraId="5E82FF8D">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atendimento dos índices econômicos previstos neste item deverá ser atestado mediante declaração assinada por profissional habilitado da área contábil, apresentada pelo fornecedor.</w:t>
      </w:r>
    </w:p>
    <w:p w14:paraId="6292B3A4">
      <w:pPr>
        <w:pStyle w:val="86"/>
        <w:numPr>
          <w:ilvl w:val="0"/>
          <w:numId w:val="0"/>
        </w:numPr>
        <w:spacing w:before="72" w:beforeLines="30" w:after="72" w:afterLines="30" w:line="240" w:lineRule="auto"/>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Qualificação Técnica</w:t>
      </w:r>
    </w:p>
    <w:p w14:paraId="3102783D">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u w:val="single"/>
          <w14:textFill>
            <w14:solidFill>
              <w14:schemeClr w14:val="tx1"/>
            </w14:solidFill>
          </w14:textFill>
        </w:rPr>
      </w:pPr>
      <w:bookmarkStart w:id="28" w:name="_Hlk210743501"/>
      <w:r>
        <w:rPr>
          <w:rFonts w:ascii="Times New Roman" w:hAnsi="Times New Roman"/>
          <w:color w:val="000000" w:themeColor="text1"/>
          <w:sz w:val="24"/>
          <w:szCs w:val="24"/>
          <w14:textFill>
            <w14:solidFill>
              <w14:schemeClr w14:val="tx1"/>
            </w14:solidFill>
          </w14:textFill>
        </w:rPr>
        <w:t xml:space="preserve">Declaração de que o licitante tomou conhecimento de todas as informações e das condições locais necessárias ao cumprimento das obrigações objeto da licitação, a qual será apresentada por meio de </w:t>
      </w:r>
      <w:r>
        <w:rPr>
          <w:rFonts w:ascii="Times New Roman" w:hAnsi="Times New Roman"/>
          <w:color w:val="000000" w:themeColor="text1"/>
          <w:sz w:val="24"/>
          <w:szCs w:val="24"/>
          <w:u w:val="single"/>
          <w14:textFill>
            <w14:solidFill>
              <w14:schemeClr w14:val="tx1"/>
            </w14:solidFill>
          </w14:textFill>
        </w:rPr>
        <w:t>Atestado de Visita Técnica</w:t>
      </w:r>
      <w:r>
        <w:rPr>
          <w:rFonts w:ascii="Times New Roman" w:hAnsi="Times New Roman"/>
          <w:color w:val="000000" w:themeColor="text1"/>
          <w:sz w:val="24"/>
          <w:szCs w:val="24"/>
          <w14:textFill>
            <w14:solidFill>
              <w14:schemeClr w14:val="tx1"/>
            </w14:solidFill>
          </w14:textFill>
        </w:rPr>
        <w:t xml:space="preserve">. Caso o licitante opte por não realizar a vistoria, deverá apresentar </w:t>
      </w:r>
      <w:r>
        <w:rPr>
          <w:rFonts w:ascii="Times New Roman" w:hAnsi="Times New Roman"/>
          <w:color w:val="000000" w:themeColor="text1"/>
          <w:sz w:val="24"/>
          <w:szCs w:val="24"/>
          <w:u w:val="single"/>
          <w14:textFill>
            <w14:solidFill>
              <w14:schemeClr w14:val="tx1"/>
            </w14:solidFill>
          </w14:textFill>
        </w:rPr>
        <w:t>Declaração de Renúncia de Vistoria.</w:t>
      </w:r>
    </w:p>
    <w:p w14:paraId="46CB97F2">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Certidão de Registro e Quitação de Pessoa Jurídica</w:t>
      </w:r>
      <w:r>
        <w:rPr>
          <w:rFonts w:ascii="Times New Roman" w:hAnsi="Times New Roman"/>
          <w:color w:val="000000" w:themeColor="text1"/>
          <w:sz w:val="24"/>
          <w:szCs w:val="24"/>
          <w14:textFill>
            <w14:solidFill>
              <w14:schemeClr w14:val="tx1"/>
            </w14:solidFill>
          </w14:textFill>
        </w:rPr>
        <w:t xml:space="preserve">, em nome da empresa licitante, emitida pela entidade profissional competente, </w:t>
      </w:r>
      <w:r>
        <w:rPr>
          <w:rFonts w:ascii="Times New Roman" w:hAnsi="Times New Roman"/>
          <w:b/>
          <w:bCs/>
          <w:color w:val="000000" w:themeColor="text1"/>
          <w:sz w:val="24"/>
          <w:szCs w:val="24"/>
          <w:u w:val="single"/>
          <w14:textFill>
            <w14:solidFill>
              <w14:schemeClr w14:val="tx1"/>
            </w14:solidFill>
          </w14:textFill>
        </w:rPr>
        <w:t>em plena validade.</w:t>
      </w:r>
    </w:p>
    <w:p w14:paraId="0B910C50">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Qualificação técnico-operacional:</w:t>
      </w:r>
      <w:r>
        <w:rPr>
          <w:rFonts w:ascii="Times New Roman" w:hAnsi="Times New Roman"/>
          <w:color w:val="000000" w:themeColor="text1"/>
          <w:sz w:val="24"/>
          <w:szCs w:val="24"/>
          <w14:textFill>
            <w14:solidFill>
              <w14:schemeClr w14:val="tx1"/>
            </w14:solidFill>
          </w14:textFill>
        </w:rPr>
        <w:t xml:space="preserve"> Comprovação de aptidão para execução de serviços técnicos de complexidade tecnológica e operacional equivalente ou superior ao objeto desta contratação, por meio da apresentação certidão(ões) ou atestado(s) emitido(s) por pessoas jurídicas de direito público ou privado, ou regularmente emitido(s) pelo conselho profissional competente.</w:t>
      </w:r>
    </w:p>
    <w:p w14:paraId="56921408">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Para fins de comprovação do atendimento ao disposto neste subitem, os atestados apresentados deverão referir-se à execução de contratos com características iguais ou similares ao objeto licitado, contemplando, no mínimo, os itens e quantitativos indicados na tabela a seguir:</w:t>
      </w:r>
    </w:p>
    <w:bookmarkEnd w:id="28"/>
    <w:tbl>
      <w:tblPr>
        <w:tblStyle w:val="12"/>
        <w:tblW w:w="505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1075"/>
        <w:gridCol w:w="5404"/>
        <w:gridCol w:w="842"/>
        <w:gridCol w:w="2207"/>
      </w:tblGrid>
      <w:tr w14:paraId="1B850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564" w:type="pct"/>
            <w:tcBorders>
              <w:top w:val="single" w:color="auto" w:sz="4" w:space="0"/>
              <w:left w:val="single" w:color="auto" w:sz="4" w:space="0"/>
              <w:bottom w:val="single" w:color="auto" w:sz="4" w:space="0"/>
              <w:right w:val="single" w:color="auto" w:sz="4" w:space="0"/>
            </w:tcBorders>
            <w:shd w:val="clear" w:color="auto" w:fill="D9D9D9"/>
            <w:vAlign w:val="center"/>
          </w:tcPr>
          <w:p w14:paraId="3D174EDF">
            <w:pPr>
              <w:spacing w:before="72" w:beforeLines="30" w:after="72" w:afterLines="30"/>
              <w:jc w:val="center"/>
              <w:rPr>
                <w:b/>
                <w:bCs/>
                <w:color w:val="000000" w:themeColor="text1"/>
                <w:szCs w:val="24"/>
                <w:lang w:eastAsia="en-US"/>
                <w14:textFill>
                  <w14:solidFill>
                    <w14:schemeClr w14:val="tx1"/>
                  </w14:solidFill>
                </w14:textFill>
              </w:rPr>
            </w:pPr>
            <w:bookmarkStart w:id="29" w:name="_Hlk210743461"/>
            <w:r>
              <w:rPr>
                <w:b/>
                <w:bCs/>
                <w:color w:val="000000" w:themeColor="text1"/>
                <w:szCs w:val="24"/>
                <w:lang w:eastAsia="en-US"/>
                <w14:textFill>
                  <w14:solidFill>
                    <w14:schemeClr w14:val="tx1"/>
                  </w14:solidFill>
                </w14:textFill>
              </w:rPr>
              <w:t>Item</w:t>
            </w:r>
          </w:p>
        </w:tc>
        <w:tc>
          <w:tcPr>
            <w:tcW w:w="2836" w:type="pct"/>
            <w:tcBorders>
              <w:top w:val="single" w:color="auto" w:sz="4" w:space="0"/>
              <w:left w:val="single" w:color="auto" w:sz="4" w:space="0"/>
              <w:bottom w:val="single" w:color="auto" w:sz="4" w:space="0"/>
              <w:right w:val="single" w:color="auto" w:sz="4" w:space="0"/>
            </w:tcBorders>
            <w:shd w:val="clear" w:color="auto" w:fill="D9D9D9"/>
            <w:vAlign w:val="center"/>
          </w:tcPr>
          <w:p w14:paraId="4239A44B">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Descrição / Serviços Executados</w:t>
            </w:r>
          </w:p>
        </w:tc>
        <w:tc>
          <w:tcPr>
            <w:tcW w:w="442" w:type="pct"/>
            <w:tcBorders>
              <w:top w:val="single" w:color="auto" w:sz="4" w:space="0"/>
              <w:left w:val="single" w:color="auto" w:sz="4" w:space="0"/>
              <w:bottom w:val="single" w:color="auto" w:sz="4" w:space="0"/>
              <w:right w:val="single" w:color="auto" w:sz="4" w:space="0"/>
            </w:tcBorders>
            <w:shd w:val="clear" w:color="auto" w:fill="D9D9D9"/>
            <w:vAlign w:val="center"/>
          </w:tcPr>
          <w:p w14:paraId="38609E93">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Un</w:t>
            </w:r>
          </w:p>
        </w:tc>
        <w:tc>
          <w:tcPr>
            <w:tcW w:w="1158" w:type="pct"/>
            <w:tcBorders>
              <w:top w:val="single" w:color="auto" w:sz="4" w:space="0"/>
              <w:left w:val="single" w:color="auto" w:sz="4" w:space="0"/>
              <w:bottom w:val="single" w:color="auto" w:sz="4" w:space="0"/>
              <w:right w:val="single" w:color="auto" w:sz="4" w:space="0"/>
            </w:tcBorders>
            <w:shd w:val="clear" w:color="auto" w:fill="D9D9D9"/>
          </w:tcPr>
          <w:p w14:paraId="6DB03242">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Quantidade</w:t>
            </w:r>
          </w:p>
        </w:tc>
      </w:tr>
      <w:tr w14:paraId="44098A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5A137151">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4.1</w:t>
            </w:r>
          </w:p>
        </w:tc>
        <w:tc>
          <w:tcPr>
            <w:tcW w:w="2836" w:type="pct"/>
            <w:tcBorders>
              <w:top w:val="single" w:color="auto" w:sz="4" w:space="0"/>
              <w:left w:val="single" w:color="auto" w:sz="4" w:space="0"/>
              <w:bottom w:val="single" w:color="auto" w:sz="4" w:space="0"/>
              <w:right w:val="single" w:color="auto" w:sz="4" w:space="0"/>
            </w:tcBorders>
            <w:vAlign w:val="center"/>
          </w:tcPr>
          <w:p w14:paraId="36EF16C7">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TRAMA DE AÇO COMPOSTA POR TERÇAS PARA TELHADOS DE ATÉ 2 ÁGUAS PARA TELHA ONDULADA DE FIBROCIMENTO, METÁLICA, PLÁSTICA OU TERMOACÚSTICA, INCLUSO TRANSPORTE VERTICAL.</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0D49AEC8">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5EC2E401">
            <w:pPr>
              <w:spacing w:before="72" w:beforeLines="30" w:after="72" w:afterLines="30"/>
              <w:jc w:val="center"/>
              <w:rPr>
                <w:color w:val="000000" w:themeColor="text1"/>
                <w:szCs w:val="24"/>
                <w:lang w:eastAsia="en-US"/>
                <w14:textFill>
                  <w14:solidFill>
                    <w14:schemeClr w14:val="tx1"/>
                  </w14:solidFill>
                </w14:textFill>
              </w:rPr>
            </w:pPr>
          </w:p>
          <w:p w14:paraId="75B1E0CA">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132,00</w:t>
            </w:r>
          </w:p>
        </w:tc>
      </w:tr>
      <w:tr w14:paraId="287EC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3D200B7C">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4.2</w:t>
            </w:r>
          </w:p>
        </w:tc>
        <w:tc>
          <w:tcPr>
            <w:tcW w:w="2836" w:type="pct"/>
            <w:tcBorders>
              <w:top w:val="single" w:color="auto" w:sz="4" w:space="0"/>
              <w:left w:val="single" w:color="auto" w:sz="4" w:space="0"/>
              <w:bottom w:val="single" w:color="auto" w:sz="4" w:space="0"/>
              <w:right w:val="single" w:color="auto" w:sz="4" w:space="0"/>
            </w:tcBorders>
            <w:vAlign w:val="center"/>
          </w:tcPr>
          <w:p w14:paraId="1165626D">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TELHAMENTO COM TELHA METÁLICA TERMOACÚSTICA E = 30 MM, COM ATÉ 2 ÁGUAS, INCLUSO IÇAMENTO.</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797DA2EC">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63E021D5">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132,00</w:t>
            </w:r>
          </w:p>
        </w:tc>
      </w:tr>
      <w:tr w14:paraId="28FA0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2318A291">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5.1</w:t>
            </w:r>
          </w:p>
        </w:tc>
        <w:tc>
          <w:tcPr>
            <w:tcW w:w="2836" w:type="pct"/>
            <w:tcBorders>
              <w:top w:val="single" w:color="auto" w:sz="4" w:space="0"/>
              <w:left w:val="single" w:color="auto" w:sz="4" w:space="0"/>
              <w:bottom w:val="single" w:color="auto" w:sz="4" w:space="0"/>
              <w:right w:val="single" w:color="auto" w:sz="4" w:space="0"/>
            </w:tcBorders>
            <w:vAlign w:val="center"/>
          </w:tcPr>
          <w:p w14:paraId="0321677A">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ALVENARIA DE VEDAÇÃO DE BLOCOS CERÂMICOS FURADOS NA HORIZONTAL DE 9X19X19 CM (ESPESSURA 9 CM) E ARGAMASSA DE ASSENTAMENTO COM PREPARO EM BETONEIRA.</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338B5BC8">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044CE4CC">
            <w:pPr>
              <w:spacing w:before="72" w:beforeLines="30" w:after="72" w:afterLines="30"/>
              <w:jc w:val="center"/>
              <w:rPr>
                <w:color w:val="000000" w:themeColor="text1"/>
                <w:szCs w:val="24"/>
                <w:lang w:eastAsia="en-US"/>
                <w14:textFill>
                  <w14:solidFill>
                    <w14:schemeClr w14:val="tx1"/>
                  </w14:solidFill>
                </w14:textFill>
              </w:rPr>
            </w:pPr>
          </w:p>
          <w:p w14:paraId="14F22820">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146,00</w:t>
            </w:r>
          </w:p>
        </w:tc>
      </w:tr>
      <w:tr w14:paraId="7C4A6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1B14A070">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6.2</w:t>
            </w:r>
          </w:p>
        </w:tc>
        <w:tc>
          <w:tcPr>
            <w:tcW w:w="2836" w:type="pct"/>
            <w:tcBorders>
              <w:top w:val="single" w:color="auto" w:sz="4" w:space="0"/>
              <w:left w:val="single" w:color="auto" w:sz="4" w:space="0"/>
              <w:bottom w:val="single" w:color="auto" w:sz="4" w:space="0"/>
              <w:right w:val="single" w:color="auto" w:sz="4" w:space="0"/>
            </w:tcBorders>
            <w:vAlign w:val="center"/>
          </w:tcPr>
          <w:p w14:paraId="015BB2DF">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MASSA ÚNICA, EM ARGAMASSA TRAÇO 1:2:8 PREPARO MECÂNICO, APLICADA MANUALMENTE EM PAREDES INTERNAS DE AMBIENTES COM ÁREA MAIOR QUE 10M², E = 10MM, COM TALISCAS.</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35E9C1BF">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63BA80B8">
            <w:pPr>
              <w:spacing w:before="72" w:beforeLines="30" w:after="72" w:afterLines="30"/>
              <w:jc w:val="center"/>
              <w:rPr>
                <w:color w:val="000000" w:themeColor="text1"/>
                <w:szCs w:val="24"/>
                <w:lang w:eastAsia="en-US"/>
                <w14:textFill>
                  <w14:solidFill>
                    <w14:schemeClr w14:val="tx1"/>
                  </w14:solidFill>
                </w14:textFill>
              </w:rPr>
            </w:pPr>
          </w:p>
          <w:p w14:paraId="04E91154">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292,00</w:t>
            </w:r>
          </w:p>
        </w:tc>
      </w:tr>
      <w:tr w14:paraId="4B556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4D84D9CF">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7.1</w:t>
            </w:r>
          </w:p>
        </w:tc>
        <w:tc>
          <w:tcPr>
            <w:tcW w:w="2836" w:type="pct"/>
            <w:tcBorders>
              <w:top w:val="single" w:color="auto" w:sz="4" w:space="0"/>
              <w:left w:val="single" w:color="auto" w:sz="4" w:space="0"/>
              <w:bottom w:val="single" w:color="auto" w:sz="4" w:space="0"/>
              <w:right w:val="single" w:color="auto" w:sz="4" w:space="0"/>
            </w:tcBorders>
            <w:vAlign w:val="center"/>
          </w:tcPr>
          <w:p w14:paraId="7CA4C651">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CONTRAPISO EM ARGAMASSA TRAÇO 1:4 (CIMENTO E AREIA), PREPARO MANUAL, APLICADO EM ÁREAS MOLHADAS SOBRE IMPERMEABILIZAÇÃO, ACABAMENTO NÃO REFORÇADO, ESPESSURA 4CM.</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585915BF">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6CA43832">
            <w:pPr>
              <w:spacing w:before="72" w:beforeLines="30" w:after="72" w:afterLines="30"/>
              <w:jc w:val="center"/>
              <w:rPr>
                <w:color w:val="000000" w:themeColor="text1"/>
                <w:szCs w:val="24"/>
                <w:lang w:eastAsia="en-US"/>
                <w14:textFill>
                  <w14:solidFill>
                    <w14:schemeClr w14:val="tx1"/>
                  </w14:solidFill>
                </w14:textFill>
              </w:rPr>
            </w:pPr>
          </w:p>
          <w:p w14:paraId="730CC102">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113,00</w:t>
            </w:r>
          </w:p>
        </w:tc>
      </w:tr>
      <w:tr w14:paraId="2B41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26F01FA8">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7.2</w:t>
            </w:r>
          </w:p>
        </w:tc>
        <w:tc>
          <w:tcPr>
            <w:tcW w:w="2836" w:type="pct"/>
            <w:tcBorders>
              <w:top w:val="single" w:color="auto" w:sz="4" w:space="0"/>
              <w:left w:val="single" w:color="auto" w:sz="4" w:space="0"/>
              <w:bottom w:val="single" w:color="auto" w:sz="4" w:space="0"/>
              <w:right w:val="single" w:color="auto" w:sz="4" w:space="0"/>
            </w:tcBorders>
            <w:vAlign w:val="center"/>
          </w:tcPr>
          <w:p w14:paraId="64FB454C">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REVESTIMENTO CERÂMICO PARA PISO COM PLACAS TIPO ESMALTADA DE DIMENSÕES 60X60 CM APLICADA EM AMBIENTES DE ÁREA MAIOR QUE 10 M2.</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169E6993">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5644F4A2">
            <w:pPr>
              <w:spacing w:before="72" w:beforeLines="30" w:after="72" w:afterLines="30"/>
              <w:jc w:val="center"/>
              <w:rPr>
                <w:color w:val="000000" w:themeColor="text1"/>
                <w:szCs w:val="24"/>
                <w:lang w:eastAsia="en-US"/>
                <w14:textFill>
                  <w14:solidFill>
                    <w14:schemeClr w14:val="tx1"/>
                  </w14:solidFill>
                </w14:textFill>
              </w:rPr>
            </w:pPr>
          </w:p>
          <w:p w14:paraId="2E69C897">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113,00</w:t>
            </w:r>
          </w:p>
        </w:tc>
      </w:tr>
      <w:bookmarkEnd w:id="29"/>
    </w:tbl>
    <w:p w14:paraId="78732B28">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Certidão de Registro e Quitação de Pessoa Física</w:t>
      </w:r>
      <w:r>
        <w:rPr>
          <w:rFonts w:ascii="Times New Roman" w:hAnsi="Times New Roman"/>
          <w:color w:val="000000" w:themeColor="text1"/>
          <w:sz w:val="24"/>
          <w:szCs w:val="24"/>
          <w14:textFill>
            <w14:solidFill>
              <w14:schemeClr w14:val="tx1"/>
            </w14:solidFill>
          </w14:textFill>
        </w:rPr>
        <w:t xml:space="preserve">, em nome dos profissionais responsáveis técnicos pelas obras constantes do(s) atestado(s) de capacidade técnica apresentados, emitida pela entidade profissional competente, </w:t>
      </w:r>
      <w:r>
        <w:rPr>
          <w:rFonts w:ascii="Times New Roman" w:hAnsi="Times New Roman"/>
          <w:b/>
          <w:bCs/>
          <w:color w:val="000000" w:themeColor="text1"/>
          <w:sz w:val="24"/>
          <w:szCs w:val="24"/>
          <w:u w:val="single"/>
          <w14:textFill>
            <w14:solidFill>
              <w14:schemeClr w14:val="tx1"/>
            </w14:solidFill>
          </w14:textFill>
        </w:rPr>
        <w:t>em plena validade.</w:t>
      </w:r>
    </w:p>
    <w:p w14:paraId="754BA599">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 xml:space="preserve">Qualificação técnico-profissional: </w:t>
      </w:r>
      <w:r>
        <w:rPr>
          <w:rFonts w:ascii="Times New Roman" w:hAnsi="Times New Roman"/>
          <w:color w:val="000000" w:themeColor="text1"/>
          <w:sz w:val="24"/>
          <w:szCs w:val="24"/>
          <w14:textFill>
            <w14:solidFill>
              <w14:schemeClr w14:val="tx1"/>
            </w14:solidFill>
          </w14:textFill>
        </w:rPr>
        <w:t>Apresentação de profissional devidamente registrado no conselho profissional competente, detentor de atestado de responsabilidade técnica, com comprovação por meio de Certidão de Acervo Técnico (CAT) ou Certidão de Acervo Técnico com Atestado (CAT-A), referente à execução de obra de características semelhantes, para fins de contratação.</w:t>
      </w:r>
    </w:p>
    <w:p w14:paraId="4310A539">
      <w:pPr>
        <w:pStyle w:val="88"/>
        <w:numPr>
          <w:ilvl w:val="2"/>
          <w:numId w:val="2"/>
        </w:numPr>
        <w:spacing w:before="72" w:beforeLines="30" w:after="72" w:afterLines="30" w:line="240" w:lineRule="auto"/>
        <w:ind w:left="0" w:firstLine="0"/>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Para fins de comprovação do atendimento ao disposto neste subitem, os atestados apresentados deverão referir-se à execução de contratos com características iguais ou similares ao objeto licitado, contemplando, no mínimo, os itens indicados na tabela a seguir:</w:t>
      </w:r>
    </w:p>
    <w:tbl>
      <w:tblPr>
        <w:tblStyle w:val="12"/>
        <w:tblW w:w="5052"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1075"/>
        <w:gridCol w:w="5404"/>
        <w:gridCol w:w="842"/>
        <w:gridCol w:w="2207"/>
      </w:tblGrid>
      <w:tr w14:paraId="587A2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83" w:hRule="atLeast"/>
        </w:trPr>
        <w:tc>
          <w:tcPr>
            <w:tcW w:w="564" w:type="pct"/>
            <w:tcBorders>
              <w:top w:val="single" w:color="auto" w:sz="4" w:space="0"/>
              <w:left w:val="single" w:color="auto" w:sz="4" w:space="0"/>
              <w:bottom w:val="single" w:color="auto" w:sz="4" w:space="0"/>
              <w:right w:val="single" w:color="auto" w:sz="4" w:space="0"/>
            </w:tcBorders>
            <w:shd w:val="clear" w:color="auto" w:fill="D9D9D9"/>
            <w:vAlign w:val="center"/>
          </w:tcPr>
          <w:p w14:paraId="57CCA014">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Item</w:t>
            </w:r>
          </w:p>
        </w:tc>
        <w:tc>
          <w:tcPr>
            <w:tcW w:w="2836" w:type="pct"/>
            <w:tcBorders>
              <w:top w:val="single" w:color="auto" w:sz="4" w:space="0"/>
              <w:left w:val="single" w:color="auto" w:sz="4" w:space="0"/>
              <w:bottom w:val="single" w:color="auto" w:sz="4" w:space="0"/>
              <w:right w:val="single" w:color="auto" w:sz="4" w:space="0"/>
            </w:tcBorders>
            <w:shd w:val="clear" w:color="auto" w:fill="D9D9D9"/>
            <w:vAlign w:val="center"/>
          </w:tcPr>
          <w:p w14:paraId="6025F582">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Descrição / Serviços Executados</w:t>
            </w:r>
          </w:p>
        </w:tc>
        <w:tc>
          <w:tcPr>
            <w:tcW w:w="442" w:type="pct"/>
            <w:tcBorders>
              <w:top w:val="single" w:color="auto" w:sz="4" w:space="0"/>
              <w:left w:val="single" w:color="auto" w:sz="4" w:space="0"/>
              <w:bottom w:val="single" w:color="auto" w:sz="4" w:space="0"/>
              <w:right w:val="single" w:color="auto" w:sz="4" w:space="0"/>
            </w:tcBorders>
            <w:shd w:val="clear" w:color="auto" w:fill="D9D9D9"/>
            <w:vAlign w:val="center"/>
          </w:tcPr>
          <w:p w14:paraId="2B4858B1">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Un</w:t>
            </w:r>
          </w:p>
        </w:tc>
        <w:tc>
          <w:tcPr>
            <w:tcW w:w="1158" w:type="pct"/>
            <w:tcBorders>
              <w:top w:val="single" w:color="auto" w:sz="4" w:space="0"/>
              <w:left w:val="single" w:color="auto" w:sz="4" w:space="0"/>
              <w:bottom w:val="single" w:color="auto" w:sz="4" w:space="0"/>
              <w:right w:val="single" w:color="auto" w:sz="4" w:space="0"/>
            </w:tcBorders>
            <w:shd w:val="clear" w:color="auto" w:fill="D9D9D9"/>
          </w:tcPr>
          <w:p w14:paraId="117F3753">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Quantidade</w:t>
            </w:r>
          </w:p>
        </w:tc>
      </w:tr>
      <w:tr w14:paraId="7EC3A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61462907">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4.1</w:t>
            </w:r>
          </w:p>
        </w:tc>
        <w:tc>
          <w:tcPr>
            <w:tcW w:w="2836" w:type="pct"/>
            <w:tcBorders>
              <w:top w:val="single" w:color="auto" w:sz="4" w:space="0"/>
              <w:left w:val="single" w:color="auto" w:sz="4" w:space="0"/>
              <w:bottom w:val="single" w:color="auto" w:sz="4" w:space="0"/>
              <w:right w:val="single" w:color="auto" w:sz="4" w:space="0"/>
            </w:tcBorders>
            <w:vAlign w:val="center"/>
          </w:tcPr>
          <w:p w14:paraId="5BA0DB7D">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TRAMA DE AÇO COMPOSTA POR TERÇAS PARA TELHADOS DE ATÉ 2 ÁGUAS PARA TELHA ONDULADA DE FIBROCIMENTO, METÁLICA, PLÁSTICA OU TERMOACÚSTICA, INCLUSO TRANSPORTE VERTICAL.</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45114478">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427C8550">
            <w:pPr>
              <w:spacing w:before="72" w:beforeLines="30" w:after="72" w:afterLines="30"/>
              <w:jc w:val="center"/>
              <w:rPr>
                <w:color w:val="000000" w:themeColor="text1"/>
                <w:szCs w:val="24"/>
                <w:lang w:eastAsia="en-US"/>
                <w14:textFill>
                  <w14:solidFill>
                    <w14:schemeClr w14:val="tx1"/>
                  </w14:solidFill>
                </w14:textFill>
              </w:rPr>
            </w:pPr>
          </w:p>
          <w:p w14:paraId="3E13201C">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w:t>
            </w:r>
          </w:p>
        </w:tc>
      </w:tr>
      <w:tr w14:paraId="1DFED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3312679E">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4.2</w:t>
            </w:r>
          </w:p>
        </w:tc>
        <w:tc>
          <w:tcPr>
            <w:tcW w:w="2836" w:type="pct"/>
            <w:tcBorders>
              <w:top w:val="single" w:color="auto" w:sz="4" w:space="0"/>
              <w:left w:val="single" w:color="auto" w:sz="4" w:space="0"/>
              <w:bottom w:val="single" w:color="auto" w:sz="4" w:space="0"/>
              <w:right w:val="single" w:color="auto" w:sz="4" w:space="0"/>
            </w:tcBorders>
            <w:vAlign w:val="center"/>
          </w:tcPr>
          <w:p w14:paraId="641DE619">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TELHAMENTO COM TELHA METÁLICA TERMOACÚSTICA E = 30 MM, COM ATÉ 2 ÁGUAS, INCLUSO IÇAMENTO.</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6A1134C8">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3122C57B">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w:t>
            </w:r>
          </w:p>
        </w:tc>
      </w:tr>
      <w:tr w14:paraId="52D96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559553B8">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5.1</w:t>
            </w:r>
          </w:p>
        </w:tc>
        <w:tc>
          <w:tcPr>
            <w:tcW w:w="2836" w:type="pct"/>
            <w:tcBorders>
              <w:top w:val="single" w:color="auto" w:sz="4" w:space="0"/>
              <w:left w:val="single" w:color="auto" w:sz="4" w:space="0"/>
              <w:bottom w:val="single" w:color="auto" w:sz="4" w:space="0"/>
              <w:right w:val="single" w:color="auto" w:sz="4" w:space="0"/>
            </w:tcBorders>
            <w:vAlign w:val="center"/>
          </w:tcPr>
          <w:p w14:paraId="5CB9ACA2">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ALVENARIA DE VEDAÇÃO DE BLOCOS CERÂMICOS FURADOS NA HORIZONTAL DE 9X19X19 CM (ESPESSURA 9 CM) E ARGAMASSA DE ASSENTAMENTO COM PREPARO EM BETONEIRA.</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5A20A72E">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31BA71DE">
            <w:pPr>
              <w:spacing w:before="72" w:beforeLines="30" w:after="72" w:afterLines="30"/>
              <w:jc w:val="center"/>
              <w:rPr>
                <w:color w:val="000000" w:themeColor="text1"/>
                <w:szCs w:val="24"/>
                <w:lang w:eastAsia="en-US"/>
                <w14:textFill>
                  <w14:solidFill>
                    <w14:schemeClr w14:val="tx1"/>
                  </w14:solidFill>
                </w14:textFill>
              </w:rPr>
            </w:pPr>
          </w:p>
          <w:p w14:paraId="58AF298A">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w:t>
            </w:r>
          </w:p>
        </w:tc>
      </w:tr>
      <w:tr w14:paraId="593B6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7A9539DC">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6.2</w:t>
            </w:r>
          </w:p>
        </w:tc>
        <w:tc>
          <w:tcPr>
            <w:tcW w:w="2836" w:type="pct"/>
            <w:tcBorders>
              <w:top w:val="single" w:color="auto" w:sz="4" w:space="0"/>
              <w:left w:val="single" w:color="auto" w:sz="4" w:space="0"/>
              <w:bottom w:val="single" w:color="auto" w:sz="4" w:space="0"/>
              <w:right w:val="single" w:color="auto" w:sz="4" w:space="0"/>
            </w:tcBorders>
            <w:vAlign w:val="center"/>
          </w:tcPr>
          <w:p w14:paraId="49D997C5">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MASSA ÚNICA, EM ARGAMASSA TRAÇO 1:2:8 PREPARO MECÂNICO, APLICADA MANUALMENTE EM PAREDES INTERNAS DE AMBIENTES COM ÁREA MAIOR QUE 10M², E = 10MM, COM TALISCAS.</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3BA03B4E">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0D0FF7E8">
            <w:pPr>
              <w:spacing w:before="72" w:beforeLines="30" w:after="72" w:afterLines="30"/>
              <w:jc w:val="center"/>
              <w:rPr>
                <w:color w:val="000000" w:themeColor="text1"/>
                <w:szCs w:val="24"/>
                <w:lang w:eastAsia="en-US"/>
                <w14:textFill>
                  <w14:solidFill>
                    <w14:schemeClr w14:val="tx1"/>
                  </w14:solidFill>
                </w14:textFill>
              </w:rPr>
            </w:pPr>
          </w:p>
          <w:p w14:paraId="38A62738">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w:t>
            </w:r>
          </w:p>
        </w:tc>
      </w:tr>
      <w:tr w14:paraId="14CE2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562DEE08">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7.1</w:t>
            </w:r>
          </w:p>
        </w:tc>
        <w:tc>
          <w:tcPr>
            <w:tcW w:w="2836" w:type="pct"/>
            <w:tcBorders>
              <w:top w:val="single" w:color="auto" w:sz="4" w:space="0"/>
              <w:left w:val="single" w:color="auto" w:sz="4" w:space="0"/>
              <w:bottom w:val="single" w:color="auto" w:sz="4" w:space="0"/>
              <w:right w:val="single" w:color="auto" w:sz="4" w:space="0"/>
            </w:tcBorders>
            <w:vAlign w:val="center"/>
          </w:tcPr>
          <w:p w14:paraId="3B118A2A">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CONTRAPISO EM ARGAMASSA TRAÇO 1:4 (CIMENTO E AREIA), PREPARO MANUAL, APLICADO EM ÁREAS MOLHADAS SOBRE IMPERMEABILIZAÇÃO, ACABAMENTO NÃO REFORÇADO, ESPESSURA 4CM.</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2AEE3E42">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10D72B04">
            <w:pPr>
              <w:spacing w:before="72" w:beforeLines="30" w:after="72" w:afterLines="30"/>
              <w:jc w:val="center"/>
              <w:rPr>
                <w:color w:val="000000" w:themeColor="text1"/>
                <w:szCs w:val="24"/>
                <w:lang w:eastAsia="en-US"/>
                <w14:textFill>
                  <w14:solidFill>
                    <w14:schemeClr w14:val="tx1"/>
                  </w14:solidFill>
                </w14:textFill>
              </w:rPr>
            </w:pPr>
          </w:p>
          <w:p w14:paraId="299A0568">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w:t>
            </w:r>
          </w:p>
        </w:tc>
      </w:tr>
      <w:tr w14:paraId="0930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56" w:hRule="atLeast"/>
        </w:trPr>
        <w:tc>
          <w:tcPr>
            <w:tcW w:w="564" w:type="pct"/>
            <w:tcBorders>
              <w:top w:val="single" w:color="auto" w:sz="4" w:space="0"/>
              <w:left w:val="single" w:color="auto" w:sz="4" w:space="0"/>
              <w:bottom w:val="single" w:color="auto" w:sz="4" w:space="0"/>
              <w:right w:val="single" w:color="auto" w:sz="4" w:space="0"/>
            </w:tcBorders>
            <w:shd w:val="clear" w:color="auto" w:fill="D9D9D9"/>
            <w:tcMar>
              <w:top w:w="91" w:type="dxa"/>
              <w:left w:w="108" w:type="dxa"/>
              <w:bottom w:w="91" w:type="dxa"/>
              <w:right w:w="108" w:type="dxa"/>
            </w:tcMar>
            <w:vAlign w:val="center"/>
          </w:tcPr>
          <w:p w14:paraId="44F42391">
            <w:pPr>
              <w:spacing w:before="72" w:beforeLines="30" w:after="72" w:afterLines="30"/>
              <w:jc w:val="center"/>
              <w:rPr>
                <w:b/>
                <w:bCs/>
                <w:color w:val="000000" w:themeColor="text1"/>
                <w:szCs w:val="24"/>
                <w:lang w:eastAsia="en-US"/>
                <w14:textFill>
                  <w14:solidFill>
                    <w14:schemeClr w14:val="tx1"/>
                  </w14:solidFill>
                </w14:textFill>
              </w:rPr>
            </w:pPr>
            <w:r>
              <w:rPr>
                <w:b/>
                <w:bCs/>
                <w:color w:val="000000" w:themeColor="text1"/>
                <w:szCs w:val="24"/>
                <w:lang w:eastAsia="en-US"/>
                <w14:textFill>
                  <w14:solidFill>
                    <w14:schemeClr w14:val="tx1"/>
                  </w14:solidFill>
                </w14:textFill>
              </w:rPr>
              <w:t>7.2</w:t>
            </w:r>
          </w:p>
        </w:tc>
        <w:tc>
          <w:tcPr>
            <w:tcW w:w="2836" w:type="pct"/>
            <w:tcBorders>
              <w:top w:val="single" w:color="auto" w:sz="4" w:space="0"/>
              <w:left w:val="single" w:color="auto" w:sz="4" w:space="0"/>
              <w:bottom w:val="single" w:color="auto" w:sz="4" w:space="0"/>
              <w:right w:val="single" w:color="auto" w:sz="4" w:space="0"/>
            </w:tcBorders>
            <w:vAlign w:val="center"/>
          </w:tcPr>
          <w:p w14:paraId="65054C30">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REVESTIMENTO CERÂMICO PARA PISO COM PLACAS TIPO ESMALTADA DE DIMENSÕES 60X60 CM APLICADA EM AMBIENTES DE ÁREA MAIOR QUE 10 M2.</w:t>
            </w:r>
          </w:p>
        </w:tc>
        <w:tc>
          <w:tcPr>
            <w:tcW w:w="442" w:type="pct"/>
            <w:tcBorders>
              <w:top w:val="single" w:color="auto" w:sz="4" w:space="0"/>
              <w:left w:val="single" w:color="auto" w:sz="4" w:space="0"/>
              <w:bottom w:val="single" w:color="auto" w:sz="4" w:space="0"/>
              <w:right w:val="single" w:color="auto" w:sz="4" w:space="0"/>
            </w:tcBorders>
            <w:tcMar>
              <w:top w:w="91" w:type="dxa"/>
              <w:left w:w="108" w:type="dxa"/>
              <w:bottom w:w="91" w:type="dxa"/>
              <w:right w:w="108" w:type="dxa"/>
            </w:tcMar>
            <w:vAlign w:val="center"/>
          </w:tcPr>
          <w:p w14:paraId="1748B777">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m²</w:t>
            </w:r>
          </w:p>
        </w:tc>
        <w:tc>
          <w:tcPr>
            <w:tcW w:w="1158" w:type="pct"/>
            <w:tcBorders>
              <w:top w:val="single" w:color="auto" w:sz="4" w:space="0"/>
              <w:left w:val="single" w:color="auto" w:sz="4" w:space="0"/>
              <w:bottom w:val="single" w:color="auto" w:sz="4" w:space="0"/>
              <w:right w:val="single" w:color="auto" w:sz="4" w:space="0"/>
            </w:tcBorders>
          </w:tcPr>
          <w:p w14:paraId="5BB30487">
            <w:pPr>
              <w:spacing w:before="72" w:beforeLines="30" w:after="72" w:afterLines="30"/>
              <w:jc w:val="center"/>
              <w:rPr>
                <w:color w:val="000000" w:themeColor="text1"/>
                <w:szCs w:val="24"/>
                <w:lang w:eastAsia="en-US"/>
                <w14:textFill>
                  <w14:solidFill>
                    <w14:schemeClr w14:val="tx1"/>
                  </w14:solidFill>
                </w14:textFill>
              </w:rPr>
            </w:pPr>
          </w:p>
          <w:p w14:paraId="7DC1A700">
            <w:pPr>
              <w:spacing w:before="72" w:beforeLines="30" w:after="72" w:afterLines="30"/>
              <w:jc w:val="center"/>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w:t>
            </w:r>
          </w:p>
        </w:tc>
      </w:tr>
    </w:tbl>
    <w:p w14:paraId="2A08285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profissional(is) indicado(s) na forma supra deverá(ão) participar diretamente da execução dos serviços objeto do contrato, sendo admitida a substituição por profissional(is) com experiência equivalente ou superior, desde que previamente aprovada pela Administração.</w:t>
      </w:r>
    </w:p>
    <w:p w14:paraId="16016987">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Os atestados de capacidade técnica poderão ser apresentados em nome da matriz ou da filial da empresa licitante.</w:t>
      </w:r>
    </w:p>
    <w:p w14:paraId="4F3A2F8B">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comprovação do vínculo profissional do responsável técnico com o licitante deverá ser feita mediante a apresentação de um dos seguintes documentos:</w:t>
      </w:r>
    </w:p>
    <w:p w14:paraId="063EB6A0">
      <w:pPr>
        <w:pStyle w:val="86"/>
        <w:numPr>
          <w:ilvl w:val="0"/>
          <w:numId w:val="0"/>
        </w:numPr>
        <w:spacing w:before="72" w:beforeLines="30" w:after="72" w:afterLines="30" w:line="240" w:lineRule="auto"/>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a) Sócio que comprove seu vínculo por intermédio de contrato social/estatuto social;</w:t>
      </w:r>
    </w:p>
    <w:p w14:paraId="2EF0C469">
      <w:pPr>
        <w:pStyle w:val="86"/>
        <w:numPr>
          <w:ilvl w:val="0"/>
          <w:numId w:val="0"/>
        </w:numPr>
        <w:spacing w:before="72" w:beforeLines="30" w:after="72" w:afterLines="30" w:line="240" w:lineRule="auto"/>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b) Administrador ou diretor;</w:t>
      </w:r>
    </w:p>
    <w:p w14:paraId="65ABB108">
      <w:pPr>
        <w:pStyle w:val="86"/>
        <w:numPr>
          <w:ilvl w:val="0"/>
          <w:numId w:val="0"/>
        </w:numPr>
        <w:spacing w:before="72" w:beforeLines="30" w:after="72" w:afterLines="30" w:line="240" w:lineRule="auto"/>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c) Empregado devidamente registrado em Carteira de Trabalho e Previdência Social;</w:t>
      </w:r>
    </w:p>
    <w:p w14:paraId="06B3654A">
      <w:pPr>
        <w:pStyle w:val="86"/>
        <w:numPr>
          <w:ilvl w:val="0"/>
          <w:numId w:val="0"/>
        </w:numPr>
        <w:spacing w:before="72" w:beforeLines="30" w:after="72" w:afterLines="30" w:line="240" w:lineRule="auto"/>
        <w:rPr>
          <w:rFonts w:ascii="Times New Roman" w:hAnsi="Times New Roman"/>
          <w:b/>
          <w:bCs/>
          <w:color w:val="000000" w:themeColor="text1"/>
          <w:sz w:val="24"/>
          <w:szCs w:val="24"/>
          <w14:textFill>
            <w14:solidFill>
              <w14:schemeClr w14:val="tx1"/>
            </w14:solidFill>
          </w14:textFill>
        </w:rPr>
      </w:pPr>
      <w:r>
        <w:rPr>
          <w:rFonts w:ascii="Times New Roman" w:hAnsi="Times New Roman"/>
          <w:b/>
          <w:bCs/>
          <w:color w:val="000000" w:themeColor="text1"/>
          <w:sz w:val="24"/>
          <w:szCs w:val="24"/>
          <w14:textFill>
            <w14:solidFill>
              <w14:schemeClr w14:val="tx1"/>
            </w14:solidFill>
          </w14:textFill>
        </w:rPr>
        <w:t>d) Prestador de serviços com contrato escrito firmado com o licitante, ou com declaração de compromisso de vinculação contratual futura, caso o licitante se sagre vencedor desta licitação.</w:t>
      </w:r>
    </w:p>
    <w:p w14:paraId="64472F53">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8.41. O licitante deverá disponibilizar todas as informações necessárias à comprovação da legitimidade dos atestados, apresentando, quando solicitado pela Administração, documentos como: cópia do contrato que deu origem à contratação, endereço atualizado da contratante e do local de execução do objeto, notas fiscais dos serviços, ART/RRT de execução, declaração da contratante acerca da veracidade do atestado, entre outros documentos que se fizerem pertinentes.</w:t>
      </w:r>
    </w:p>
    <w:p w14:paraId="101CBEF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08C4BA01">
      <w:pPr>
        <w:pStyle w:val="70"/>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ESTIMATIVAS DO VALOR DA CONTRATAÇÃO</w:t>
      </w:r>
    </w:p>
    <w:p w14:paraId="7E20738E">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 O valor estimado total da contratação é R$ 348.659,59 (trezentos e quarenta e oito mil e seiscentos e cinquenta e nove reais e cinquenta e nove centavos), conforme custos unitários apostos na Planilha Orçamentária em anexo.</w:t>
      </w:r>
    </w:p>
    <w:p w14:paraId="39D6119F">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3DFDFB75">
      <w:pPr>
        <w:pStyle w:val="70"/>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ADEQUAÇÃO ORÇAMENTÁRIA</w:t>
      </w:r>
    </w:p>
    <w:p w14:paraId="53A48E7F">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As despesas decorrentes da presente contratação correrão à conta de recursos específicos consignados no Orçamento Municipal.</w:t>
      </w:r>
    </w:p>
    <w:p w14:paraId="6AFB738D">
      <w:pPr>
        <w:pStyle w:val="86"/>
        <w:numPr>
          <w:ilvl w:val="1"/>
          <w:numId w:val="2"/>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contratação será atendida pela seguinte dotação:</w:t>
      </w:r>
    </w:p>
    <w:p w14:paraId="4B8CEB1F">
      <w:pPr>
        <w:pStyle w:val="55"/>
        <w:numPr>
          <w:ilvl w:val="0"/>
          <w:numId w:val="21"/>
        </w:numPr>
        <w:suppressAutoHyphens w:val="0"/>
        <w:spacing w:before="72" w:beforeLines="30" w:after="72" w:afterLines="30"/>
        <w:ind w:left="0" w:firstLine="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Gestão/Unidade: Secretaria Municipal de Educação;</w:t>
      </w:r>
    </w:p>
    <w:p w14:paraId="7824EAB0">
      <w:pPr>
        <w:pStyle w:val="55"/>
        <w:numPr>
          <w:ilvl w:val="0"/>
          <w:numId w:val="21"/>
        </w:numPr>
        <w:suppressAutoHyphens w:val="0"/>
        <w:spacing w:before="72" w:beforeLines="30" w:after="72" w:afterLines="30"/>
        <w:ind w:left="0" w:firstLine="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Fonte de Recursos: 1550;</w:t>
      </w:r>
    </w:p>
    <w:p w14:paraId="3B4C4764">
      <w:pPr>
        <w:pStyle w:val="55"/>
        <w:numPr>
          <w:ilvl w:val="0"/>
          <w:numId w:val="21"/>
        </w:numPr>
        <w:suppressAutoHyphens w:val="0"/>
        <w:spacing w:before="72" w:beforeLines="30" w:after="72" w:afterLines="30"/>
        <w:ind w:left="0" w:firstLine="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Projeto/Atividade: 1010;</w:t>
      </w:r>
    </w:p>
    <w:p w14:paraId="785B9F11">
      <w:pPr>
        <w:pStyle w:val="55"/>
        <w:numPr>
          <w:ilvl w:val="0"/>
          <w:numId w:val="21"/>
        </w:numPr>
        <w:suppressAutoHyphens w:val="0"/>
        <w:spacing w:before="72" w:beforeLines="30" w:after="72" w:afterLines="30"/>
        <w:ind w:left="0" w:firstLine="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Elemento de Despesa: Obras e Instalações;</w:t>
      </w:r>
    </w:p>
    <w:p w14:paraId="6DF243E9">
      <w:pPr>
        <w:pStyle w:val="55"/>
        <w:numPr>
          <w:ilvl w:val="0"/>
          <w:numId w:val="21"/>
        </w:numPr>
        <w:suppressAutoHyphens w:val="0"/>
        <w:spacing w:before="72" w:beforeLines="30" w:after="72" w:afterLines="30"/>
        <w:ind w:left="0" w:firstLine="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Dotação: 646.</w:t>
      </w:r>
    </w:p>
    <w:p w14:paraId="022441DA">
      <w:pPr>
        <w:pStyle w:val="86"/>
        <w:numPr>
          <w:ilvl w:val="0"/>
          <w:numId w:val="0"/>
        </w:numPr>
        <w:jc w:val="right"/>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Caracol/MS, 19 de janeiro de 2026.</w:t>
      </w:r>
    </w:p>
    <w:p w14:paraId="43FEF394">
      <w:pPr>
        <w:pStyle w:val="100"/>
        <w:spacing w:line="276" w:lineRule="auto"/>
        <w:jc w:val="both"/>
        <w:rPr>
          <w:rFonts w:ascii="Times New Roman" w:hAnsi="Times New Roman" w:cs="Times New Roman"/>
          <w:b/>
          <w:bCs/>
          <w:color w:val="000000" w:themeColor="text1"/>
          <w:sz w:val="24"/>
          <w:szCs w:val="24"/>
          <w14:textFill>
            <w14:solidFill>
              <w14:schemeClr w14:val="tx1"/>
            </w14:solidFill>
          </w14:textFill>
        </w:rPr>
      </w:pPr>
    </w:p>
    <w:p w14:paraId="26D35521">
      <w:pPr>
        <w:pStyle w:val="100"/>
        <w:spacing w:line="276" w:lineRule="auto"/>
        <w:jc w:val="both"/>
        <w:rPr>
          <w:rFonts w:ascii="Times New Roman" w:hAnsi="Times New Roman" w:cs="Times New Roman"/>
          <w:b/>
          <w:bCs/>
          <w:color w:val="000000" w:themeColor="text1"/>
          <w:sz w:val="24"/>
          <w:szCs w:val="24"/>
          <w14:textFill>
            <w14:solidFill>
              <w14:schemeClr w14:val="tx1"/>
            </w14:solidFill>
          </w14:textFill>
        </w:rPr>
      </w:pPr>
    </w:p>
    <w:p w14:paraId="14758DBC">
      <w:pPr>
        <w:pStyle w:val="100"/>
        <w:spacing w:line="276" w:lineRule="auto"/>
        <w:jc w:val="both"/>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Elaborado por:</w:t>
      </w:r>
    </w:p>
    <w:p w14:paraId="7CCB285B">
      <w:pPr>
        <w:pStyle w:val="100"/>
        <w:spacing w:line="276" w:lineRule="auto"/>
        <w:jc w:val="both"/>
        <w:rPr>
          <w:rFonts w:ascii="Times New Roman" w:hAnsi="Times New Roman" w:cs="Times New Roman"/>
          <w:b/>
          <w:bCs/>
          <w:color w:val="000000" w:themeColor="text1"/>
          <w:sz w:val="24"/>
          <w:szCs w:val="24"/>
          <w14:textFill>
            <w14:solidFill>
              <w14:schemeClr w14:val="tx1"/>
            </w14:solidFill>
          </w14:textFill>
        </w:rPr>
      </w:pPr>
    </w:p>
    <w:p w14:paraId="18D81AB4">
      <w:pPr>
        <w:pStyle w:val="100"/>
        <w:spacing w:line="276" w:lineRule="auto"/>
        <w:jc w:val="both"/>
        <w:rPr>
          <w:rFonts w:ascii="Times New Roman" w:hAnsi="Times New Roman" w:cs="Times New Roman"/>
          <w:b/>
          <w:bCs/>
          <w:color w:val="000000" w:themeColor="text1"/>
          <w:sz w:val="24"/>
          <w:szCs w:val="24"/>
          <w14:textFill>
            <w14:solidFill>
              <w14:schemeClr w14:val="tx1"/>
            </w14:solidFill>
          </w14:textFill>
        </w:rPr>
      </w:pPr>
    </w:p>
    <w:p w14:paraId="358537BE">
      <w:pPr>
        <w:pStyle w:val="100"/>
        <w:spacing w:line="276" w:lineRule="auto"/>
        <w:jc w:val="both"/>
        <w:rPr>
          <w:rFonts w:ascii="Times New Roman" w:hAnsi="Times New Roman" w:cs="Times New Roman"/>
          <w:b/>
          <w:bCs/>
          <w:color w:val="000000" w:themeColor="text1"/>
          <w:sz w:val="24"/>
          <w:szCs w:val="24"/>
          <w14:textFill>
            <w14:solidFill>
              <w14:schemeClr w14:val="tx1"/>
            </w14:solidFill>
          </w14:textFill>
        </w:rPr>
      </w:pPr>
    </w:p>
    <w:p w14:paraId="52B85162">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_________________________________</w:t>
      </w:r>
    </w:p>
    <w:p w14:paraId="041702E2">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Jordana Maria Guedes Barcellos</w:t>
      </w:r>
    </w:p>
    <w:p w14:paraId="01D64942">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Gestora de Convênios de Obras Públicas</w:t>
      </w:r>
    </w:p>
    <w:p w14:paraId="14C52273">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Matrícula: 3634</w:t>
      </w:r>
    </w:p>
    <w:p w14:paraId="69C75577">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1F26B636">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2B28F263">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5CE77F5A">
      <w:pPr>
        <w:pStyle w:val="100"/>
        <w:spacing w:line="276" w:lineRule="auto"/>
        <w:rPr>
          <w:rFonts w:ascii="Times New Roman" w:hAnsi="Times New Roman" w:cs="Times New Roman"/>
          <w:color w:val="000000" w:themeColor="text1"/>
          <w:sz w:val="24"/>
          <w:szCs w:val="24"/>
          <w14:textFill>
            <w14:solidFill>
              <w14:schemeClr w14:val="tx1"/>
            </w14:solidFill>
          </w14:textFill>
        </w:rPr>
      </w:pPr>
    </w:p>
    <w:p w14:paraId="380D9329">
      <w:pPr>
        <w:pStyle w:val="100"/>
        <w:spacing w:line="276" w:lineRule="auto"/>
        <w:rPr>
          <w:rFonts w:ascii="Times New Roman" w:hAnsi="Times New Roman" w:cs="Times New Roman"/>
          <w:color w:val="000000" w:themeColor="text1"/>
          <w:sz w:val="24"/>
          <w:szCs w:val="24"/>
          <w14:textFill>
            <w14:solidFill>
              <w14:schemeClr w14:val="tx1"/>
            </w14:solidFill>
          </w14:textFill>
        </w:rPr>
      </w:pPr>
    </w:p>
    <w:p w14:paraId="7BD36235">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_________________________________</w:t>
      </w:r>
    </w:p>
    <w:p w14:paraId="776B950B">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Juscilei da Silva Paim</w:t>
      </w:r>
    </w:p>
    <w:p w14:paraId="7541C8B2">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Diretora Executiva de Assessoramento Superior</w:t>
      </w:r>
    </w:p>
    <w:p w14:paraId="77BD3EAF">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Matrícula: 3724</w:t>
      </w:r>
    </w:p>
    <w:p w14:paraId="321AC0AD">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475E857D">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3746BB13">
      <w:pPr>
        <w:pStyle w:val="100"/>
        <w:spacing w:line="276" w:lineRule="auto"/>
        <w:rPr>
          <w:rFonts w:ascii="Times New Roman" w:hAnsi="Times New Roman" w:cs="Times New Roman"/>
          <w:color w:val="000000" w:themeColor="text1"/>
          <w:sz w:val="24"/>
          <w:szCs w:val="24"/>
          <w14:textFill>
            <w14:solidFill>
              <w14:schemeClr w14:val="tx1"/>
            </w14:solidFill>
          </w14:textFill>
        </w:rPr>
      </w:pPr>
    </w:p>
    <w:p w14:paraId="2F839C59">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6711D101">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_________________________________</w:t>
      </w:r>
    </w:p>
    <w:p w14:paraId="318C08ED">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Antônio Carlos dos Santos Gouvêa</w:t>
      </w:r>
    </w:p>
    <w:p w14:paraId="643F45B6">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Assessor Intermediário</w:t>
      </w:r>
    </w:p>
    <w:p w14:paraId="6A623A3F">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Matrícula: 556</w:t>
      </w:r>
    </w:p>
    <w:p w14:paraId="556168A3">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14F828AF">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0F3D7188">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43392B79">
      <w:pPr>
        <w:pStyle w:val="100"/>
        <w:spacing w:line="276" w:lineRule="auto"/>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b/>
          <w:bCs/>
          <w:color w:val="000000" w:themeColor="text1"/>
          <w:sz w:val="24"/>
          <w:szCs w:val="24"/>
          <w14:textFill>
            <w14:solidFill>
              <w14:schemeClr w14:val="tx1"/>
            </w14:solidFill>
          </w14:textFill>
        </w:rPr>
        <w:t>Aprovado por:</w:t>
      </w:r>
    </w:p>
    <w:p w14:paraId="03459C39">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2086F354">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74318EF8">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2C46AC71">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2E5237B4">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p>
    <w:p w14:paraId="232FC743">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_________________________________</w:t>
      </w:r>
    </w:p>
    <w:p w14:paraId="7AFC2B21">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Thaiz Leite de Andrade</w:t>
      </w:r>
    </w:p>
    <w:p w14:paraId="370F905E">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Secretária Municipal de Educação, Cultura, Esporte e Lazer</w:t>
      </w:r>
    </w:p>
    <w:p w14:paraId="6B2237E5">
      <w:pPr>
        <w:pStyle w:val="100"/>
        <w:spacing w:line="276" w:lineRule="auto"/>
        <w:jc w:val="center"/>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Matrícula: 3555</w:t>
      </w:r>
    </w:p>
    <w:p w14:paraId="73FBAC1B">
      <w:pPr>
        <w:pStyle w:val="233"/>
        <w:spacing w:before="72" w:beforeLines="30" w:after="72" w:afterLines="30" w:line="240" w:lineRule="auto"/>
        <w:ind w:left="0" w:right="0"/>
        <w:jc w:val="center"/>
        <w:rPr>
          <w:rFonts w:ascii="Times New Roman" w:hAnsi="Times New Roman" w:cs="Times New Roman"/>
          <w:b/>
          <w:color w:val="000000" w:themeColor="text1"/>
          <w:sz w:val="24"/>
          <w:szCs w:val="24"/>
          <w14:textFill>
            <w14:solidFill>
              <w14:schemeClr w14:val="tx1"/>
            </w14:solidFill>
          </w14:textFill>
        </w:rPr>
      </w:pPr>
    </w:p>
    <w:p w14:paraId="26AE9A1A">
      <w:pPr>
        <w:pStyle w:val="233"/>
        <w:spacing w:before="72" w:beforeLines="30" w:after="72" w:afterLines="30" w:line="240" w:lineRule="auto"/>
        <w:ind w:left="0" w:right="0"/>
        <w:jc w:val="center"/>
        <w:rPr>
          <w:rFonts w:ascii="Times New Roman" w:hAnsi="Times New Roman" w:cs="Times New Roman"/>
          <w:b/>
          <w:color w:val="000000" w:themeColor="text1"/>
          <w:sz w:val="24"/>
          <w:szCs w:val="24"/>
          <w14:textFill>
            <w14:solidFill>
              <w14:schemeClr w14:val="tx1"/>
            </w14:solidFill>
          </w14:textFill>
        </w:rPr>
      </w:pPr>
    </w:p>
    <w:p w14:paraId="17F9FE95">
      <w:pPr>
        <w:pStyle w:val="233"/>
        <w:spacing w:before="72" w:beforeLines="30" w:after="72" w:afterLines="30" w:line="240" w:lineRule="auto"/>
        <w:ind w:left="0" w:right="0"/>
        <w:jc w:val="center"/>
        <w:rPr>
          <w:rFonts w:ascii="Times New Roman" w:hAnsi="Times New Roman" w:cs="Times New Roman"/>
          <w:b/>
          <w:color w:val="000000" w:themeColor="text1"/>
          <w:sz w:val="24"/>
          <w:szCs w:val="24"/>
          <w14:textFill>
            <w14:solidFill>
              <w14:schemeClr w14:val="tx1"/>
            </w14:solidFill>
          </w14:textFill>
        </w:rPr>
      </w:pPr>
    </w:p>
    <w:p w14:paraId="142571E6">
      <w:pPr>
        <w:pStyle w:val="233"/>
        <w:spacing w:before="72" w:beforeLines="30" w:after="72" w:afterLines="30" w:line="240" w:lineRule="auto"/>
        <w:ind w:left="0" w:right="0"/>
        <w:jc w:val="center"/>
        <w:rPr>
          <w:rFonts w:ascii="Times New Roman" w:hAnsi="Times New Roman" w:cs="Times New Roman"/>
          <w:b/>
          <w:color w:val="000000" w:themeColor="text1"/>
          <w:sz w:val="24"/>
          <w:szCs w:val="24"/>
          <w14:textFill>
            <w14:solidFill>
              <w14:schemeClr w14:val="tx1"/>
            </w14:solidFill>
          </w14:textFill>
        </w:rPr>
      </w:pPr>
    </w:p>
    <w:p w14:paraId="439B7797">
      <w:pPr>
        <w:pStyle w:val="233"/>
        <w:spacing w:before="72" w:beforeLines="30" w:after="72" w:afterLines="30" w:line="240" w:lineRule="auto"/>
        <w:ind w:left="0" w:right="0"/>
        <w:jc w:val="center"/>
        <w:rPr>
          <w:rFonts w:ascii="Times New Roman" w:hAnsi="Times New Roman" w:cs="Times New Roman"/>
          <w:b/>
          <w:color w:val="000000" w:themeColor="text1"/>
          <w:sz w:val="24"/>
          <w:szCs w:val="24"/>
          <w14:textFill>
            <w14:solidFill>
              <w14:schemeClr w14:val="tx1"/>
            </w14:solidFill>
          </w14:textFill>
        </w:rPr>
      </w:pPr>
    </w:p>
    <w:p w14:paraId="61992DBF">
      <w:pPr>
        <w:pStyle w:val="233"/>
        <w:spacing w:before="72" w:beforeLines="30" w:after="72" w:afterLines="30" w:line="240" w:lineRule="auto"/>
        <w:ind w:left="0" w:right="0"/>
        <w:jc w:val="center"/>
        <w:rPr>
          <w:rFonts w:ascii="Times New Roman" w:hAnsi="Times New Roman" w:cs="Times New Roman"/>
          <w:b/>
          <w:color w:val="000000" w:themeColor="text1"/>
          <w:sz w:val="24"/>
          <w:szCs w:val="24"/>
          <w14:textFill>
            <w14:solidFill>
              <w14:schemeClr w14:val="tx1"/>
            </w14:solidFill>
          </w14:textFill>
        </w:rPr>
      </w:pPr>
    </w:p>
    <w:p w14:paraId="62CA392F">
      <w:pPr>
        <w:pStyle w:val="233"/>
        <w:spacing w:before="72" w:beforeLines="30" w:after="72" w:afterLines="30" w:line="240" w:lineRule="auto"/>
        <w:ind w:left="0" w:right="0"/>
        <w:rPr>
          <w:rFonts w:ascii="Times New Roman" w:hAnsi="Times New Roman" w:cs="Times New Roman"/>
          <w:b/>
          <w:color w:val="000000" w:themeColor="text1"/>
          <w:sz w:val="24"/>
          <w:szCs w:val="24"/>
          <w14:textFill>
            <w14:solidFill>
              <w14:schemeClr w14:val="tx1"/>
            </w14:solidFill>
          </w14:textFill>
        </w:rPr>
      </w:pPr>
    </w:p>
    <w:p w14:paraId="147BF9EB">
      <w:pPr>
        <w:pStyle w:val="233"/>
        <w:spacing w:before="72" w:beforeLines="30" w:after="72" w:afterLines="30" w:line="240" w:lineRule="auto"/>
        <w:ind w:left="0" w:right="0"/>
        <w:rPr>
          <w:rFonts w:ascii="Times New Roman" w:hAnsi="Times New Roman" w:cs="Times New Roman"/>
          <w:b/>
          <w:color w:val="000000" w:themeColor="text1"/>
          <w:sz w:val="24"/>
          <w:szCs w:val="24"/>
          <w14:textFill>
            <w14:solidFill>
              <w14:schemeClr w14:val="tx1"/>
            </w14:solidFill>
          </w14:textFill>
        </w:rPr>
      </w:pPr>
    </w:p>
    <w:p w14:paraId="11457204">
      <w:pPr>
        <w:pStyle w:val="233"/>
        <w:spacing w:before="72" w:beforeLines="30" w:after="72" w:afterLines="30" w:line="240" w:lineRule="auto"/>
        <w:ind w:left="0" w:right="0"/>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ANEXO II</w:t>
      </w:r>
    </w:p>
    <w:p w14:paraId="3033CC82">
      <w:pPr>
        <w:pStyle w:val="100"/>
        <w:spacing w:before="72" w:beforeLines="30" w:after="72" w:afterLines="30"/>
        <w:jc w:val="both"/>
        <w:rPr>
          <w:rFonts w:ascii="Times New Roman" w:hAnsi="Times New Roman" w:cs="Times New Roman"/>
          <w:color w:val="000000" w:themeColor="text1"/>
          <w:sz w:val="24"/>
          <w:szCs w:val="24"/>
          <w14:textFill>
            <w14:solidFill>
              <w14:schemeClr w14:val="tx1"/>
            </w14:solidFill>
          </w14:textFill>
        </w:rPr>
      </w:pPr>
    </w:p>
    <w:p w14:paraId="0D03FE6B">
      <w:pPr>
        <w:spacing w:line="360" w:lineRule="auto"/>
        <w:ind w:right="-568"/>
        <w:jc w:val="center"/>
        <w:rPr>
          <w:b/>
          <w:bCs/>
          <w:iCs/>
          <w:color w:val="000000"/>
          <w:szCs w:val="24"/>
          <w:u w:val="single"/>
        </w:rPr>
      </w:pPr>
      <w:r>
        <w:rPr>
          <w:b/>
          <w:bCs/>
          <w:iCs/>
          <w:color w:val="000000"/>
          <w:szCs w:val="24"/>
          <w:u w:val="single"/>
        </w:rPr>
        <w:t>ESTUDO TÉCNICO PRELIMINAR e GERENCIAMENTO DE RISCO</w:t>
      </w:r>
    </w:p>
    <w:p w14:paraId="6D441873">
      <w:pPr>
        <w:pStyle w:val="100"/>
        <w:rPr>
          <w:rFonts w:ascii="Times New Roman" w:hAnsi="Times New Roman" w:cs="Times New Roman"/>
          <w:sz w:val="24"/>
          <w:szCs w:val="24"/>
        </w:rPr>
      </w:pPr>
    </w:p>
    <w:p w14:paraId="686ADBDA">
      <w:pPr>
        <w:spacing w:line="360" w:lineRule="auto"/>
        <w:jc w:val="both"/>
        <w:rPr>
          <w:b/>
          <w:bCs/>
          <w:w w:val="95"/>
          <w:szCs w:val="24"/>
        </w:rPr>
      </w:pPr>
      <w:r>
        <w:rPr>
          <w:b/>
          <w:bCs/>
          <w:w w:val="95"/>
          <w:szCs w:val="24"/>
        </w:rPr>
        <w:t>OBJETO:</w:t>
      </w:r>
      <w:bookmarkStart w:id="30" w:name="_Hlk192571750"/>
      <w:r>
        <w:rPr>
          <w:w w:val="95"/>
          <w:szCs w:val="24"/>
        </w:rPr>
        <w:t xml:space="preserve"> </w:t>
      </w:r>
      <w:bookmarkEnd w:id="30"/>
      <w:r>
        <w:rPr>
          <w:w w:val="95"/>
          <w:szCs w:val="24"/>
        </w:rPr>
        <w:t xml:space="preserve">Análise da viabilidade técnica e econômica para a definição da melhor solução, visando atender à demanda de </w:t>
      </w:r>
      <w:bookmarkStart w:id="31" w:name="_Hlk219452353"/>
      <w:r>
        <w:rPr>
          <w:b/>
          <w:bCs/>
          <w:w w:val="95"/>
          <w:szCs w:val="24"/>
        </w:rPr>
        <w:t>AMPLIAÇÃO DA ESCOLA INÁCIO SILVESTRE MONTEIRO, LOCALIZADA NO DISTRITO DO ALTO CARACOL, NO MUNICÍPIO DE CARACOL/MS.</w:t>
      </w:r>
    </w:p>
    <w:bookmarkEnd w:id="31"/>
    <w:p w14:paraId="66811F92">
      <w:pPr>
        <w:spacing w:line="360" w:lineRule="auto"/>
        <w:jc w:val="both"/>
        <w:rPr>
          <w:b/>
          <w:bCs/>
          <w:spacing w:val="40"/>
          <w:szCs w:val="24"/>
        </w:rPr>
      </w:pPr>
      <w:r>
        <w:rPr>
          <w:b/>
          <w:bCs/>
          <w:szCs w:val="24"/>
        </w:rPr>
        <w:t>LEGISLAÇÃO:</w:t>
      </w:r>
    </w:p>
    <w:p w14:paraId="02A51B07">
      <w:pPr>
        <w:spacing w:line="360" w:lineRule="auto"/>
        <w:ind w:right="-1"/>
        <w:jc w:val="both"/>
        <w:rPr>
          <w:szCs w:val="24"/>
        </w:rPr>
      </w:pPr>
      <w:r>
        <w:rPr>
          <w:szCs w:val="24"/>
        </w:rPr>
        <w:t>Lei Complementar nº 123/2006;</w:t>
      </w:r>
    </w:p>
    <w:p w14:paraId="130AA01B">
      <w:pPr>
        <w:spacing w:line="360" w:lineRule="auto"/>
        <w:ind w:right="-1"/>
        <w:jc w:val="both"/>
        <w:rPr>
          <w:szCs w:val="24"/>
        </w:rPr>
      </w:pPr>
      <w:r>
        <w:rPr>
          <w:szCs w:val="24"/>
        </w:rPr>
        <w:t>Lei Federal nº 14.133/2021;</w:t>
      </w:r>
    </w:p>
    <w:p w14:paraId="19ACE702">
      <w:pPr>
        <w:spacing w:line="360" w:lineRule="auto"/>
        <w:jc w:val="both"/>
        <w:rPr>
          <w:rFonts w:eastAsia="Calibri"/>
          <w:szCs w:val="24"/>
        </w:rPr>
      </w:pPr>
      <w:r>
        <w:rPr>
          <w:rFonts w:eastAsia="Calibri"/>
          <w:szCs w:val="24"/>
        </w:rPr>
        <w:t>Decreto Municipal nº 161, de 13 de dezembro de 2022 - Dispõe sobre a Elaboração de ETP;</w:t>
      </w:r>
    </w:p>
    <w:p w14:paraId="1926EEE0">
      <w:pPr>
        <w:spacing w:line="360" w:lineRule="auto"/>
        <w:jc w:val="both"/>
        <w:rPr>
          <w:rFonts w:eastAsia="Calibri"/>
          <w:szCs w:val="24"/>
        </w:rPr>
      </w:pPr>
      <w:r>
        <w:rPr>
          <w:rFonts w:eastAsia="Calibri"/>
          <w:szCs w:val="24"/>
        </w:rPr>
        <w:t>Decreto Municipal nº 039, de 22 de março de 2024 - Dispõe sobre as Práticas de Gestão de Riscos e Controle Preventivo nas Contratações de Obras, Serviços e Compras;</w:t>
      </w:r>
    </w:p>
    <w:p w14:paraId="05A6D53B">
      <w:pPr>
        <w:spacing w:line="360" w:lineRule="auto"/>
        <w:jc w:val="both"/>
        <w:rPr>
          <w:rFonts w:eastAsia="Calibri"/>
          <w:szCs w:val="24"/>
        </w:rPr>
      </w:pPr>
      <w:r>
        <w:rPr>
          <w:rFonts w:eastAsia="Calibri"/>
          <w:szCs w:val="24"/>
        </w:rPr>
        <w:t>Decreto Municipal nº 133, de 18 de setembro de 2024 - Dispõe sobre os Procedimentos Administrativos para a Apuração de Infrações e para Aplicação de Sanções Administrativas;</w:t>
      </w:r>
    </w:p>
    <w:p w14:paraId="6C4EE158">
      <w:pPr>
        <w:spacing w:line="360" w:lineRule="auto"/>
        <w:ind w:right="-1"/>
        <w:jc w:val="both"/>
        <w:rPr>
          <w:szCs w:val="24"/>
        </w:rPr>
      </w:pPr>
      <w:r>
        <w:rPr>
          <w:szCs w:val="24"/>
        </w:rPr>
        <w:t>Resolução TCE/MS nº 88/2018 e alterações posteriores.</w:t>
      </w:r>
    </w:p>
    <w:p w14:paraId="2927CD8E">
      <w:pPr>
        <w:pStyle w:val="100"/>
        <w:rPr>
          <w:rFonts w:ascii="Times New Roman" w:hAnsi="Times New Roman" w:cs="Times New Roman"/>
          <w:sz w:val="24"/>
          <w:szCs w:val="24"/>
        </w:rPr>
      </w:pPr>
    </w:p>
    <w:p w14:paraId="7705794E">
      <w:pPr>
        <w:pStyle w:val="100"/>
        <w:numPr>
          <w:ilvl w:val="0"/>
          <w:numId w:val="22"/>
        </w:numPr>
        <w:spacing w:line="360" w:lineRule="auto"/>
        <w:jc w:val="both"/>
        <w:rPr>
          <w:rFonts w:ascii="Times New Roman" w:hAnsi="Times New Roman" w:cs="Times New Roman"/>
          <w:b/>
          <w:sz w:val="24"/>
          <w:szCs w:val="24"/>
          <w:lang w:eastAsia="en-US"/>
        </w:rPr>
      </w:pPr>
      <w:r>
        <w:rPr>
          <w:rFonts w:ascii="Times New Roman" w:hAnsi="Times New Roman" w:eastAsia="Times New Roman" w:cs="Times New Roman"/>
          <w:b/>
          <w:sz w:val="24"/>
          <w:szCs w:val="24"/>
        </w:rPr>
        <w:t>D</w:t>
      </w:r>
      <w:r>
        <w:rPr>
          <w:rFonts w:ascii="Times New Roman" w:hAnsi="Times New Roman" w:cs="Times New Roman"/>
          <w:b/>
          <w:sz w:val="24"/>
          <w:szCs w:val="24"/>
          <w:lang w:eastAsia="en-US"/>
        </w:rPr>
        <w:t>escrição da necessidade da contratação, considerado o problema a ser resolvido sob a perspectiva do interesse público.</w:t>
      </w:r>
    </w:p>
    <w:p w14:paraId="280B926F">
      <w:pPr>
        <w:pStyle w:val="100"/>
        <w:rPr>
          <w:rFonts w:ascii="Times New Roman" w:hAnsi="Times New Roman" w:cs="Times New Roman"/>
          <w:sz w:val="24"/>
          <w:szCs w:val="24"/>
        </w:rPr>
      </w:pPr>
    </w:p>
    <w:p w14:paraId="5EFD71C8">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 Prefeitura Municipal de Caracol, por meio da Secretaria Municipal de Educação, é responsável pela gestão, manutenção e expansão da infraestrutura das unidades escolares do município, visando assegurar espaços físicos adequados ao funcionamento das atividades educacionais.</w:t>
      </w:r>
    </w:p>
    <w:p w14:paraId="3C02EE1B">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Considerando o aumento da demanda por vagas escolares no Distrito do Alto Caracol e a necessidade de oferecer infraestrutura compatível com as práticas pedagógicas, faz-se necessária a construção de novas salas de aula na Escola Inácio Silvestre Monteiro, a fim de atender adequadamente os estudantes da região e evitar a superlotação das instalações existentes.</w:t>
      </w:r>
    </w:p>
    <w:p w14:paraId="57756397">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 ampliação da unidade escolar por meio da construção de salas de aula busca enfrentar essa necessidade estrutural, garantindo ambientes adequados, seguros e salubres para o desenvolvimento das atividades educacionais, além de contribuir para a permanência dos alunos na escola e para a melhoria do desempenho escolar.</w:t>
      </w:r>
    </w:p>
    <w:p w14:paraId="4D7A7344">
      <w:pPr>
        <w:pStyle w:val="100"/>
        <w:spacing w:line="360" w:lineRule="auto"/>
        <w:ind w:firstLine="708"/>
        <w:jc w:val="both"/>
        <w:rPr>
          <w:rFonts w:ascii="Times New Roman" w:hAnsi="Times New Roman" w:cs="Times New Roman"/>
          <w:sz w:val="24"/>
          <w:szCs w:val="24"/>
        </w:rPr>
      </w:pPr>
    </w:p>
    <w:p w14:paraId="6DA4E89E">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Dessa forma, faz-se necessária a análise da viabilidade técnica e econômica para a definição da melhor solução visando à construção das salas de aula, de modo a suprir a demanda existente e garantir condições adequadas de ensino e aprendizagem.</w:t>
      </w:r>
    </w:p>
    <w:p w14:paraId="6A7CEB55">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Assim, o atendimento a essa demanda permitirá satisfazer o interesse público, fortalecer as políticas educacionais municipais e assegurar melhores condições de desenvolvimento educacional e social à população de Caracol/MS.</w:t>
      </w:r>
    </w:p>
    <w:p w14:paraId="555D187C">
      <w:pPr>
        <w:pStyle w:val="100"/>
        <w:rPr>
          <w:rFonts w:ascii="Times New Roman" w:hAnsi="Times New Roman" w:cs="Times New Roman"/>
          <w:sz w:val="24"/>
          <w:szCs w:val="24"/>
        </w:rPr>
      </w:pPr>
    </w:p>
    <w:p w14:paraId="6F812981">
      <w:pPr>
        <w:pStyle w:val="100"/>
        <w:numPr>
          <w:ilvl w:val="0"/>
          <w:numId w:val="22"/>
        </w:numPr>
        <w:spacing w:line="360" w:lineRule="auto"/>
        <w:jc w:val="both"/>
        <w:rPr>
          <w:rFonts w:ascii="Times New Roman" w:hAnsi="Times New Roman" w:cs="Times New Roman"/>
          <w:b/>
          <w:sz w:val="24"/>
          <w:szCs w:val="24"/>
          <w:lang w:eastAsia="en-US"/>
        </w:rPr>
      </w:pPr>
      <w:r>
        <w:rPr>
          <w:rFonts w:ascii="Times New Roman" w:hAnsi="Times New Roman" w:cs="Times New Roman"/>
          <w:b/>
          <w:sz w:val="24"/>
          <w:szCs w:val="24"/>
          <w:lang w:eastAsia="en-US"/>
        </w:rPr>
        <w:t>Demonstração da previsão da contratação no plano de contratações anual, sempre que elaborado, de modo a indicar o seu alinhamento com o planejamento da Administração.</w:t>
      </w:r>
    </w:p>
    <w:p w14:paraId="49223F9C">
      <w:pPr>
        <w:pStyle w:val="100"/>
        <w:rPr>
          <w:rFonts w:ascii="Times New Roman" w:hAnsi="Times New Roman" w:cs="Times New Roman"/>
          <w:sz w:val="24"/>
          <w:szCs w:val="24"/>
        </w:rPr>
      </w:pPr>
    </w:p>
    <w:p w14:paraId="41EF265A">
      <w:pPr>
        <w:spacing w:line="360" w:lineRule="auto"/>
        <w:ind w:right="-1" w:firstLine="708"/>
        <w:jc w:val="both"/>
        <w:rPr>
          <w:szCs w:val="24"/>
        </w:rPr>
      </w:pPr>
      <w:r>
        <w:rPr>
          <w:szCs w:val="24"/>
        </w:rPr>
        <w:t>O Plano de Contratações Anual foi publicado no Portal Nacional das Contratações Públicas, conforme dados abaixo:</w:t>
      </w:r>
    </w:p>
    <w:p w14:paraId="0E9F2D01">
      <w:pPr>
        <w:pStyle w:val="100"/>
        <w:rPr>
          <w:rFonts w:ascii="Times New Roman" w:hAnsi="Times New Roman" w:cs="Times New Roman"/>
          <w:sz w:val="24"/>
          <w:szCs w:val="24"/>
        </w:rPr>
      </w:pPr>
    </w:p>
    <w:p w14:paraId="0B8E3ED5">
      <w:pPr>
        <w:pStyle w:val="100"/>
        <w:numPr>
          <w:ilvl w:val="0"/>
          <w:numId w:val="15"/>
        </w:numPr>
        <w:spacing w:line="360" w:lineRule="auto"/>
        <w:rPr>
          <w:rFonts w:ascii="Times New Roman" w:hAnsi="Times New Roman" w:cs="Times New Roman"/>
          <w:bCs/>
          <w:iCs/>
          <w:sz w:val="24"/>
          <w:szCs w:val="24"/>
        </w:rPr>
      </w:pPr>
      <w:r>
        <w:rPr>
          <w:rFonts w:ascii="Times New Roman" w:hAnsi="Times New Roman" w:cs="Times New Roman"/>
          <w:bCs/>
          <w:iCs/>
          <w:sz w:val="24"/>
          <w:szCs w:val="24"/>
        </w:rPr>
        <w:t>ID PCA no PNCP: 03217924000132-0-000005/2026 e https://pncp.gov.br/app/pca/03217924000132/2026</w:t>
      </w:r>
    </w:p>
    <w:p w14:paraId="6B0D1F15">
      <w:pPr>
        <w:pStyle w:val="100"/>
        <w:numPr>
          <w:ilvl w:val="0"/>
          <w:numId w:val="15"/>
        </w:numPr>
        <w:spacing w:line="360" w:lineRule="auto"/>
        <w:rPr>
          <w:rFonts w:ascii="Times New Roman" w:hAnsi="Times New Roman" w:cs="Times New Roman"/>
          <w:bCs/>
          <w:iCs/>
          <w:sz w:val="24"/>
          <w:szCs w:val="24"/>
        </w:rPr>
      </w:pPr>
      <w:r>
        <w:rPr>
          <w:rFonts w:ascii="Times New Roman" w:hAnsi="Times New Roman" w:cs="Times New Roman"/>
          <w:bCs/>
          <w:iCs/>
          <w:sz w:val="24"/>
          <w:szCs w:val="24"/>
        </w:rPr>
        <w:t>Data de publicação no PNCP: 18/11/2025</w:t>
      </w:r>
    </w:p>
    <w:p w14:paraId="716E6130">
      <w:pPr>
        <w:pStyle w:val="55"/>
        <w:numPr>
          <w:ilvl w:val="0"/>
          <w:numId w:val="15"/>
        </w:numPr>
        <w:suppressAutoHyphens w:val="0"/>
        <w:spacing w:line="360" w:lineRule="auto"/>
        <w:ind w:right="-1"/>
        <w:jc w:val="both"/>
        <w:rPr>
          <w:bCs/>
          <w:szCs w:val="24"/>
        </w:rPr>
      </w:pPr>
      <w:r>
        <w:rPr>
          <w:bCs/>
          <w:szCs w:val="24"/>
        </w:rPr>
        <w:t>Id do item no PCA: 34857</w:t>
      </w:r>
    </w:p>
    <w:p w14:paraId="32935251">
      <w:pPr>
        <w:pStyle w:val="55"/>
        <w:numPr>
          <w:ilvl w:val="0"/>
          <w:numId w:val="15"/>
        </w:numPr>
        <w:suppressAutoHyphens w:val="0"/>
        <w:spacing w:line="360" w:lineRule="auto"/>
        <w:ind w:right="-1"/>
        <w:jc w:val="both"/>
        <w:rPr>
          <w:bCs/>
          <w:szCs w:val="24"/>
        </w:rPr>
      </w:pPr>
      <w:r>
        <w:rPr>
          <w:bCs/>
          <w:szCs w:val="24"/>
        </w:rPr>
        <w:t>Classe/Grupo: 51 – Obras e Instalações</w:t>
      </w:r>
    </w:p>
    <w:p w14:paraId="58C9CC35">
      <w:pPr>
        <w:pStyle w:val="100"/>
        <w:rPr>
          <w:rFonts w:ascii="Times New Roman" w:hAnsi="Times New Roman" w:cs="Times New Roman"/>
          <w:sz w:val="24"/>
          <w:szCs w:val="24"/>
        </w:rPr>
      </w:pPr>
    </w:p>
    <w:p w14:paraId="50AC04D7">
      <w:pPr>
        <w:pStyle w:val="56"/>
        <w:numPr>
          <w:ilvl w:val="0"/>
          <w:numId w:val="22"/>
        </w:numPr>
        <w:suppressAutoHyphens w:val="0"/>
        <w:autoSpaceDE w:val="0"/>
        <w:autoSpaceDN w:val="0"/>
        <w:adjustRightInd w:val="0"/>
        <w:spacing w:line="300" w:lineRule="auto"/>
        <w:ind w:right="-1"/>
        <w:jc w:val="both"/>
        <w:rPr>
          <w:rFonts w:eastAsia="Times New Roman"/>
          <w:b/>
          <w:color w:val="auto"/>
          <w:lang w:eastAsia="pt-BR"/>
        </w:rPr>
      </w:pPr>
      <w:r>
        <w:rPr>
          <w:b/>
          <w:color w:val="auto"/>
        </w:rPr>
        <w:t xml:space="preserve">Requisitos da contratação. </w:t>
      </w:r>
    </w:p>
    <w:p w14:paraId="7242820C">
      <w:pPr>
        <w:pStyle w:val="100"/>
        <w:rPr>
          <w:rFonts w:ascii="Times New Roman" w:hAnsi="Times New Roman" w:cs="Times New Roman"/>
          <w:sz w:val="24"/>
          <w:szCs w:val="24"/>
        </w:rPr>
      </w:pPr>
      <w:bookmarkStart w:id="32" w:name="_Hlk163129281"/>
    </w:p>
    <w:bookmarkEnd w:id="32"/>
    <w:p w14:paraId="7C83ED4F">
      <w:pPr>
        <w:pStyle w:val="100"/>
        <w:numPr>
          <w:ilvl w:val="1"/>
          <w:numId w:val="23"/>
        </w:numPr>
        <w:spacing w:line="36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Localização da obra</w:t>
      </w:r>
    </w:p>
    <w:p w14:paraId="6C33DFB7">
      <w:pPr>
        <w:pStyle w:val="100"/>
        <w:rPr>
          <w:rFonts w:ascii="Times New Roman" w:hAnsi="Times New Roman" w:cs="Times New Roman"/>
          <w:sz w:val="24"/>
          <w:szCs w:val="24"/>
        </w:rPr>
      </w:pPr>
    </w:p>
    <w:p w14:paraId="1D1A5E9A">
      <w:pPr>
        <w:pStyle w:val="100"/>
        <w:spacing w:line="360" w:lineRule="auto"/>
        <w:ind w:left="720" w:firstLine="69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Escola Municipal Inácio Silvestre Monteiro, BR-267, Zona Rural, Alto Caracol - Caracol/MS, na seguinte coordenada geográfica: -21.737296196911263, -56.87960792181063.</w:t>
      </w:r>
    </w:p>
    <w:p w14:paraId="17ABFBCF">
      <w:pPr>
        <w:pStyle w:val="100"/>
        <w:rPr>
          <w:rFonts w:ascii="Times New Roman" w:hAnsi="Times New Roman" w:cs="Times New Roman"/>
          <w:sz w:val="24"/>
          <w:szCs w:val="24"/>
        </w:rPr>
      </w:pPr>
    </w:p>
    <w:p w14:paraId="3BE80114">
      <w:pPr>
        <w:pStyle w:val="100"/>
        <w:numPr>
          <w:ilvl w:val="1"/>
          <w:numId w:val="2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Características da obra</w:t>
      </w:r>
    </w:p>
    <w:p w14:paraId="4E7E1DAD">
      <w:pPr>
        <w:pStyle w:val="100"/>
        <w:rPr>
          <w:rFonts w:ascii="Times New Roman" w:hAnsi="Times New Roman" w:cs="Times New Roman"/>
          <w:sz w:val="24"/>
          <w:szCs w:val="24"/>
        </w:rPr>
      </w:pPr>
    </w:p>
    <w:p w14:paraId="574565A4">
      <w:pPr>
        <w:pStyle w:val="100"/>
        <w:spacing w:line="36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A obra consiste na construção de 03 (três) salas de aula com área de 41,02 m² cada, 02 (duas) salas administrativas com área de 8,98 m² cada e uma varanda com área de 55,14 m², em alvenaria de blocos cerâmicos e cobertura com telha termoacústica.</w:t>
      </w:r>
    </w:p>
    <w:p w14:paraId="1C591EB8">
      <w:pPr>
        <w:pStyle w:val="100"/>
        <w:rPr>
          <w:rFonts w:ascii="Times New Roman" w:hAnsi="Times New Roman" w:cs="Times New Roman"/>
          <w:sz w:val="24"/>
          <w:szCs w:val="24"/>
        </w:rPr>
      </w:pPr>
    </w:p>
    <w:p w14:paraId="21FC4007">
      <w:pPr>
        <w:pStyle w:val="100"/>
        <w:numPr>
          <w:ilvl w:val="1"/>
          <w:numId w:val="23"/>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Serviços a serem executados</w:t>
      </w:r>
    </w:p>
    <w:p w14:paraId="65311572">
      <w:pPr>
        <w:pStyle w:val="100"/>
        <w:rPr>
          <w:rFonts w:ascii="Times New Roman" w:hAnsi="Times New Roman" w:cs="Times New Roman"/>
          <w:sz w:val="24"/>
          <w:szCs w:val="24"/>
        </w:rPr>
      </w:pPr>
    </w:p>
    <w:p w14:paraId="2710AC81">
      <w:pPr>
        <w:pStyle w:val="100"/>
        <w:spacing w:line="36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Os serviços compreenderão a implantação e organização do canteiro de obras, limpeza e preparação do terreno, execução das fundações, estrutura em concreto armado, paredes de vedação, revestimentos e pinturas internas e externas, execução de pisos e calçadas, instalação de cobertura com telhas termoacústicas e forro em PVC, instalação de esquadrias de portas e janelas, bem como a execução completa das instalações elétricas da ampliação. Ao término da obra, deverá ser realizada a limpeza final do canteiro.</w:t>
      </w:r>
    </w:p>
    <w:p w14:paraId="45B68E87">
      <w:pPr>
        <w:pStyle w:val="100"/>
        <w:spacing w:line="36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Todos os serviços deverão ser executados em conformidade com os projetos arquitetônico, estrutural e elétrico, bem como com a planilha orçamentária e o memorial descritivo da obra, atendendo integralmente às exigências e padrões estabelecidos pelas normas vigentes e pelos órgãos competentes de controle.</w:t>
      </w:r>
    </w:p>
    <w:p w14:paraId="0786BDB1">
      <w:pPr>
        <w:pStyle w:val="100"/>
        <w:rPr>
          <w:rFonts w:ascii="Times New Roman" w:hAnsi="Times New Roman" w:cs="Times New Roman"/>
          <w:sz w:val="24"/>
          <w:szCs w:val="24"/>
        </w:rPr>
      </w:pPr>
    </w:p>
    <w:p w14:paraId="5727F150">
      <w:pPr>
        <w:pStyle w:val="100"/>
        <w:numPr>
          <w:ilvl w:val="1"/>
          <w:numId w:val="23"/>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Subcontratação</w:t>
      </w:r>
    </w:p>
    <w:p w14:paraId="326164E0">
      <w:pPr>
        <w:pStyle w:val="100"/>
        <w:rPr>
          <w:rFonts w:ascii="Times New Roman" w:hAnsi="Times New Roman" w:cs="Times New Roman"/>
          <w:sz w:val="24"/>
          <w:szCs w:val="24"/>
        </w:rPr>
      </w:pPr>
    </w:p>
    <w:p w14:paraId="5D67C4E8">
      <w:pPr>
        <w:spacing w:line="360" w:lineRule="auto"/>
        <w:ind w:firstLine="708"/>
        <w:jc w:val="both"/>
        <w:rPr>
          <w:szCs w:val="24"/>
        </w:rPr>
      </w:pPr>
      <w:r>
        <w:rPr>
          <w:szCs w:val="24"/>
        </w:rPr>
        <w:t>O objeto da presente contratação envolve atividades que demandam múltiplas disciplinas técnicas.</w:t>
      </w:r>
    </w:p>
    <w:p w14:paraId="70F9E8D2">
      <w:pPr>
        <w:spacing w:line="360" w:lineRule="auto"/>
        <w:ind w:firstLine="708"/>
        <w:jc w:val="both"/>
        <w:rPr>
          <w:szCs w:val="24"/>
        </w:rPr>
      </w:pPr>
      <w:r>
        <w:rPr>
          <w:szCs w:val="24"/>
        </w:rPr>
        <w:t>Embora a Contratada principal deva permanecer responsável pela gestão global e execução da parcela preponderante da obra, mostra-se tecnicamente recomendável autorizar a subcontratação de parcelas acessórias e especializadas, desde que previamente autorizadas pela Administração.</w:t>
      </w:r>
    </w:p>
    <w:p w14:paraId="3E65B9C0">
      <w:pPr>
        <w:spacing w:line="360" w:lineRule="auto"/>
        <w:ind w:firstLine="708"/>
        <w:jc w:val="both"/>
        <w:rPr>
          <w:szCs w:val="24"/>
        </w:rPr>
      </w:pPr>
      <w:r>
        <w:rPr>
          <w:szCs w:val="24"/>
        </w:rPr>
        <w:t>A autorização para subcontratação justifica-se pelos seguintes motivos:</w:t>
      </w:r>
    </w:p>
    <w:p w14:paraId="5F93BF28">
      <w:pPr>
        <w:spacing w:line="360" w:lineRule="auto"/>
        <w:jc w:val="both"/>
        <w:rPr>
          <w:szCs w:val="24"/>
        </w:rPr>
      </w:pPr>
      <w:r>
        <w:rPr>
          <w:szCs w:val="24"/>
        </w:rPr>
        <w:t>1.</w:t>
      </w:r>
      <w:r>
        <w:rPr>
          <w:szCs w:val="24"/>
        </w:rPr>
        <w:tab/>
      </w:r>
      <w:r>
        <w:rPr>
          <w:szCs w:val="24"/>
        </w:rPr>
        <w:t>Complexidade técnica – algumas atividades exigem mão de obra ou expertise específica, cuja execução por empresas especializadas assegura maior qualidade e segurança.</w:t>
      </w:r>
    </w:p>
    <w:p w14:paraId="42195B84">
      <w:pPr>
        <w:spacing w:line="360" w:lineRule="auto"/>
        <w:jc w:val="both"/>
        <w:rPr>
          <w:szCs w:val="24"/>
        </w:rPr>
      </w:pPr>
      <w:r>
        <w:rPr>
          <w:szCs w:val="24"/>
        </w:rPr>
        <w:t>2.</w:t>
      </w:r>
      <w:r>
        <w:rPr>
          <w:szCs w:val="24"/>
        </w:rPr>
        <w:tab/>
      </w:r>
      <w:r>
        <w:rPr>
          <w:szCs w:val="24"/>
        </w:rPr>
        <w:t>Eficiência e celeridade na execução – a possibilidade de subcontratação de serviços pontuais permite maior agilidade no cronograma físico-financeiro da obra, sem comprometer a responsabilidade da Contratada principal.</w:t>
      </w:r>
    </w:p>
    <w:p w14:paraId="61D8A5B3">
      <w:pPr>
        <w:spacing w:line="360" w:lineRule="auto"/>
        <w:jc w:val="both"/>
        <w:rPr>
          <w:szCs w:val="24"/>
        </w:rPr>
      </w:pPr>
      <w:r>
        <w:rPr>
          <w:szCs w:val="24"/>
        </w:rPr>
        <w:t>3.</w:t>
      </w:r>
      <w:r>
        <w:rPr>
          <w:szCs w:val="24"/>
        </w:rPr>
        <w:tab/>
      </w:r>
      <w:r>
        <w:rPr>
          <w:szCs w:val="24"/>
        </w:rPr>
        <w:t>Redução de riscos contratuais – a Administração mitiga o risco de falhas técnicas ao permitir que partes especializadas sejam executadas por empresas com comprovada capacidade técnica na respectiva área.</w:t>
      </w:r>
    </w:p>
    <w:p w14:paraId="4F59C08F">
      <w:pPr>
        <w:spacing w:line="360" w:lineRule="auto"/>
        <w:jc w:val="both"/>
        <w:rPr>
          <w:szCs w:val="24"/>
        </w:rPr>
      </w:pPr>
      <w:r>
        <w:rPr>
          <w:szCs w:val="24"/>
        </w:rPr>
        <w:t>4.</w:t>
      </w:r>
      <w:r>
        <w:rPr>
          <w:szCs w:val="24"/>
        </w:rPr>
        <w:tab/>
      </w:r>
      <w:r>
        <w:rPr>
          <w:szCs w:val="24"/>
        </w:rPr>
        <w:t>Amparo legal – o art. 122 da Lei nº 14.133/2021 autoriza a subcontratação de partes da obra, até o limite previsto no Termo de Referência, desde que o contratado apresente documentação que comprove a capacidade técnica do subcontratado, a qual será avaliada e juntada aos autos.</w:t>
      </w:r>
    </w:p>
    <w:p w14:paraId="413D0371">
      <w:pPr>
        <w:spacing w:line="360" w:lineRule="auto"/>
        <w:jc w:val="both"/>
        <w:rPr>
          <w:szCs w:val="24"/>
        </w:rPr>
      </w:pPr>
      <w:r>
        <w:rPr>
          <w:szCs w:val="24"/>
        </w:rPr>
        <w:t>5.</w:t>
      </w:r>
      <w:r>
        <w:rPr>
          <w:szCs w:val="24"/>
        </w:rPr>
        <w:tab/>
      </w:r>
      <w:r>
        <w:rPr>
          <w:szCs w:val="24"/>
        </w:rPr>
        <w:t>Responsabilidade integral do contratado – ainda que haja subcontratação parcial, o contratado principal permanece responsável pela execução integral do objeto e pelo cumprimento de todas as obrigações contratuais, assegurando a Administração contra eventuais falhas.</w:t>
      </w:r>
    </w:p>
    <w:p w14:paraId="5CB9E98E">
      <w:pPr>
        <w:spacing w:line="360" w:lineRule="auto"/>
        <w:ind w:firstLine="708"/>
        <w:jc w:val="both"/>
        <w:rPr>
          <w:szCs w:val="24"/>
        </w:rPr>
      </w:pPr>
      <w:r>
        <w:rPr>
          <w:szCs w:val="24"/>
        </w:rPr>
        <w:t>Dessa forma, a autorização de subcontratação de parcelas não essenciais da obra representa medida tecnicamente adequada, proporcional e vantajosa, garantindo a boa execução contratual, em conformidade com os princípios da eficiência, economicidade e interesse público (art. 5º da Lei nº 14.133/2021).</w:t>
      </w:r>
    </w:p>
    <w:p w14:paraId="6341CED1">
      <w:pPr>
        <w:pStyle w:val="100"/>
        <w:numPr>
          <w:ilvl w:val="1"/>
          <w:numId w:val="23"/>
        </w:numPr>
        <w:spacing w:line="360" w:lineRule="auto"/>
        <w:jc w:val="both"/>
        <w:rPr>
          <w:rFonts w:ascii="Times New Roman" w:hAnsi="Times New Roman" w:eastAsia="Times New Roman" w:cs="Times New Roman"/>
          <w:bCs/>
          <w:sz w:val="24"/>
          <w:szCs w:val="24"/>
        </w:rPr>
      </w:pPr>
      <w:r>
        <w:rPr>
          <w:rFonts w:ascii="Times New Roman" w:hAnsi="Times New Roman" w:eastAsia="Times New Roman" w:cs="Times New Roman"/>
          <w:b/>
          <w:sz w:val="24"/>
          <w:szCs w:val="24"/>
        </w:rPr>
        <w:t>Garantia da Contratação</w:t>
      </w:r>
    </w:p>
    <w:p w14:paraId="6EA806C8">
      <w:pPr>
        <w:pStyle w:val="100"/>
        <w:rPr>
          <w:rFonts w:ascii="Times New Roman" w:hAnsi="Times New Roman" w:cs="Times New Roman"/>
          <w:sz w:val="24"/>
          <w:szCs w:val="24"/>
        </w:rPr>
      </w:pPr>
    </w:p>
    <w:p w14:paraId="3F192536">
      <w:pPr>
        <w:spacing w:line="360" w:lineRule="auto"/>
        <w:ind w:firstLine="708"/>
        <w:jc w:val="both"/>
        <w:rPr>
          <w:szCs w:val="24"/>
        </w:rPr>
      </w:pPr>
      <w:r>
        <w:rPr>
          <w:szCs w:val="24"/>
        </w:rPr>
        <w:t>A presente contratação tem por objeto a Ampliação da Escola Inácio Silvestre Monteiro, localizada no Distrito do Alto Caracol, no Município de Caracol/MS. Considerando:</w:t>
      </w:r>
    </w:p>
    <w:p w14:paraId="42B55A84">
      <w:pPr>
        <w:pStyle w:val="55"/>
        <w:numPr>
          <w:ilvl w:val="0"/>
          <w:numId w:val="24"/>
        </w:numPr>
        <w:suppressAutoHyphens w:val="0"/>
        <w:spacing w:after="200" w:line="360" w:lineRule="auto"/>
        <w:jc w:val="both"/>
        <w:rPr>
          <w:szCs w:val="24"/>
        </w:rPr>
      </w:pPr>
      <w:r>
        <w:rPr>
          <w:szCs w:val="24"/>
        </w:rPr>
        <w:t>A essencialidade do serviço;</w:t>
      </w:r>
    </w:p>
    <w:p w14:paraId="425E41E2">
      <w:pPr>
        <w:pStyle w:val="55"/>
        <w:numPr>
          <w:ilvl w:val="0"/>
          <w:numId w:val="24"/>
        </w:numPr>
        <w:suppressAutoHyphens w:val="0"/>
        <w:spacing w:after="200" w:line="360" w:lineRule="auto"/>
        <w:jc w:val="both"/>
        <w:rPr>
          <w:szCs w:val="24"/>
        </w:rPr>
      </w:pPr>
      <w:r>
        <w:rPr>
          <w:szCs w:val="24"/>
        </w:rPr>
        <w:t>A relevância do objeto para o interesse público municipal;</w:t>
      </w:r>
    </w:p>
    <w:p w14:paraId="35126354">
      <w:pPr>
        <w:pStyle w:val="55"/>
        <w:numPr>
          <w:ilvl w:val="0"/>
          <w:numId w:val="24"/>
        </w:numPr>
        <w:suppressAutoHyphens w:val="0"/>
        <w:spacing w:after="200" w:line="360" w:lineRule="auto"/>
        <w:jc w:val="both"/>
        <w:rPr>
          <w:szCs w:val="24"/>
        </w:rPr>
      </w:pPr>
      <w:r>
        <w:rPr>
          <w:szCs w:val="24"/>
        </w:rPr>
        <w:t>A necessidade de assegurar a continuidade da execução contratual e o fiel cumprimento das obrigações assumidas pela contratada;</w:t>
      </w:r>
    </w:p>
    <w:p w14:paraId="1D795A65">
      <w:pPr>
        <w:pStyle w:val="55"/>
        <w:numPr>
          <w:ilvl w:val="0"/>
          <w:numId w:val="24"/>
        </w:numPr>
        <w:suppressAutoHyphens w:val="0"/>
        <w:spacing w:after="200" w:line="360" w:lineRule="auto"/>
        <w:jc w:val="both"/>
        <w:rPr>
          <w:szCs w:val="24"/>
        </w:rPr>
      </w:pPr>
      <w:r>
        <w:rPr>
          <w:szCs w:val="24"/>
        </w:rPr>
        <w:t>O risco elevado de inadimplemento ou falhas de execução, que poderiam acarretar custos adicionais à Administração e comprometer a continuidade dos serviços;</w:t>
      </w:r>
    </w:p>
    <w:p w14:paraId="538D961A">
      <w:pPr>
        <w:pStyle w:val="55"/>
        <w:numPr>
          <w:ilvl w:val="0"/>
          <w:numId w:val="24"/>
        </w:numPr>
        <w:suppressAutoHyphens w:val="0"/>
        <w:spacing w:after="200" w:line="360" w:lineRule="auto"/>
        <w:jc w:val="both"/>
        <w:rPr>
          <w:szCs w:val="24"/>
        </w:rPr>
      </w:pPr>
      <w:r>
        <w:rPr>
          <w:szCs w:val="24"/>
        </w:rPr>
        <w:t>O disposto no art. 96 da Lei nº 14.133/2021, que autoriza a Administração a exigir garantia do contratado de até 5% (cinco por cento) do valor inicial do contrato, podendo alcançar até 10% (dez por cento) nos casos de obras, serviços e fornecimentos de grande vulto ou alta complexidade técnica;</w:t>
      </w:r>
    </w:p>
    <w:p w14:paraId="79C4533C">
      <w:pPr>
        <w:spacing w:line="360" w:lineRule="auto"/>
        <w:ind w:firstLine="708"/>
        <w:jc w:val="both"/>
        <w:rPr>
          <w:szCs w:val="24"/>
        </w:rPr>
      </w:pPr>
      <w:r>
        <w:rPr>
          <w:szCs w:val="24"/>
        </w:rPr>
        <w:t>Justifica-se, portanto, a exigência de garantia de execução contratual, a ser prestada em uma das modalidades previstas em lei, com o objetivo de resguardar a Administração quanto à fiel execução do contrato e à reparação de eventuais prejuízos decorrentes do descumprimento das obrigações contratuais.</w:t>
      </w:r>
    </w:p>
    <w:p w14:paraId="7BBA254C">
      <w:pPr>
        <w:spacing w:line="360" w:lineRule="auto"/>
        <w:ind w:firstLine="708"/>
        <w:jc w:val="both"/>
        <w:rPr>
          <w:szCs w:val="24"/>
        </w:rPr>
      </w:pPr>
      <w:r>
        <w:rPr>
          <w:szCs w:val="24"/>
        </w:rPr>
        <w:t>O percentual será de 5% do valor inicial do contrato, em razão da essencialidade, da complexidade técnica e do risco operacional envolvido, garantindo a fiel execução do objeto.</w:t>
      </w:r>
    </w:p>
    <w:p w14:paraId="2F35C23B">
      <w:pPr>
        <w:spacing w:line="360" w:lineRule="auto"/>
        <w:ind w:firstLine="708"/>
        <w:jc w:val="both"/>
        <w:rPr>
          <w:szCs w:val="24"/>
        </w:rPr>
      </w:pPr>
      <w:r>
        <w:rPr>
          <w:szCs w:val="24"/>
        </w:rPr>
        <w:t>Dessa forma, a exigência de garantia contratual é medida proporcional e necessária para mitigar riscos, assegurar a continuidade da prestação dos serviços e proteger o interesse público, em conformidade com os princípios da eficiência, economicidade e interesse da coletividade previstos no art. 5º da Lei nº 14.133/2021.</w:t>
      </w:r>
    </w:p>
    <w:p w14:paraId="3C692162">
      <w:pPr>
        <w:pStyle w:val="100"/>
        <w:numPr>
          <w:ilvl w:val="1"/>
          <w:numId w:val="23"/>
        </w:num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Vistoria</w:t>
      </w:r>
    </w:p>
    <w:p w14:paraId="28327F2D">
      <w:pPr>
        <w:pStyle w:val="100"/>
        <w:rPr>
          <w:rFonts w:ascii="Times New Roman" w:hAnsi="Times New Roman" w:cs="Times New Roman"/>
          <w:sz w:val="24"/>
          <w:szCs w:val="24"/>
        </w:rPr>
      </w:pPr>
    </w:p>
    <w:p w14:paraId="34459B45">
      <w:pPr>
        <w:pStyle w:val="100"/>
        <w:spacing w:line="360" w:lineRule="auto"/>
        <w:ind w:firstLine="708"/>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Será facultado ao licitante o direito de realizar vistoria prévia no local da execução dos serviços, acompanhado por servidor designado para esse fim. </w:t>
      </w:r>
    </w:p>
    <w:p w14:paraId="6D626933">
      <w:pPr>
        <w:pStyle w:val="100"/>
        <w:spacing w:line="360" w:lineRule="auto"/>
        <w:ind w:firstLine="708"/>
        <w:jc w:val="both"/>
        <w:rPr>
          <w:rFonts w:ascii="Times New Roman" w:hAnsi="Times New Roman" w:eastAsia="Times New Roman" w:cs="Times New Roman"/>
          <w:bCs/>
          <w:sz w:val="24"/>
          <w:szCs w:val="24"/>
        </w:rPr>
      </w:pPr>
      <w:r>
        <w:rPr>
          <w:rFonts w:ascii="Times New Roman" w:hAnsi="Times New Roman" w:eastAsia="Times New Roman" w:cs="Times New Roman"/>
          <w:bCs/>
          <w:sz w:val="24"/>
          <w:szCs w:val="24"/>
        </w:rPr>
        <w:t xml:space="preserve">Na hipótese de o licitante optar por não realizar a vistoria, deverá apresentar Declaração de Renúncia da Vistoria, assinada pelo responsável legal, assumindo inteiramente a responsabilidade ou consequências por essa omissão. </w:t>
      </w:r>
    </w:p>
    <w:p w14:paraId="736AC023">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Tal medida visa assegurar propostas mais consistentes, reduzir riscos de execução e promover maior isonomia entre os participantes.</w:t>
      </w:r>
    </w:p>
    <w:p w14:paraId="6159ED3B">
      <w:pPr>
        <w:pStyle w:val="100"/>
        <w:rPr>
          <w:rFonts w:ascii="Times New Roman" w:hAnsi="Times New Roman" w:cs="Times New Roman"/>
          <w:sz w:val="24"/>
          <w:szCs w:val="24"/>
        </w:rPr>
      </w:pPr>
    </w:p>
    <w:p w14:paraId="51EEEDA3">
      <w:pPr>
        <w:pStyle w:val="100"/>
        <w:spacing w:line="360" w:lineRule="auto"/>
        <w:jc w:val="both"/>
        <w:rPr>
          <w:rFonts w:ascii="Times New Roman" w:hAnsi="Times New Roman" w:cs="Times New Roman"/>
          <w:b/>
          <w:sz w:val="24"/>
          <w:szCs w:val="24"/>
          <w:lang w:eastAsia="en-US"/>
        </w:rPr>
      </w:pPr>
      <w:bookmarkStart w:id="33" w:name="art6xii"/>
      <w:bookmarkEnd w:id="33"/>
      <w:bookmarkStart w:id="34" w:name="art6xxii"/>
      <w:bookmarkEnd w:id="34"/>
      <w:bookmarkStart w:id="35" w:name="art6xiii"/>
      <w:bookmarkEnd w:id="35"/>
      <w:bookmarkStart w:id="36" w:name="art6xv"/>
      <w:bookmarkEnd w:id="36"/>
      <w:r>
        <w:rPr>
          <w:rFonts w:ascii="Times New Roman" w:hAnsi="Times New Roman" w:cs="Times New Roman"/>
          <w:b/>
          <w:sz w:val="24"/>
          <w:szCs w:val="24"/>
          <w:lang w:eastAsia="en-US"/>
        </w:rPr>
        <w:t>4. Estimativa das quantidades para a contratação, acompanhadas das memórias de cálculo e dos documentos que lhes dão suporte, que considerem interdependências com outras contratações, de modo a possibilitar economia de escala.</w:t>
      </w:r>
    </w:p>
    <w:p w14:paraId="561F740F">
      <w:pPr>
        <w:pStyle w:val="100"/>
        <w:rPr>
          <w:rFonts w:ascii="Times New Roman" w:hAnsi="Times New Roman" w:cs="Times New Roman"/>
          <w:sz w:val="24"/>
          <w:szCs w:val="24"/>
        </w:rPr>
      </w:pPr>
    </w:p>
    <w:p w14:paraId="0FB4483B">
      <w:pPr>
        <w:pStyle w:val="100"/>
        <w:spacing w:line="360" w:lineRule="auto"/>
        <w:ind w:firstLine="708"/>
        <w:jc w:val="both"/>
        <w:rPr>
          <w:rFonts w:ascii="Times New Roman" w:hAnsi="Times New Roman" w:cs="Times New Roman"/>
          <w:sz w:val="24"/>
          <w:szCs w:val="24"/>
          <w:lang w:eastAsia="en-US"/>
        </w:rPr>
      </w:pPr>
      <w:r>
        <w:rPr>
          <w:rFonts w:ascii="Times New Roman" w:hAnsi="Times New Roman" w:cs="Times New Roman"/>
          <w:sz w:val="24"/>
          <w:szCs w:val="24"/>
          <w:lang w:eastAsia="en-US"/>
        </w:rPr>
        <w:t>A estimativa das quantidades foi definida com base na demanda apresentada pela Secretaria Municipal de Educação, considerando o aumento do número de alunos atendidos no Distrito do Alto Caracol e a necessidade de ampliação da infraestrutura escolar existente.</w:t>
      </w:r>
    </w:p>
    <w:p w14:paraId="1243BEAD">
      <w:pPr>
        <w:pStyle w:val="100"/>
        <w:spacing w:line="360" w:lineRule="auto"/>
        <w:ind w:firstLine="708"/>
        <w:jc w:val="both"/>
        <w:rPr>
          <w:rFonts w:ascii="Times New Roman" w:hAnsi="Times New Roman" w:cs="Times New Roman"/>
          <w:sz w:val="24"/>
          <w:szCs w:val="24"/>
          <w:lang w:eastAsia="en-US"/>
        </w:rPr>
      </w:pPr>
      <w:r>
        <w:rPr>
          <w:rFonts w:ascii="Times New Roman" w:hAnsi="Times New Roman" w:cs="Times New Roman"/>
          <w:sz w:val="24"/>
          <w:szCs w:val="24"/>
          <w:lang w:eastAsia="en-US"/>
        </w:rPr>
        <w:t>A área total estimada a ser construída é de aproximadamente 293,20 m², destinada à implantação de novas salas de aula e área de circulação coberta, conforme previsto no projeto executivo.</w:t>
      </w:r>
    </w:p>
    <w:p w14:paraId="4BF6B203">
      <w:pPr>
        <w:pStyle w:val="100"/>
        <w:spacing w:line="360" w:lineRule="auto"/>
        <w:ind w:firstLine="708"/>
        <w:jc w:val="both"/>
        <w:rPr>
          <w:rFonts w:ascii="Times New Roman" w:hAnsi="Times New Roman" w:cs="Times New Roman"/>
          <w:sz w:val="24"/>
          <w:szCs w:val="24"/>
          <w:lang w:eastAsia="en-US"/>
        </w:rPr>
      </w:pPr>
      <w:r>
        <w:rPr>
          <w:rFonts w:ascii="Times New Roman" w:hAnsi="Times New Roman" w:cs="Times New Roman"/>
          <w:sz w:val="24"/>
          <w:szCs w:val="24"/>
          <w:lang w:eastAsia="en-US"/>
        </w:rPr>
        <w:t>As estimativas das quantidades de materiais e de mão de obra encontram-se detalhadas no projeto arquitetônico, nos projetos complementares e na planilha orçamentária, acompanhadas das respectivas memórias de cálculo, assegurando a compatibilidade técnica e financeira da contratação.</w:t>
      </w:r>
    </w:p>
    <w:p w14:paraId="5217FBA6">
      <w:pPr>
        <w:pStyle w:val="100"/>
        <w:rPr>
          <w:rFonts w:ascii="Times New Roman" w:hAnsi="Times New Roman" w:cs="Times New Roman"/>
          <w:sz w:val="24"/>
          <w:szCs w:val="24"/>
        </w:rPr>
      </w:pPr>
    </w:p>
    <w:p w14:paraId="7D1DF1FB">
      <w:pPr>
        <w:pStyle w:val="100"/>
        <w:spacing w:line="360" w:lineRule="auto"/>
        <w:jc w:val="both"/>
        <w:rPr>
          <w:rFonts w:ascii="Times New Roman" w:hAnsi="Times New Roman" w:cs="Times New Roman"/>
          <w:b/>
          <w:sz w:val="24"/>
          <w:szCs w:val="24"/>
        </w:rPr>
      </w:pPr>
      <w:r>
        <w:rPr>
          <w:rFonts w:ascii="Times New Roman" w:hAnsi="Times New Roman" w:cs="Times New Roman"/>
          <w:b/>
          <w:sz w:val="24"/>
          <w:szCs w:val="24"/>
        </w:rPr>
        <w:t>5. Levantamento de mercado, que consiste na análise das alternativas possíveis, e justificativa técnica e econômica da escolha do tipo de solução a contratar.</w:t>
      </w:r>
    </w:p>
    <w:p w14:paraId="00D932DB">
      <w:pPr>
        <w:pStyle w:val="100"/>
        <w:rPr>
          <w:rFonts w:ascii="Times New Roman" w:hAnsi="Times New Roman" w:cs="Times New Roman"/>
          <w:sz w:val="24"/>
          <w:szCs w:val="24"/>
        </w:rPr>
      </w:pPr>
    </w:p>
    <w:p w14:paraId="2780BB06">
      <w:pPr>
        <w:pStyle w:val="100"/>
        <w:spacing w:line="360" w:lineRule="auto"/>
        <w:ind w:firstLine="708"/>
        <w:jc w:val="both"/>
        <w:rPr>
          <w:rFonts w:ascii="Times New Roman" w:hAnsi="Times New Roman" w:cs="Times New Roman"/>
          <w:sz w:val="24"/>
          <w:szCs w:val="24"/>
        </w:rPr>
      </w:pPr>
      <w:bookmarkStart w:id="37" w:name="_Hlk72227488"/>
      <w:r>
        <w:rPr>
          <w:rFonts w:ascii="Times New Roman" w:hAnsi="Times New Roman" w:cs="Times New Roman"/>
          <w:sz w:val="24"/>
          <w:szCs w:val="24"/>
        </w:rPr>
        <w:t>O levantamento de mercado teve por objetivo identificar as alternativas técnicas, metodologias construtivas e tecnologias disponíveis que melhor atendam às necessidades do objeto em questão, considerando os aspectos técnicos, econômicos, sociais e ambientais.</w:t>
      </w:r>
    </w:p>
    <w:p w14:paraId="1093A941">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Durante a análise, foram avaliadas as seguintes opções de solução para atendimento da demanda:</w:t>
      </w:r>
    </w:p>
    <w:p w14:paraId="0BD0D9F4">
      <w:pPr>
        <w:pStyle w:val="100"/>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Execução direta pelo quadro funcional do Município de Caracol/MS;</w:t>
      </w:r>
    </w:p>
    <w:p w14:paraId="66460B5D">
      <w:pPr>
        <w:pStyle w:val="100"/>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Contratação de empresa especializada.</w:t>
      </w:r>
    </w:p>
    <w:p w14:paraId="282EED4E">
      <w:pPr>
        <w:pStyle w:val="100"/>
        <w:rPr>
          <w:rFonts w:ascii="Times New Roman" w:hAnsi="Times New Roman" w:cs="Times New Roman"/>
          <w:sz w:val="24"/>
          <w:szCs w:val="24"/>
        </w:rPr>
      </w:pPr>
    </w:p>
    <w:p w14:paraId="2B528488">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Considerando que o Município de Caracol/MS não dispõe de quadro funcional técnico, estrutura operacional ou equipamentos adequados para a execução direta da obra, a contratação de empresa especializada mostra-se a opção mais adequada, garantindo qualidade, cumprimento de prazos e eficiência na execução.</w:t>
      </w:r>
    </w:p>
    <w:p w14:paraId="17B31BEB">
      <w:pPr>
        <w:pStyle w:val="100"/>
        <w:rPr>
          <w:rFonts w:ascii="Times New Roman" w:hAnsi="Times New Roman" w:cs="Times New Roman"/>
          <w:sz w:val="24"/>
          <w:szCs w:val="24"/>
        </w:rPr>
      </w:pPr>
    </w:p>
    <w:p w14:paraId="4D42B6ED">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Sob o aspecto técnico e econômico, a contratação de empresa especializada apresenta-se como a solução mais vantajosa, uma vez que envolve serviços que demandam conhecimentos técnicos específicos, utilização de materiais e equipamentos apropriados e atuação de profissionais legalmente habilitados.</w:t>
      </w:r>
    </w:p>
    <w:p w14:paraId="1370708D">
      <w:pPr>
        <w:pStyle w:val="100"/>
        <w:rPr>
          <w:rFonts w:ascii="Times New Roman" w:hAnsi="Times New Roman" w:cs="Times New Roman"/>
          <w:sz w:val="24"/>
          <w:szCs w:val="24"/>
        </w:rPr>
      </w:pPr>
    </w:p>
    <w:p w14:paraId="5B9A8B84">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 opção pela contratação indireta, incluindo o fornecimento de materiais, mão de obra, equipamentos e demais insumos necessários, assegura maior agilidade, qualidade e segurança na execução, além de garantir a fiel observância às especificações do projeto e o uso eficiente dos recursos públicos.</w:t>
      </w:r>
    </w:p>
    <w:p w14:paraId="52E72CEE">
      <w:pPr>
        <w:pStyle w:val="100"/>
        <w:rPr>
          <w:rFonts w:ascii="Times New Roman" w:hAnsi="Times New Roman" w:cs="Times New Roman"/>
          <w:sz w:val="24"/>
          <w:szCs w:val="24"/>
        </w:rPr>
      </w:pPr>
    </w:p>
    <w:p w14:paraId="09B38879">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Diante da análise técnica e econômica apresentada, conclui-se que a melhor opção para atender à demanda é a contratação de empresa especializada, por meio de processo licitatório que contemple a execução completa da obra.</w:t>
      </w:r>
    </w:p>
    <w:p w14:paraId="47872D8C">
      <w:pPr>
        <w:pStyle w:val="100"/>
        <w:rPr>
          <w:rFonts w:ascii="Times New Roman" w:hAnsi="Times New Roman" w:cs="Times New Roman"/>
          <w:sz w:val="24"/>
          <w:szCs w:val="24"/>
        </w:rPr>
      </w:pPr>
    </w:p>
    <w:p w14:paraId="27EB386A">
      <w:pPr>
        <w:pStyle w:val="100"/>
        <w:spacing w:line="360" w:lineRule="auto"/>
        <w:jc w:val="both"/>
        <w:rPr>
          <w:rFonts w:ascii="Times New Roman" w:hAnsi="Times New Roman" w:cs="Times New Roman"/>
          <w:b/>
          <w:sz w:val="24"/>
          <w:szCs w:val="24"/>
          <w:lang w:eastAsia="en-US"/>
        </w:rPr>
      </w:pPr>
      <w:r>
        <w:rPr>
          <w:rFonts w:ascii="Times New Roman" w:hAnsi="Times New Roman" w:cs="Times New Roman"/>
          <w:b/>
          <w:sz w:val="24"/>
          <w:szCs w:val="24"/>
          <w:lang w:eastAsia="en-US"/>
        </w:rPr>
        <w:t>6.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05E00B36">
      <w:pPr>
        <w:pStyle w:val="100"/>
        <w:rPr>
          <w:rFonts w:ascii="Times New Roman" w:hAnsi="Times New Roman" w:cs="Times New Roman"/>
          <w:sz w:val="24"/>
          <w:szCs w:val="24"/>
        </w:rPr>
      </w:pPr>
      <w:bookmarkStart w:id="38" w:name="_Hlk74634511"/>
    </w:p>
    <w:bookmarkEnd w:id="37"/>
    <w:bookmarkEnd w:id="38"/>
    <w:p w14:paraId="7F1ABBC7">
      <w:pPr>
        <w:spacing w:after="160" w:line="360" w:lineRule="auto"/>
        <w:ind w:firstLine="708"/>
        <w:jc w:val="both"/>
        <w:rPr>
          <w:rFonts w:eastAsia="Calibri"/>
          <w:szCs w:val="24"/>
          <w:lang w:eastAsia="en-US"/>
        </w:rPr>
      </w:pPr>
      <w:bookmarkStart w:id="39" w:name="_Hlk206072973"/>
      <w:r>
        <w:rPr>
          <w:rFonts w:eastAsia="Calibri"/>
          <w:szCs w:val="24"/>
          <w:lang w:eastAsia="en-US"/>
        </w:rPr>
        <w:t xml:space="preserve">A estimativa do valor da contratação foi feita com base nos cálculos de levantamento constantes em projeto de engenharia e em sua respectiva memória de cálculo. </w:t>
      </w:r>
    </w:p>
    <w:p w14:paraId="3FA2C518">
      <w:pPr>
        <w:spacing w:after="160" w:line="360" w:lineRule="auto"/>
        <w:ind w:firstLine="708"/>
        <w:jc w:val="both"/>
        <w:rPr>
          <w:rFonts w:eastAsia="Calibri"/>
          <w:b/>
          <w:bCs/>
          <w:szCs w:val="24"/>
          <w:lang w:eastAsia="en-US"/>
        </w:rPr>
      </w:pPr>
      <w:r>
        <w:rPr>
          <w:rFonts w:eastAsia="Calibri"/>
          <w:szCs w:val="24"/>
          <w:lang w:eastAsia="en-US"/>
        </w:rPr>
        <w:t xml:space="preserve">Para a elaboração da planilha orçamentária, foi utilizada base de banco de dados nacional atualizada, com referência para o Estado do Mato Grosso do Sul, fornecido no endereço eletrônico da Caixa Econômica Federal, pelo Sistema Nacional de Pesquisa de Custos e Índices da Construção Civil (SINAPI), data base </w:t>
      </w:r>
      <w:r>
        <w:rPr>
          <w:rFonts w:eastAsia="Calibri"/>
          <w:b/>
          <w:bCs/>
          <w:szCs w:val="24"/>
          <w:lang w:eastAsia="en-US"/>
        </w:rPr>
        <w:t>setembro/2025,</w:t>
      </w:r>
      <w:r>
        <w:rPr>
          <w:rFonts w:eastAsia="Calibri"/>
          <w:szCs w:val="24"/>
          <w:lang w:eastAsia="en-US"/>
        </w:rPr>
        <w:t xml:space="preserve"> com custos </w:t>
      </w:r>
      <w:r>
        <w:rPr>
          <w:rFonts w:eastAsia="Calibri"/>
          <w:b/>
          <w:bCs/>
          <w:szCs w:val="24"/>
          <w:lang w:eastAsia="en-US"/>
        </w:rPr>
        <w:t>não desonerados</w:t>
      </w:r>
      <w:r>
        <w:rPr>
          <w:rFonts w:eastAsia="Calibri"/>
          <w:szCs w:val="24"/>
          <w:lang w:eastAsia="en-US"/>
        </w:rPr>
        <w:t xml:space="preserve"> e BDI (Boletim de Despesas Indiretas) em um percentual calculado de </w:t>
      </w:r>
      <w:r>
        <w:rPr>
          <w:rFonts w:eastAsia="Calibri"/>
          <w:b/>
          <w:bCs/>
          <w:szCs w:val="24"/>
          <w:lang w:eastAsia="en-US"/>
        </w:rPr>
        <w:t>24,78%</w:t>
      </w:r>
      <w:r>
        <w:rPr>
          <w:rFonts w:eastAsia="Calibri"/>
          <w:szCs w:val="24"/>
          <w:lang w:eastAsia="en-US"/>
        </w:rPr>
        <w:t xml:space="preserve">. O valor estimado da obra é de </w:t>
      </w:r>
      <w:bookmarkStart w:id="40" w:name="_Hlk163565429"/>
      <w:bookmarkStart w:id="41" w:name="_Hlk188339919"/>
      <w:r>
        <w:rPr>
          <w:rFonts w:eastAsia="Calibri"/>
          <w:b/>
          <w:bCs/>
          <w:szCs w:val="24"/>
          <w:lang w:eastAsia="en-US"/>
        </w:rPr>
        <w:t xml:space="preserve">R$ </w:t>
      </w:r>
      <w:bookmarkEnd w:id="40"/>
      <w:r>
        <w:rPr>
          <w:rFonts w:eastAsia="Calibri"/>
          <w:b/>
          <w:bCs/>
          <w:szCs w:val="24"/>
          <w:lang w:eastAsia="en-US"/>
        </w:rPr>
        <w:t>348.659,59 (trezentos e quarenta e oito mil e seiscentos e cinquenta e nove reais e cinquenta e nove centavos).</w:t>
      </w:r>
      <w:bookmarkEnd w:id="39"/>
      <w:bookmarkEnd w:id="41"/>
    </w:p>
    <w:p w14:paraId="626FF0AD">
      <w:pPr>
        <w:pStyle w:val="100"/>
        <w:spacing w:line="360" w:lineRule="auto"/>
        <w:jc w:val="both"/>
        <w:rPr>
          <w:rFonts w:ascii="Times New Roman" w:hAnsi="Times New Roman" w:cs="Times New Roman"/>
          <w:b/>
          <w:sz w:val="24"/>
          <w:szCs w:val="24"/>
          <w:lang w:eastAsia="en-US"/>
        </w:rPr>
      </w:pPr>
      <w:r>
        <w:rPr>
          <w:rFonts w:ascii="Times New Roman" w:hAnsi="Times New Roman" w:cs="Times New Roman"/>
          <w:b/>
          <w:sz w:val="24"/>
          <w:szCs w:val="24"/>
          <w:lang w:eastAsia="en-US"/>
        </w:rPr>
        <w:t>7. Descrição da solução como um todo, inclusive das exigências relacionadas à manutenção e à assistência técnica, quando for o caso.</w:t>
      </w:r>
    </w:p>
    <w:p w14:paraId="7B70F735">
      <w:pPr>
        <w:pStyle w:val="100"/>
        <w:rPr>
          <w:rFonts w:ascii="Times New Roman" w:hAnsi="Times New Roman" w:cs="Times New Roman"/>
          <w:sz w:val="24"/>
          <w:szCs w:val="24"/>
        </w:rPr>
      </w:pPr>
    </w:p>
    <w:p w14:paraId="37C8AEB4">
      <w:pPr>
        <w:pStyle w:val="100"/>
        <w:spacing w:line="360" w:lineRule="auto"/>
        <w:ind w:firstLine="708"/>
        <w:jc w:val="both"/>
        <w:rPr>
          <w:rFonts w:ascii="Times New Roman" w:hAnsi="Times New Roman" w:cs="Times New Roman"/>
          <w:sz w:val="24"/>
          <w:szCs w:val="24"/>
          <w:lang w:eastAsia="en-US"/>
        </w:rPr>
      </w:pPr>
      <w:r>
        <w:rPr>
          <w:rFonts w:ascii="Times New Roman" w:hAnsi="Times New Roman" w:cs="Times New Roman"/>
          <w:sz w:val="24"/>
          <w:szCs w:val="24"/>
          <w:lang w:eastAsia="en-US"/>
        </w:rPr>
        <w:t>A descrição da solução como um todo contempla a CONTRATAÇÃO DE EMPRESA PARA AMPLIAÇÃO DA ESCOLA INÁCIO SILVESTRE MONTEIRO, LOCALIZADA NO DISTRITO DO ALTO CARACOL, NO MUNICÍPIO DE CARACOL/MS.</w:t>
      </w:r>
    </w:p>
    <w:p w14:paraId="28E3125F">
      <w:pPr>
        <w:pStyle w:val="100"/>
        <w:rPr>
          <w:rFonts w:ascii="Times New Roman" w:hAnsi="Times New Roman" w:cs="Times New Roman"/>
          <w:sz w:val="24"/>
          <w:szCs w:val="24"/>
        </w:rPr>
      </w:pPr>
    </w:p>
    <w:p w14:paraId="2A449E54">
      <w:pPr>
        <w:pStyle w:val="100"/>
        <w:numPr>
          <w:ilvl w:val="1"/>
          <w:numId w:val="26"/>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Exigências relacionadas à manutenção</w:t>
      </w:r>
    </w:p>
    <w:p w14:paraId="257AD1DC">
      <w:pPr>
        <w:pStyle w:val="100"/>
        <w:rPr>
          <w:rFonts w:ascii="Times New Roman" w:hAnsi="Times New Roman" w:cs="Times New Roman"/>
          <w:sz w:val="24"/>
          <w:szCs w:val="24"/>
        </w:rPr>
      </w:pPr>
    </w:p>
    <w:p w14:paraId="73D1BA7D">
      <w:pPr>
        <w:spacing w:line="360" w:lineRule="auto"/>
        <w:ind w:right="-1" w:firstLine="708"/>
        <w:jc w:val="both"/>
        <w:rPr>
          <w:rFonts w:eastAsia="Arial, 'Arial Narrow'"/>
          <w:szCs w:val="24"/>
        </w:rPr>
      </w:pPr>
      <w:r>
        <w:rPr>
          <w:rFonts w:eastAsia="Arial, 'Arial Narrow'"/>
          <w:szCs w:val="24"/>
        </w:rPr>
        <w:t>Conforme o disposto no §6º do art. 140 da Lei nº 14.133/2021,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w:t>
      </w:r>
    </w:p>
    <w:p w14:paraId="4FEC37E2">
      <w:pPr>
        <w:spacing w:line="360" w:lineRule="auto"/>
        <w:ind w:right="-1" w:firstLine="708"/>
        <w:jc w:val="both"/>
        <w:rPr>
          <w:rFonts w:eastAsia="Arial, 'Arial Narrow'"/>
          <w:szCs w:val="24"/>
        </w:rPr>
      </w:pPr>
      <w:r>
        <w:rPr>
          <w:rFonts w:eastAsia="Arial, 'Arial Narrow'"/>
          <w:szCs w:val="24"/>
        </w:rPr>
        <w:t>Em caso de vício, defeito ou incorreção identificados, o contratado ficará responsável pela reparação, correção, reconstrução ou substituição necessárias, conforme previsto em lei.</w:t>
      </w:r>
    </w:p>
    <w:p w14:paraId="3428B74A">
      <w:pPr>
        <w:spacing w:line="360" w:lineRule="auto"/>
        <w:ind w:right="-1" w:firstLine="708"/>
        <w:jc w:val="both"/>
        <w:rPr>
          <w:rFonts w:eastAsia="Arial, 'Arial Narrow'"/>
          <w:szCs w:val="24"/>
        </w:rPr>
      </w:pPr>
      <w:r>
        <w:rPr>
          <w:rFonts w:eastAsia="Arial, 'Arial Narrow'"/>
          <w:szCs w:val="24"/>
        </w:rPr>
        <w:t>Essa exigência visa assegurar a durabilidade, a segurança e a plena utilização das unidades habitacionais, garantindo a qualidade do investimento público e a confiabilidade das obras entregues à população.</w:t>
      </w:r>
    </w:p>
    <w:p w14:paraId="190C51B9">
      <w:pPr>
        <w:pStyle w:val="55"/>
        <w:numPr>
          <w:ilvl w:val="1"/>
          <w:numId w:val="26"/>
        </w:numPr>
        <w:suppressAutoHyphens w:val="0"/>
        <w:spacing w:after="200" w:line="276" w:lineRule="auto"/>
        <w:ind w:right="-1"/>
        <w:jc w:val="both"/>
        <w:rPr>
          <w:b/>
          <w:bCs/>
          <w:szCs w:val="24"/>
        </w:rPr>
      </w:pPr>
      <w:r>
        <w:rPr>
          <w:rFonts w:eastAsia="Arial, 'Arial Narrow'"/>
          <w:b/>
          <w:bCs/>
          <w:szCs w:val="24"/>
        </w:rPr>
        <w:t xml:space="preserve">Justificativa para as Exigências de </w:t>
      </w:r>
      <w:r>
        <w:rPr>
          <w:rFonts w:eastAsia="Calibri"/>
          <w:b/>
          <w:bCs/>
          <w:szCs w:val="24"/>
          <w:lang w:eastAsia="en-US"/>
        </w:rPr>
        <w:t>Qualificação Técnica</w:t>
      </w:r>
    </w:p>
    <w:p w14:paraId="08A7F6C2">
      <w:pPr>
        <w:pStyle w:val="100"/>
        <w:spacing w:line="360" w:lineRule="auto"/>
        <w:ind w:firstLine="708"/>
        <w:jc w:val="both"/>
        <w:rPr>
          <w:rFonts w:ascii="Times New Roman" w:hAnsi="Times New Roman" w:eastAsia="Arial, 'Arial Narrow'" w:cs="Times New Roman"/>
          <w:sz w:val="24"/>
          <w:szCs w:val="24"/>
        </w:rPr>
      </w:pPr>
      <w:r>
        <w:rPr>
          <w:rFonts w:ascii="Times New Roman" w:hAnsi="Times New Roman" w:eastAsia="Arial, 'Arial Narrow'" w:cs="Times New Roman"/>
          <w:sz w:val="24"/>
          <w:szCs w:val="24"/>
        </w:rPr>
        <w:t>Para esta contratação, serão exigidos os incisos I, II, V e VI do artigo 67 da Lei nº 14.133/2021, a qual dispõe que a documentação relativa à qualificação técnico-profissional e técnico-operacional será restrita às seguintes exigências:</w:t>
      </w:r>
    </w:p>
    <w:p w14:paraId="2EB22E12">
      <w:pPr>
        <w:pStyle w:val="100"/>
        <w:rPr>
          <w:rFonts w:ascii="Times New Roman" w:hAnsi="Times New Roman" w:cs="Times New Roman"/>
          <w:sz w:val="24"/>
          <w:szCs w:val="24"/>
        </w:rPr>
      </w:pPr>
    </w:p>
    <w:p w14:paraId="049E27DC">
      <w:pPr>
        <w:pStyle w:val="100"/>
        <w:spacing w:line="360" w:lineRule="auto"/>
        <w:jc w:val="both"/>
        <w:rPr>
          <w:rFonts w:ascii="Times New Roman" w:hAnsi="Times New Roman" w:eastAsia="Arial, 'Arial Narrow'" w:cs="Times New Roman"/>
          <w:i/>
          <w:iCs/>
          <w:sz w:val="24"/>
          <w:szCs w:val="24"/>
        </w:rPr>
      </w:pPr>
      <w:r>
        <w:rPr>
          <w:rFonts w:ascii="Times New Roman" w:hAnsi="Times New Roman" w:eastAsia="Arial, 'Arial Narrow'" w:cs="Times New Roman"/>
          <w:i/>
          <w:iCs/>
          <w:sz w:val="24"/>
          <w:szCs w:val="24"/>
        </w:rPr>
        <w:t>I – Apresentação de profissional, devidamente registrado no conselho profissional competente, quando for o caso, detentor de atestado de responsabilidade técnica por execução de obra ou serviço de características semelhantes, para fins de contratação;</w:t>
      </w:r>
    </w:p>
    <w:p w14:paraId="426BC2B1">
      <w:pPr>
        <w:pStyle w:val="100"/>
        <w:rPr>
          <w:rFonts w:ascii="Times New Roman" w:hAnsi="Times New Roman" w:cs="Times New Roman"/>
          <w:i/>
          <w:iCs/>
          <w:sz w:val="24"/>
          <w:szCs w:val="24"/>
        </w:rPr>
      </w:pPr>
    </w:p>
    <w:p w14:paraId="3B18DABD">
      <w:pPr>
        <w:pStyle w:val="100"/>
        <w:spacing w:line="360" w:lineRule="auto"/>
        <w:jc w:val="both"/>
        <w:rPr>
          <w:rFonts w:ascii="Times New Roman" w:hAnsi="Times New Roman" w:eastAsia="Arial, 'Arial Narrow'" w:cs="Times New Roman"/>
          <w:i/>
          <w:iCs/>
          <w:sz w:val="24"/>
          <w:szCs w:val="24"/>
        </w:rPr>
      </w:pPr>
      <w:r>
        <w:rPr>
          <w:rFonts w:ascii="Times New Roman" w:hAnsi="Times New Roman" w:eastAsia="Arial, 'Arial Narrow'" w:cs="Times New Roman"/>
          <w:i/>
          <w:iCs/>
          <w:sz w:val="24"/>
          <w:szCs w:val="24"/>
        </w:rP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 3º do art. 88 desta Lei;</w:t>
      </w:r>
    </w:p>
    <w:p w14:paraId="438C67B7">
      <w:pPr>
        <w:pStyle w:val="100"/>
        <w:rPr>
          <w:rFonts w:ascii="Times New Roman" w:hAnsi="Times New Roman" w:cs="Times New Roman"/>
          <w:sz w:val="24"/>
          <w:szCs w:val="24"/>
        </w:rPr>
      </w:pPr>
    </w:p>
    <w:p w14:paraId="7C73B643">
      <w:pPr>
        <w:pStyle w:val="100"/>
        <w:spacing w:line="360" w:lineRule="auto"/>
        <w:jc w:val="both"/>
        <w:rPr>
          <w:rFonts w:ascii="Times New Roman" w:hAnsi="Times New Roman" w:eastAsia="Arial, 'Arial Narrow'" w:cs="Times New Roman"/>
          <w:i/>
          <w:iCs/>
          <w:sz w:val="24"/>
          <w:szCs w:val="24"/>
        </w:rPr>
      </w:pPr>
      <w:r>
        <w:rPr>
          <w:rFonts w:ascii="Times New Roman" w:hAnsi="Times New Roman" w:eastAsia="Arial, 'Arial Narrow'" w:cs="Times New Roman"/>
          <w:i/>
          <w:iCs/>
          <w:sz w:val="24"/>
          <w:szCs w:val="24"/>
        </w:rPr>
        <w:t>V – Registro ou inscrição na entidade profissional competente, quando for o caso;</w:t>
      </w:r>
    </w:p>
    <w:p w14:paraId="7E241FEC">
      <w:pPr>
        <w:pStyle w:val="100"/>
        <w:rPr>
          <w:rFonts w:ascii="Times New Roman" w:hAnsi="Times New Roman" w:cs="Times New Roman"/>
          <w:i/>
          <w:iCs/>
          <w:sz w:val="24"/>
          <w:szCs w:val="24"/>
        </w:rPr>
      </w:pPr>
    </w:p>
    <w:p w14:paraId="4AE99D0A">
      <w:pPr>
        <w:pStyle w:val="100"/>
        <w:spacing w:line="360" w:lineRule="auto"/>
        <w:jc w:val="both"/>
        <w:rPr>
          <w:rFonts w:ascii="Times New Roman" w:hAnsi="Times New Roman" w:eastAsia="Arial, 'Arial Narrow'" w:cs="Times New Roman"/>
          <w:i/>
          <w:iCs/>
          <w:sz w:val="24"/>
          <w:szCs w:val="24"/>
        </w:rPr>
      </w:pPr>
      <w:r>
        <w:rPr>
          <w:rFonts w:ascii="Times New Roman" w:hAnsi="Times New Roman" w:eastAsia="Arial, 'Arial Narrow'" w:cs="Times New Roman"/>
          <w:i/>
          <w:iCs/>
          <w:sz w:val="24"/>
          <w:szCs w:val="24"/>
        </w:rPr>
        <w:t>VI – Declaração de que o licitante tomou conhecimento de todas as informações e das condições locais para o cumprimento das obrigações objeto da licitação.</w:t>
      </w:r>
    </w:p>
    <w:p w14:paraId="7F3A6FA8">
      <w:pPr>
        <w:pStyle w:val="100"/>
        <w:rPr>
          <w:rFonts w:ascii="Times New Roman" w:hAnsi="Times New Roman" w:cs="Times New Roman"/>
          <w:sz w:val="24"/>
          <w:szCs w:val="24"/>
        </w:rPr>
      </w:pPr>
    </w:p>
    <w:p w14:paraId="7FDA76DD">
      <w:pPr>
        <w:pStyle w:val="100"/>
        <w:spacing w:line="360" w:lineRule="auto"/>
        <w:ind w:firstLine="708"/>
        <w:jc w:val="both"/>
        <w:rPr>
          <w:rFonts w:ascii="Times New Roman" w:hAnsi="Times New Roman" w:eastAsia="Arial, 'Arial Narrow'" w:cs="Times New Roman"/>
          <w:sz w:val="24"/>
          <w:szCs w:val="24"/>
        </w:rPr>
      </w:pPr>
      <w:r>
        <w:rPr>
          <w:rFonts w:ascii="Times New Roman" w:hAnsi="Times New Roman" w:eastAsia="Arial, 'Arial Narrow'" w:cs="Times New Roman"/>
          <w:sz w:val="24"/>
          <w:szCs w:val="24"/>
        </w:rPr>
        <w:t xml:space="preserve">A declaração de que trata o inciso VI será apresentada por meio de </w:t>
      </w:r>
      <w:r>
        <w:rPr>
          <w:rFonts w:ascii="Times New Roman" w:hAnsi="Times New Roman" w:eastAsia="Arial, 'Arial Narrow'" w:cs="Times New Roman"/>
          <w:sz w:val="24"/>
          <w:szCs w:val="24"/>
          <w:u w:val="single"/>
        </w:rPr>
        <w:t>Atestado de Visita Técnica</w:t>
      </w:r>
      <w:r>
        <w:rPr>
          <w:rFonts w:ascii="Times New Roman" w:hAnsi="Times New Roman" w:eastAsia="Arial, 'Arial Narrow'" w:cs="Times New Roman"/>
          <w:sz w:val="24"/>
          <w:szCs w:val="24"/>
        </w:rPr>
        <w:t xml:space="preserve"> ou </w:t>
      </w:r>
      <w:r>
        <w:rPr>
          <w:rFonts w:ascii="Times New Roman" w:hAnsi="Times New Roman" w:eastAsia="Arial, 'Arial Narrow'" w:cs="Times New Roman"/>
          <w:sz w:val="24"/>
          <w:szCs w:val="24"/>
          <w:u w:val="single"/>
        </w:rPr>
        <w:t>Declaração de Renúncia de Vistoria</w:t>
      </w:r>
      <w:r>
        <w:rPr>
          <w:rFonts w:ascii="Times New Roman" w:hAnsi="Times New Roman" w:eastAsia="Arial, 'Arial Narrow'" w:cs="Times New Roman"/>
          <w:sz w:val="24"/>
          <w:szCs w:val="24"/>
        </w:rPr>
        <w:t>, caso a empresa opte por não realizar a vistoria.</w:t>
      </w:r>
    </w:p>
    <w:p w14:paraId="7B0EFFC8">
      <w:pPr>
        <w:pStyle w:val="100"/>
        <w:rPr>
          <w:rFonts w:ascii="Times New Roman" w:hAnsi="Times New Roman" w:cs="Times New Roman"/>
          <w:sz w:val="24"/>
          <w:szCs w:val="24"/>
        </w:rPr>
      </w:pPr>
    </w:p>
    <w:p w14:paraId="09779378">
      <w:pPr>
        <w:pStyle w:val="100"/>
        <w:spacing w:line="360" w:lineRule="auto"/>
        <w:ind w:firstLine="708"/>
        <w:jc w:val="both"/>
        <w:rPr>
          <w:rFonts w:ascii="Times New Roman" w:hAnsi="Times New Roman" w:eastAsia="Arial, 'Arial Narrow'" w:cs="Times New Roman"/>
          <w:sz w:val="24"/>
          <w:szCs w:val="24"/>
        </w:rPr>
      </w:pPr>
      <w:r>
        <w:rPr>
          <w:rFonts w:ascii="Times New Roman" w:hAnsi="Times New Roman" w:eastAsia="Arial, 'Arial Narrow'" w:cs="Times New Roman"/>
          <w:sz w:val="24"/>
          <w:szCs w:val="24"/>
        </w:rPr>
        <w:t>A exigência desses requisitos para habilitação justifica-se por se tratar de obra de engenharia, que, sem a experiência prévia comprovada, pode resultar em patologias construtivas, falhas de execução ou não conformidade com as especificações técnicas.</w:t>
      </w:r>
    </w:p>
    <w:p w14:paraId="4B612727">
      <w:pPr>
        <w:pStyle w:val="100"/>
        <w:rPr>
          <w:rFonts w:ascii="Times New Roman" w:hAnsi="Times New Roman" w:cs="Times New Roman"/>
          <w:sz w:val="24"/>
          <w:szCs w:val="24"/>
        </w:rPr>
      </w:pPr>
    </w:p>
    <w:p w14:paraId="6927E4B9">
      <w:pPr>
        <w:pStyle w:val="100"/>
        <w:numPr>
          <w:ilvl w:val="1"/>
          <w:numId w:val="26"/>
        </w:numPr>
        <w:spacing w:line="360" w:lineRule="auto"/>
        <w:jc w:val="both"/>
        <w:rPr>
          <w:rFonts w:ascii="Times New Roman" w:hAnsi="Times New Roman" w:cs="Times New Roman"/>
          <w:b/>
          <w:sz w:val="24"/>
          <w:szCs w:val="24"/>
          <w:lang w:eastAsia="en-US"/>
        </w:rPr>
      </w:pPr>
      <w:r>
        <w:rPr>
          <w:rFonts w:ascii="Times New Roman" w:hAnsi="Times New Roman" w:cs="Times New Roman"/>
          <w:b/>
          <w:sz w:val="24"/>
          <w:szCs w:val="24"/>
          <w:lang w:eastAsia="en-US"/>
        </w:rPr>
        <w:t>Qualificação Econômico-Financeira</w:t>
      </w:r>
    </w:p>
    <w:p w14:paraId="3A7E7A14">
      <w:pPr>
        <w:pStyle w:val="100"/>
        <w:rPr>
          <w:rFonts w:ascii="Times New Roman" w:hAnsi="Times New Roman" w:cs="Times New Roman"/>
          <w:sz w:val="24"/>
          <w:szCs w:val="24"/>
          <w:lang w:eastAsia="en-US"/>
        </w:rPr>
      </w:pPr>
    </w:p>
    <w:p w14:paraId="211E282F">
      <w:pPr>
        <w:spacing w:line="360" w:lineRule="auto"/>
        <w:ind w:right="-1" w:firstLine="708"/>
        <w:jc w:val="both"/>
        <w:rPr>
          <w:rFonts w:eastAsia="Calibri"/>
          <w:bCs/>
          <w:szCs w:val="24"/>
          <w:lang w:eastAsia="en-US"/>
        </w:rPr>
      </w:pPr>
      <w:r>
        <w:rPr>
          <w:rFonts w:eastAsia="Calibri"/>
          <w:bCs/>
          <w:szCs w:val="24"/>
          <w:lang w:eastAsia="en-US"/>
        </w:rPr>
        <w:t>A habilitação econômico-financeira visa demonstrar a aptidão econômica do licitante para cumprir as obrigações decorrentes do futuro contrato, devendo ser comprovada de forma objetiva, por meio de coeficientes e índices econômicos previstos e devidamente justificados no processo licitatório, sendo restrita à apresentação de documentação, nos termos dos Art. 67 e 69 da Lei nº 14.133/2021.</w:t>
      </w:r>
    </w:p>
    <w:p w14:paraId="1CF86187">
      <w:pPr>
        <w:pStyle w:val="100"/>
        <w:rPr>
          <w:rFonts w:ascii="Times New Roman" w:hAnsi="Times New Roman" w:cs="Times New Roman"/>
          <w:sz w:val="24"/>
          <w:szCs w:val="24"/>
          <w:lang w:eastAsia="en-US"/>
        </w:rPr>
      </w:pPr>
    </w:p>
    <w:p w14:paraId="7FC23255">
      <w:pPr>
        <w:spacing w:line="360" w:lineRule="auto"/>
        <w:ind w:right="-1" w:firstLine="708"/>
        <w:jc w:val="both"/>
        <w:rPr>
          <w:rFonts w:eastAsia="Calibri"/>
          <w:bCs/>
          <w:szCs w:val="24"/>
          <w:lang w:eastAsia="en-US"/>
        </w:rPr>
      </w:pPr>
      <w:r>
        <w:rPr>
          <w:rFonts w:eastAsia="Calibri"/>
          <w:bCs/>
          <w:szCs w:val="24"/>
          <w:lang w:eastAsia="en-US"/>
        </w:rPr>
        <w:t>A qualificação econômico-financeira é necessária para garantir que a empresa possua condições de arcar com os custos monetários do objeto, evitando atrasos na execução por falta de capital para gerir o empreendimento. Para tanto, será solicitado o Balanço Patrimonial.</w:t>
      </w:r>
    </w:p>
    <w:p w14:paraId="5811F338">
      <w:pPr>
        <w:pStyle w:val="100"/>
        <w:rPr>
          <w:rFonts w:ascii="Times New Roman" w:hAnsi="Times New Roman" w:cs="Times New Roman"/>
          <w:sz w:val="24"/>
          <w:szCs w:val="24"/>
        </w:rPr>
      </w:pPr>
    </w:p>
    <w:p w14:paraId="43AC8D6D">
      <w:pPr>
        <w:pStyle w:val="100"/>
        <w:numPr>
          <w:ilvl w:val="0"/>
          <w:numId w:val="26"/>
        </w:numPr>
        <w:spacing w:line="360" w:lineRule="auto"/>
        <w:jc w:val="both"/>
        <w:rPr>
          <w:rFonts w:ascii="Times New Roman" w:hAnsi="Times New Roman" w:cs="Times New Roman"/>
          <w:b/>
          <w:sz w:val="24"/>
          <w:szCs w:val="24"/>
          <w:lang w:eastAsia="en-US"/>
        </w:rPr>
      </w:pPr>
      <w:r>
        <w:rPr>
          <w:rFonts w:ascii="Times New Roman" w:hAnsi="Times New Roman" w:cs="Times New Roman"/>
          <w:b/>
          <w:sz w:val="24"/>
          <w:szCs w:val="24"/>
          <w:lang w:eastAsia="en-US"/>
        </w:rPr>
        <w:t>Justificativas para o parcelamento ou não da contratação.</w:t>
      </w:r>
    </w:p>
    <w:p w14:paraId="4DBA5F85">
      <w:pPr>
        <w:pStyle w:val="100"/>
        <w:rPr>
          <w:rFonts w:ascii="Times New Roman" w:hAnsi="Times New Roman" w:cs="Times New Roman"/>
          <w:sz w:val="24"/>
          <w:szCs w:val="24"/>
        </w:rPr>
      </w:pPr>
    </w:p>
    <w:p w14:paraId="01EF51C1">
      <w:pPr>
        <w:pStyle w:val="100"/>
        <w:spacing w:line="360" w:lineRule="auto"/>
        <w:ind w:firstLine="708"/>
        <w:jc w:val="both"/>
        <w:rPr>
          <w:rFonts w:ascii="Times New Roman" w:hAnsi="Times New Roman" w:cs="Times New Roman"/>
          <w:b/>
          <w:bCs/>
          <w:sz w:val="24"/>
          <w:szCs w:val="24"/>
          <w:u w:val="single"/>
        </w:rPr>
      </w:pPr>
      <w:r>
        <w:rPr>
          <w:rFonts w:ascii="Times New Roman" w:hAnsi="Times New Roman" w:cs="Times New Roman"/>
          <w:sz w:val="24"/>
          <w:szCs w:val="24"/>
        </w:rPr>
        <w:t xml:space="preserve">O parcelamento constitui a regra legal. Contudo, para a execução de obras, a divisão do objeto a ser contratado mostra-se inviável, uma vez que se trata de um sistema único e integrado, cuja fragmentação pode comprometer a qualidade e a segurança da estrutura, colocando o conjunto em risco. Dessa forma, a licitação será realizada pelo critério de </w:t>
      </w:r>
      <w:r>
        <w:rPr>
          <w:rFonts w:ascii="Times New Roman" w:hAnsi="Times New Roman" w:cs="Times New Roman"/>
          <w:b/>
          <w:bCs/>
          <w:sz w:val="24"/>
          <w:szCs w:val="24"/>
          <w:u w:val="single"/>
        </w:rPr>
        <w:t>maior desconto global.</w:t>
      </w:r>
    </w:p>
    <w:p w14:paraId="552003D2">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O item único está detalhado na planilha orçamentária, cabendo à Administração a análise de exequibilidade dos valores individuais, de modo a garantir que estejam adequados ao preço estimado. Assim, a formação de item único representa a melhor alternativa econômica, por ampliar a competitividade e gerar economia de escala, despertando maior interesse das empresas participantes.</w:t>
      </w:r>
    </w:p>
    <w:p w14:paraId="483F7DA9">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 opção por item único também é a mais adequada do ponto de vista técnico, pois mantém a qualidade do empreendimento, centraliza a responsabilidade em um único executor e permite maior controle sobre a execução, o cumprimento do cronograma e a observância dos prazos estabelecidos.</w:t>
      </w:r>
    </w:p>
    <w:p w14:paraId="46C49C3A">
      <w:pPr>
        <w:pStyle w:val="100"/>
        <w:rPr>
          <w:rFonts w:ascii="Times New Roman" w:hAnsi="Times New Roman" w:cs="Times New Roman"/>
          <w:sz w:val="24"/>
          <w:szCs w:val="24"/>
        </w:rPr>
      </w:pPr>
    </w:p>
    <w:p w14:paraId="7FAA431E">
      <w:pPr>
        <w:pStyle w:val="100"/>
        <w:numPr>
          <w:ilvl w:val="0"/>
          <w:numId w:val="26"/>
        </w:numPr>
        <w:spacing w:line="360" w:lineRule="auto"/>
        <w:jc w:val="both"/>
        <w:rPr>
          <w:rFonts w:ascii="Times New Roman" w:hAnsi="Times New Roman" w:cs="Times New Roman"/>
          <w:b/>
          <w:sz w:val="24"/>
          <w:szCs w:val="24"/>
          <w:lang w:eastAsia="en-US"/>
        </w:rPr>
      </w:pPr>
      <w:r>
        <w:rPr>
          <w:rFonts w:ascii="Times New Roman" w:hAnsi="Times New Roman" w:cs="Times New Roman"/>
          <w:b/>
          <w:sz w:val="24"/>
          <w:szCs w:val="24"/>
          <w:lang w:eastAsia="en-US"/>
        </w:rPr>
        <w:t>Demonstrativo dos resultados pretendidos em termos de economicidade e de melhor aproveitamento dos recursos humanos, materiais e financeiros disponíveis.</w:t>
      </w:r>
    </w:p>
    <w:p w14:paraId="41DDE53D">
      <w:pPr>
        <w:pStyle w:val="100"/>
        <w:rPr>
          <w:rFonts w:ascii="Times New Roman" w:hAnsi="Times New Roman" w:cs="Times New Roman"/>
          <w:sz w:val="24"/>
          <w:szCs w:val="24"/>
        </w:rPr>
      </w:pPr>
    </w:p>
    <w:p w14:paraId="78B01B11">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A presente contratação objetiva alcançar resultados que assegurem a economicidade e a otimização dos recursos humanos, materiais e financeiros disponíveis. Nesse sentido, destacam-se os seguintes pontos:</w:t>
      </w:r>
    </w:p>
    <w:p w14:paraId="170B4713">
      <w:pPr>
        <w:pStyle w:val="100"/>
        <w:jc w:val="both"/>
        <w:rPr>
          <w:rFonts w:ascii="Times New Roman" w:hAnsi="Times New Roman" w:cs="Times New Roman"/>
          <w:sz w:val="24"/>
          <w:szCs w:val="24"/>
        </w:rPr>
      </w:pPr>
    </w:p>
    <w:p w14:paraId="26B26CF6">
      <w:pPr>
        <w:pStyle w:val="100"/>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Ampliação da capacidade de atendimento da escola, garantindo vagas suficientes para atender à demanda do Distrito do Alto Caracol;</w:t>
      </w:r>
    </w:p>
    <w:p w14:paraId="260AD0AB">
      <w:pPr>
        <w:pStyle w:val="100"/>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Melhoria das condições físicas e pedagógicas da unidade escolar, proporcionando ambientes adequados, seguros e confortáveis para alunos e professores;</w:t>
      </w:r>
    </w:p>
    <w:p w14:paraId="07F3E58C">
      <w:pPr>
        <w:pStyle w:val="100"/>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Redução da superlotação das salas de aula existentes, favorecendo o processo de ensino e aprendizagem;</w:t>
      </w:r>
    </w:p>
    <w:p w14:paraId="32B9F2E4">
      <w:pPr>
        <w:pStyle w:val="100"/>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Maior eficiência no uso dos espaços escolares, evitando a necessidade de soluções provisórias ou deslocamento de alunos para outras unidades;</w:t>
      </w:r>
    </w:p>
    <w:p w14:paraId="22A7F629">
      <w:pPr>
        <w:pStyle w:val="100"/>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Valorização da infraestrutura educacional local, contribuindo para a qualidade da educação pública municipal.</w:t>
      </w:r>
    </w:p>
    <w:p w14:paraId="209B5ADD">
      <w:pPr>
        <w:pStyle w:val="100"/>
        <w:rPr>
          <w:rFonts w:ascii="Times New Roman" w:hAnsi="Times New Roman" w:cs="Times New Roman"/>
          <w:sz w:val="24"/>
          <w:szCs w:val="24"/>
        </w:rPr>
      </w:pPr>
    </w:p>
    <w:p w14:paraId="02F98D35">
      <w:pPr>
        <w:spacing w:line="360" w:lineRule="auto"/>
        <w:ind w:firstLine="708"/>
        <w:jc w:val="both"/>
        <w:rPr>
          <w:szCs w:val="24"/>
        </w:rPr>
      </w:pPr>
      <w:r>
        <w:rPr>
          <w:szCs w:val="24"/>
        </w:rPr>
        <w:t>Assim, a contratação em análise se revela compatível com os princípios da economicidade, eficiência e interesse público, previstos na Lei nº 14.133/2021.</w:t>
      </w:r>
    </w:p>
    <w:p w14:paraId="3AAAD138">
      <w:pPr>
        <w:pStyle w:val="100"/>
        <w:numPr>
          <w:ilvl w:val="0"/>
          <w:numId w:val="26"/>
        </w:numPr>
        <w:spacing w:line="360" w:lineRule="auto"/>
        <w:jc w:val="both"/>
        <w:rPr>
          <w:rFonts w:ascii="Times New Roman" w:hAnsi="Times New Roman" w:cs="Times New Roman"/>
          <w:b/>
          <w:sz w:val="24"/>
          <w:szCs w:val="24"/>
          <w:lang w:eastAsia="en-US"/>
        </w:rPr>
      </w:pPr>
      <w:r>
        <w:rPr>
          <w:rFonts w:ascii="Times New Roman" w:hAnsi="Times New Roman" w:cs="Times New Roman"/>
          <w:b/>
          <w:sz w:val="24"/>
          <w:szCs w:val="24"/>
          <w:lang w:eastAsia="en-US"/>
        </w:rPr>
        <w:t>Providências a serem adotadas pela administração previamente à celebração do contrato, inclusive quanto à capacitação de servidores para fiscalização e gestão contratual.</w:t>
      </w:r>
    </w:p>
    <w:p w14:paraId="46291635">
      <w:pPr>
        <w:pStyle w:val="100"/>
        <w:rPr>
          <w:rFonts w:ascii="Times New Roman" w:hAnsi="Times New Roman" w:cs="Times New Roman"/>
          <w:sz w:val="24"/>
          <w:szCs w:val="24"/>
        </w:rPr>
      </w:pPr>
    </w:p>
    <w:p w14:paraId="3145B6F6">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Não se vislumbra necessidade de adoção de providências ou adequações para a solução a ser contratada.</w:t>
      </w:r>
    </w:p>
    <w:p w14:paraId="5A88CEB0">
      <w:pPr>
        <w:pStyle w:val="100"/>
        <w:rPr>
          <w:rFonts w:ascii="Times New Roman" w:hAnsi="Times New Roman" w:cs="Times New Roman"/>
          <w:sz w:val="24"/>
          <w:szCs w:val="24"/>
        </w:rPr>
      </w:pPr>
    </w:p>
    <w:p w14:paraId="4D6E0F2D">
      <w:pPr>
        <w:pStyle w:val="100"/>
        <w:numPr>
          <w:ilvl w:val="0"/>
          <w:numId w:val="26"/>
        </w:numPr>
        <w:spacing w:line="360" w:lineRule="auto"/>
        <w:jc w:val="both"/>
        <w:rPr>
          <w:rFonts w:ascii="Times New Roman" w:hAnsi="Times New Roman" w:cs="Times New Roman"/>
          <w:b/>
          <w:sz w:val="24"/>
          <w:szCs w:val="24"/>
          <w:lang w:eastAsia="en-US"/>
        </w:rPr>
      </w:pPr>
      <w:r>
        <w:rPr>
          <w:rFonts w:ascii="Times New Roman" w:hAnsi="Times New Roman" w:cs="Times New Roman"/>
          <w:b/>
          <w:sz w:val="24"/>
          <w:szCs w:val="24"/>
          <w:lang w:eastAsia="en-US"/>
        </w:rPr>
        <w:t>Contratações correlatas e/ou interdependentes.</w:t>
      </w:r>
    </w:p>
    <w:p w14:paraId="12491801">
      <w:pPr>
        <w:pStyle w:val="100"/>
        <w:rPr>
          <w:rFonts w:ascii="Times New Roman" w:hAnsi="Times New Roman" w:cs="Times New Roman"/>
          <w:sz w:val="24"/>
          <w:szCs w:val="24"/>
        </w:rPr>
      </w:pPr>
    </w:p>
    <w:p w14:paraId="192A8BFF">
      <w:pPr>
        <w:pStyle w:val="100"/>
        <w:spacing w:line="360" w:lineRule="auto"/>
        <w:ind w:firstLine="360"/>
        <w:jc w:val="both"/>
        <w:rPr>
          <w:rFonts w:ascii="Times New Roman" w:hAnsi="Times New Roman" w:cs="Times New Roman"/>
          <w:sz w:val="24"/>
          <w:szCs w:val="24"/>
        </w:rPr>
      </w:pPr>
      <w:bookmarkStart w:id="42" w:name="_Hlk206072508"/>
      <w:r>
        <w:rPr>
          <w:rFonts w:ascii="Times New Roman" w:hAnsi="Times New Roman" w:cs="Times New Roman"/>
          <w:sz w:val="24"/>
          <w:szCs w:val="24"/>
        </w:rPr>
        <w:t>Não há contratações correlatas ou interdependentes.</w:t>
      </w:r>
    </w:p>
    <w:p w14:paraId="104980DE">
      <w:pPr>
        <w:pStyle w:val="100"/>
        <w:rPr>
          <w:rFonts w:ascii="Times New Roman" w:hAnsi="Times New Roman" w:cs="Times New Roman"/>
          <w:sz w:val="24"/>
          <w:szCs w:val="24"/>
        </w:rPr>
      </w:pPr>
    </w:p>
    <w:bookmarkEnd w:id="42"/>
    <w:p w14:paraId="6EE18635">
      <w:pPr>
        <w:pStyle w:val="100"/>
        <w:numPr>
          <w:ilvl w:val="0"/>
          <w:numId w:val="26"/>
        </w:numPr>
        <w:spacing w:line="360" w:lineRule="auto"/>
        <w:jc w:val="both"/>
        <w:rPr>
          <w:rFonts w:ascii="Times New Roman" w:hAnsi="Times New Roman" w:cs="Times New Roman"/>
          <w:b/>
          <w:sz w:val="24"/>
          <w:szCs w:val="24"/>
          <w:lang w:eastAsia="en-US"/>
        </w:rPr>
      </w:pPr>
      <w:r>
        <w:rPr>
          <w:rFonts w:ascii="Times New Roman" w:hAnsi="Times New Roman" w:cs="Times New Roman"/>
          <w:b/>
          <w:sz w:val="24"/>
          <w:szCs w:val="24"/>
          <w:lang w:eastAsia="en-US"/>
        </w:rPr>
        <w:t>Descrição de possíveis impactos ambientais e respectivas medidas mitigadoras, incluídos requisitos de baixo consumo de energia e de outros recursos, bem como logística reversa para desfazimento e reciclagem de bens e refugos, quando aplicável.</w:t>
      </w:r>
    </w:p>
    <w:p w14:paraId="5CE69CFB">
      <w:pPr>
        <w:pStyle w:val="100"/>
        <w:rPr>
          <w:rFonts w:ascii="Times New Roman" w:hAnsi="Times New Roman" w:cs="Times New Roman"/>
          <w:sz w:val="24"/>
          <w:szCs w:val="24"/>
        </w:rPr>
      </w:pPr>
    </w:p>
    <w:p w14:paraId="16214199">
      <w:pPr>
        <w:pStyle w:val="100"/>
        <w:spacing w:line="360" w:lineRule="auto"/>
        <w:ind w:firstLine="708"/>
        <w:jc w:val="both"/>
        <w:rPr>
          <w:rFonts w:ascii="Times New Roman" w:hAnsi="Times New Roman" w:eastAsia="Times New Roman" w:cs="Times New Roman"/>
          <w:b/>
          <w:sz w:val="24"/>
          <w:szCs w:val="24"/>
        </w:rPr>
      </w:pPr>
      <w:bookmarkStart w:id="43" w:name="_Hlk206072537"/>
      <w:r>
        <w:rPr>
          <w:rFonts w:ascii="Times New Roman" w:hAnsi="Times New Roman" w:eastAsia="Times New Roman" w:cs="Times New Roman"/>
          <w:bCs/>
          <w:sz w:val="24"/>
          <w:szCs w:val="24"/>
        </w:rPr>
        <w:t xml:space="preserve">De acordo com o IMASUL – Instituto de Meio Ambiente de Mato Grosso do Sul, a atividade de </w:t>
      </w:r>
      <w:r>
        <w:rPr>
          <w:rFonts w:ascii="Times New Roman" w:hAnsi="Times New Roman" w:eastAsia="Times New Roman" w:cs="Times New Roman"/>
          <w:b/>
          <w:sz w:val="24"/>
          <w:szCs w:val="24"/>
        </w:rPr>
        <w:t xml:space="preserve">"Creches, centro integrado de educação infantil (CIEI) e escolas" </w:t>
      </w:r>
      <w:r>
        <w:rPr>
          <w:rFonts w:ascii="Times New Roman" w:hAnsi="Times New Roman" w:eastAsia="Times New Roman" w:cs="Times New Roman"/>
          <w:bCs/>
          <w:sz w:val="24"/>
          <w:szCs w:val="24"/>
        </w:rPr>
        <w:t xml:space="preserve">é isenta de Licenciamento Ambiental Estadual, conforme Declaração Ambiental Eletrônica nº </w:t>
      </w:r>
      <w:r>
        <w:rPr>
          <w:rFonts w:ascii="Times New Roman" w:hAnsi="Times New Roman" w:eastAsia="Times New Roman" w:cs="Times New Roman"/>
          <w:b/>
          <w:sz w:val="24"/>
          <w:szCs w:val="24"/>
        </w:rPr>
        <w:t>017837/2025</w:t>
      </w:r>
      <w:r>
        <w:rPr>
          <w:rFonts w:ascii="Times New Roman" w:hAnsi="Times New Roman" w:eastAsia="Times New Roman" w:cs="Times New Roman"/>
          <w:bCs/>
          <w:sz w:val="24"/>
          <w:szCs w:val="24"/>
        </w:rPr>
        <w:t>, de acordo com a Resolução SEMADE n. 9, de 13 de maio de 2015.</w:t>
      </w:r>
    </w:p>
    <w:p w14:paraId="14DE3A17">
      <w:pPr>
        <w:pStyle w:val="100"/>
        <w:numPr>
          <w:ilvl w:val="0"/>
          <w:numId w:val="28"/>
        </w:numPr>
        <w:spacing w:line="360" w:lineRule="auto"/>
        <w:jc w:val="both"/>
        <w:rPr>
          <w:rFonts w:ascii="Times New Roman" w:hAnsi="Times New Roman" w:eastAsia="Times New Roman" w:cs="Times New Roman"/>
          <w:bCs/>
          <w:i/>
          <w:iCs/>
          <w:sz w:val="24"/>
          <w:szCs w:val="24"/>
        </w:rPr>
      </w:pPr>
      <w:r>
        <w:rPr>
          <w:rFonts w:ascii="Times New Roman" w:hAnsi="Times New Roman" w:eastAsia="Times New Roman" w:cs="Times New Roman"/>
          <w:bCs/>
          <w:i/>
          <w:iCs/>
          <w:sz w:val="24"/>
          <w:szCs w:val="24"/>
        </w:rPr>
        <w:t>Esta declaração não exime o empreendedor do cumprimento da legislação ambiental e o sujeita à fiscalização e anulação da presente declaração, caso sejam constatadas irregularidades, bem como à autuação e imposição de sanções administrativas cabíveis.</w:t>
      </w:r>
    </w:p>
    <w:p w14:paraId="2C673DFA">
      <w:pPr>
        <w:pStyle w:val="100"/>
        <w:numPr>
          <w:ilvl w:val="0"/>
          <w:numId w:val="28"/>
        </w:numPr>
        <w:spacing w:line="360" w:lineRule="auto"/>
        <w:jc w:val="both"/>
        <w:rPr>
          <w:rFonts w:ascii="Times New Roman" w:hAnsi="Times New Roman" w:eastAsia="Times New Roman" w:cs="Times New Roman"/>
          <w:bCs/>
          <w:i/>
          <w:iCs/>
          <w:sz w:val="24"/>
          <w:szCs w:val="24"/>
        </w:rPr>
      </w:pPr>
      <w:r>
        <w:rPr>
          <w:rFonts w:ascii="Times New Roman" w:hAnsi="Times New Roman" w:eastAsia="Times New Roman" w:cs="Times New Roman"/>
          <w:bCs/>
          <w:i/>
          <w:iCs/>
          <w:sz w:val="24"/>
          <w:szCs w:val="24"/>
        </w:rPr>
        <w:t>O titular de atividade isenta do licenciamento ambiental estadual deverá providenciar a destinação ambientalmente correta dos resíduos gerados em seu empreendimento.</w:t>
      </w:r>
    </w:p>
    <w:p w14:paraId="0FC16D73">
      <w:pPr>
        <w:pStyle w:val="100"/>
        <w:numPr>
          <w:ilvl w:val="0"/>
          <w:numId w:val="28"/>
        </w:numPr>
        <w:spacing w:line="360" w:lineRule="auto"/>
        <w:jc w:val="both"/>
        <w:rPr>
          <w:rFonts w:ascii="Times New Roman" w:hAnsi="Times New Roman" w:eastAsia="Times New Roman" w:cs="Times New Roman"/>
          <w:i/>
          <w:iCs/>
          <w:sz w:val="24"/>
          <w:szCs w:val="24"/>
        </w:rPr>
      </w:pPr>
      <w:r>
        <w:rPr>
          <w:rFonts w:ascii="Times New Roman" w:hAnsi="Times New Roman" w:eastAsia="Times New Roman" w:cs="Times New Roman"/>
          <w:i/>
          <w:iCs/>
          <w:sz w:val="24"/>
          <w:szCs w:val="24"/>
        </w:rPr>
        <w:t>Será comum entre o proprietário/possuidor das áreas e aquele que executou diretamente a intervenção, a responsabilidade por eventuais danos ambientais decorrentes das intervenções realizadas com vistas à implantação ou operação da atividade isenta do licenciamento ambiental estadual.</w:t>
      </w:r>
    </w:p>
    <w:p w14:paraId="0A908F26">
      <w:pPr>
        <w:pStyle w:val="100"/>
        <w:rPr>
          <w:rFonts w:ascii="Times New Roman" w:hAnsi="Times New Roman" w:cs="Times New Roman"/>
          <w:sz w:val="24"/>
          <w:szCs w:val="24"/>
        </w:rPr>
      </w:pPr>
    </w:p>
    <w:p w14:paraId="66D06B63">
      <w:pPr>
        <w:pStyle w:val="100"/>
        <w:spacing w:line="360" w:lineRule="auto"/>
        <w:ind w:firstLine="70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Visando a efetiva aplicação de critérios, ações ambientais e socioambientais quanto à inserção de requisitos de sustentabilidade ambiental nos editais de licitação promovidos pela Administração Pública, e em atendimento ao artigo 6º e seus incisos da Instrução Normativa nº 01/2010 da SLTI/MPOG e de acordo com o Guia Nacional de Licitações Sustentáveis – DECOR/CGU/AGU, quando da contratação de serviços, poderá prever que as empresas Contratadas adotem as seguintes práticas de sustentabilidade na execução dos serviços:</w:t>
      </w:r>
    </w:p>
    <w:p w14:paraId="64B492D9">
      <w:pPr>
        <w:pStyle w:val="10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Adote medidas para evitar o desperdício de água tratada, conforme instituído no Decreto nº 48.138, de 8 de outubro de 2003;</w:t>
      </w:r>
    </w:p>
    <w:p w14:paraId="7E727F85">
      <w:pPr>
        <w:pStyle w:val="10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II.</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Forneça aos empregados os equipamentos de segurança que se fizerem necessários, para a execução de serviços;</w:t>
      </w:r>
    </w:p>
    <w:p w14:paraId="099318B7">
      <w:pPr>
        <w:pStyle w:val="10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III.</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Respeite as Normas Brasileiras – NBR publicadas pela Associação Brasileira de Normas Técnicas sobre resíduos sólidos;</w:t>
      </w:r>
    </w:p>
    <w:p w14:paraId="6B27E0A5">
      <w:pPr>
        <w:pStyle w:val="100"/>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IV.</w:t>
      </w:r>
      <w:r>
        <w:rPr>
          <w:rFonts w:ascii="Times New Roman" w:hAnsi="Times New Roman" w:eastAsia="Times New Roman" w:cs="Times New Roman"/>
          <w:sz w:val="24"/>
          <w:szCs w:val="24"/>
        </w:rPr>
        <w:tab/>
      </w:r>
      <w:r>
        <w:rPr>
          <w:rFonts w:ascii="Times New Roman" w:hAnsi="Times New Roman" w:eastAsia="Times New Roman" w:cs="Times New Roman"/>
          <w:sz w:val="24"/>
          <w:szCs w:val="24"/>
        </w:rPr>
        <w:t>A Contratada deverá observar as diretrizes, critérios e procedimentos para a gestão dos resíduos da construção civil estabelecidos na Lei nº 12.305, de 2010 – Política Nacional de Resíduos Sólidos, artigos 3º e 10º da Resolução nº 307, de 05/07/2002, do Conselho Nacional de Meio Ambiente – CONAMA, e Instrução Normativa SLTI/MPOG n° 1, de 19/01/2010.</w:t>
      </w:r>
    </w:p>
    <w:bookmarkEnd w:id="43"/>
    <w:p w14:paraId="73E214AC">
      <w:pPr>
        <w:pStyle w:val="100"/>
        <w:spacing w:line="360" w:lineRule="auto"/>
        <w:rPr>
          <w:rFonts w:ascii="Times New Roman" w:hAnsi="Times New Roman" w:cs="Times New Roman"/>
          <w:b/>
          <w:i/>
          <w:iCs/>
          <w:sz w:val="24"/>
          <w:szCs w:val="24"/>
          <w:u w:val="single"/>
          <w:lang w:eastAsia="en-US"/>
        </w:rPr>
      </w:pPr>
      <w:bookmarkStart w:id="44" w:name="_Hlk72228042"/>
    </w:p>
    <w:p w14:paraId="2B9BEDCB">
      <w:pPr>
        <w:pStyle w:val="100"/>
        <w:spacing w:line="360" w:lineRule="auto"/>
        <w:rPr>
          <w:rFonts w:ascii="Times New Roman" w:hAnsi="Times New Roman" w:cs="Times New Roman"/>
          <w:b/>
          <w:i/>
          <w:iCs/>
          <w:sz w:val="24"/>
          <w:szCs w:val="24"/>
          <w:u w:val="single"/>
          <w:lang w:eastAsia="en-US"/>
        </w:rPr>
      </w:pPr>
    </w:p>
    <w:p w14:paraId="0FEAA6EF">
      <w:pPr>
        <w:pStyle w:val="100"/>
        <w:spacing w:line="360" w:lineRule="auto"/>
        <w:rPr>
          <w:rFonts w:ascii="Times New Roman" w:hAnsi="Times New Roman" w:cs="Times New Roman"/>
          <w:b/>
          <w:i/>
          <w:iCs/>
          <w:sz w:val="24"/>
          <w:szCs w:val="24"/>
          <w:u w:val="single"/>
          <w:lang w:eastAsia="en-US"/>
        </w:rPr>
      </w:pPr>
    </w:p>
    <w:p w14:paraId="2E1FB1F4">
      <w:pPr>
        <w:pStyle w:val="100"/>
        <w:spacing w:line="360" w:lineRule="auto"/>
        <w:rPr>
          <w:rFonts w:ascii="Times New Roman" w:hAnsi="Times New Roman" w:cs="Times New Roman"/>
          <w:b/>
          <w:i/>
          <w:iCs/>
          <w:sz w:val="24"/>
          <w:szCs w:val="24"/>
          <w:u w:val="single"/>
          <w:lang w:eastAsia="en-US"/>
        </w:rPr>
      </w:pPr>
    </w:p>
    <w:p w14:paraId="7B3E73CB">
      <w:pPr>
        <w:pStyle w:val="100"/>
        <w:spacing w:line="360" w:lineRule="auto"/>
        <w:rPr>
          <w:rFonts w:ascii="Times New Roman" w:hAnsi="Times New Roman" w:cs="Times New Roman"/>
          <w:b/>
          <w:i/>
          <w:iCs/>
          <w:sz w:val="24"/>
          <w:szCs w:val="24"/>
          <w:u w:val="single"/>
          <w:lang w:eastAsia="en-US"/>
        </w:rPr>
      </w:pPr>
    </w:p>
    <w:p w14:paraId="1974B2AF">
      <w:pPr>
        <w:pStyle w:val="100"/>
        <w:spacing w:line="360" w:lineRule="auto"/>
        <w:rPr>
          <w:rFonts w:ascii="Times New Roman" w:hAnsi="Times New Roman" w:cs="Times New Roman"/>
          <w:b/>
          <w:i/>
          <w:iCs/>
          <w:sz w:val="24"/>
          <w:szCs w:val="24"/>
          <w:u w:val="single"/>
          <w:lang w:eastAsia="en-US"/>
        </w:rPr>
      </w:pPr>
    </w:p>
    <w:p w14:paraId="3150C08F">
      <w:pPr>
        <w:pStyle w:val="100"/>
        <w:spacing w:line="360" w:lineRule="auto"/>
        <w:rPr>
          <w:rFonts w:ascii="Times New Roman" w:hAnsi="Times New Roman" w:cs="Times New Roman"/>
          <w:b/>
          <w:i/>
          <w:iCs/>
          <w:sz w:val="24"/>
          <w:szCs w:val="24"/>
          <w:u w:val="single"/>
          <w:lang w:eastAsia="en-US"/>
        </w:rPr>
      </w:pPr>
    </w:p>
    <w:p w14:paraId="433FF8B4">
      <w:pPr>
        <w:pStyle w:val="100"/>
        <w:spacing w:line="360" w:lineRule="auto"/>
        <w:jc w:val="center"/>
        <w:rPr>
          <w:rFonts w:ascii="Times New Roman" w:hAnsi="Times New Roman" w:cs="Times New Roman"/>
          <w:b/>
          <w:i/>
          <w:iCs/>
          <w:u w:val="single"/>
          <w:lang w:eastAsia="en-US"/>
        </w:rPr>
      </w:pPr>
      <w:r>
        <w:rPr>
          <w:rFonts w:ascii="Times New Roman" w:hAnsi="Times New Roman" w:cs="Times New Roman"/>
          <w:b/>
          <w:i/>
          <w:iCs/>
          <w:u w:val="single"/>
          <w:lang w:eastAsia="en-US"/>
        </w:rPr>
        <w:t>GERENCIAMENTO DE RISCO</w:t>
      </w:r>
    </w:p>
    <w:p w14:paraId="0834F2BA">
      <w:pPr>
        <w:pStyle w:val="100"/>
        <w:rPr>
          <w:rFonts w:ascii="Times New Roman" w:hAnsi="Times New Roman" w:cs="Times New Roman"/>
        </w:rPr>
      </w:pPr>
    </w:p>
    <w:tbl>
      <w:tblPr>
        <w:tblStyle w:val="150"/>
        <w:tblW w:w="87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5"/>
        <w:gridCol w:w="6648"/>
        <w:gridCol w:w="8"/>
      </w:tblGrid>
      <w:tr w14:paraId="466C4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045" w:type="dxa"/>
            <w:shd w:val="clear" w:color="auto" w:fill="EEECE1"/>
          </w:tcPr>
          <w:p w14:paraId="72507B2C">
            <w:pPr>
              <w:spacing w:line="360" w:lineRule="auto"/>
              <w:jc w:val="both"/>
              <w:rPr>
                <w:b/>
                <w:bCs/>
                <w:sz w:val="22"/>
                <w:szCs w:val="22"/>
                <w:u w:val="single"/>
              </w:rPr>
            </w:pPr>
            <w:r>
              <w:rPr>
                <w:b/>
                <w:bCs/>
                <w:sz w:val="22"/>
                <w:szCs w:val="22"/>
                <w:u w:val="single"/>
              </w:rPr>
              <w:t>RISCO 1</w:t>
            </w:r>
          </w:p>
        </w:tc>
        <w:tc>
          <w:tcPr>
            <w:tcW w:w="6648" w:type="dxa"/>
            <w:shd w:val="clear" w:color="auto" w:fill="FFFFFF"/>
          </w:tcPr>
          <w:p w14:paraId="14922A44">
            <w:pPr>
              <w:spacing w:line="360" w:lineRule="auto"/>
              <w:jc w:val="both"/>
              <w:rPr>
                <w:b/>
                <w:bCs/>
                <w:sz w:val="22"/>
                <w:szCs w:val="22"/>
                <w:u w:val="single"/>
              </w:rPr>
            </w:pPr>
            <w:r>
              <w:rPr>
                <w:b/>
                <w:bCs/>
                <w:sz w:val="22"/>
                <w:szCs w:val="22"/>
                <w:u w:val="single"/>
              </w:rPr>
              <w:t>Qualificar empresa sem documentações técnicas necessárias.</w:t>
            </w:r>
          </w:p>
        </w:tc>
      </w:tr>
      <w:tr w14:paraId="441F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41E417A3">
            <w:pPr>
              <w:spacing w:line="360" w:lineRule="auto"/>
              <w:jc w:val="both"/>
              <w:rPr>
                <w:b/>
                <w:bCs/>
                <w:sz w:val="22"/>
                <w:szCs w:val="22"/>
              </w:rPr>
            </w:pPr>
            <w:r>
              <w:rPr>
                <w:b/>
                <w:bCs/>
                <w:sz w:val="22"/>
                <w:szCs w:val="22"/>
              </w:rPr>
              <w:t>ETAPA</w:t>
            </w:r>
          </w:p>
        </w:tc>
        <w:tc>
          <w:tcPr>
            <w:tcW w:w="6656" w:type="dxa"/>
            <w:gridSpan w:val="2"/>
          </w:tcPr>
          <w:p w14:paraId="666B9B29">
            <w:pPr>
              <w:spacing w:line="360" w:lineRule="auto"/>
              <w:jc w:val="both"/>
              <w:rPr>
                <w:sz w:val="22"/>
                <w:szCs w:val="22"/>
              </w:rPr>
            </w:pPr>
            <w:r>
              <w:rPr>
                <w:sz w:val="22"/>
                <w:szCs w:val="22"/>
              </w:rPr>
              <w:t xml:space="preserve">(   )Planejamento             (X) Seleção do fornecedor </w:t>
            </w:r>
          </w:p>
          <w:p w14:paraId="492C50A8">
            <w:pPr>
              <w:spacing w:line="360" w:lineRule="auto"/>
              <w:jc w:val="both"/>
              <w:rPr>
                <w:sz w:val="22"/>
                <w:szCs w:val="22"/>
              </w:rPr>
            </w:pPr>
            <w:r>
              <w:rPr>
                <w:sz w:val="22"/>
                <w:szCs w:val="22"/>
              </w:rPr>
              <w:t>(   ) Execução do Contrato</w:t>
            </w:r>
          </w:p>
        </w:tc>
      </w:tr>
      <w:tr w14:paraId="3DD50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76FF8337">
            <w:pPr>
              <w:spacing w:line="360" w:lineRule="auto"/>
              <w:jc w:val="both"/>
              <w:rPr>
                <w:b/>
                <w:bCs/>
                <w:sz w:val="22"/>
                <w:szCs w:val="22"/>
              </w:rPr>
            </w:pPr>
            <w:r>
              <w:rPr>
                <w:b/>
                <w:bCs/>
                <w:sz w:val="22"/>
                <w:szCs w:val="22"/>
              </w:rPr>
              <w:t>Probabilidade</w:t>
            </w:r>
          </w:p>
        </w:tc>
        <w:tc>
          <w:tcPr>
            <w:tcW w:w="6656" w:type="dxa"/>
            <w:gridSpan w:val="2"/>
          </w:tcPr>
          <w:p w14:paraId="4359D82E">
            <w:pPr>
              <w:spacing w:line="360" w:lineRule="auto"/>
              <w:jc w:val="both"/>
              <w:rPr>
                <w:sz w:val="22"/>
                <w:szCs w:val="22"/>
              </w:rPr>
            </w:pPr>
            <w:r>
              <w:rPr>
                <w:sz w:val="22"/>
                <w:szCs w:val="22"/>
              </w:rPr>
              <w:t xml:space="preserve">(X) Muito baixo (  ) baixo (  ) médio </w:t>
            </w:r>
          </w:p>
          <w:p w14:paraId="68C738A5">
            <w:pPr>
              <w:spacing w:line="360" w:lineRule="auto"/>
              <w:jc w:val="both"/>
              <w:rPr>
                <w:sz w:val="22"/>
                <w:szCs w:val="22"/>
              </w:rPr>
            </w:pPr>
            <w:r>
              <w:rPr>
                <w:sz w:val="22"/>
                <w:szCs w:val="22"/>
              </w:rPr>
              <w:t>(   ) alto (   ) muito alto</w:t>
            </w:r>
          </w:p>
        </w:tc>
      </w:tr>
      <w:tr w14:paraId="75DE5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316B0F85">
            <w:pPr>
              <w:spacing w:line="360" w:lineRule="auto"/>
              <w:jc w:val="both"/>
              <w:rPr>
                <w:b/>
                <w:bCs/>
                <w:sz w:val="22"/>
                <w:szCs w:val="22"/>
              </w:rPr>
            </w:pPr>
            <w:r>
              <w:rPr>
                <w:b/>
                <w:bCs/>
                <w:sz w:val="22"/>
                <w:szCs w:val="22"/>
              </w:rPr>
              <w:t>Impacto</w:t>
            </w:r>
          </w:p>
        </w:tc>
        <w:tc>
          <w:tcPr>
            <w:tcW w:w="6656" w:type="dxa"/>
            <w:gridSpan w:val="2"/>
          </w:tcPr>
          <w:p w14:paraId="733F3A07">
            <w:pPr>
              <w:spacing w:line="360" w:lineRule="auto"/>
              <w:jc w:val="both"/>
              <w:rPr>
                <w:sz w:val="22"/>
                <w:szCs w:val="22"/>
              </w:rPr>
            </w:pPr>
            <w:r>
              <w:rPr>
                <w:sz w:val="22"/>
                <w:szCs w:val="22"/>
              </w:rPr>
              <w:t xml:space="preserve">(   ) Muito baixo (   ) baixo (  ) médio </w:t>
            </w:r>
          </w:p>
          <w:p w14:paraId="5BA22124">
            <w:pPr>
              <w:spacing w:line="360" w:lineRule="auto"/>
              <w:jc w:val="both"/>
              <w:rPr>
                <w:sz w:val="22"/>
                <w:szCs w:val="22"/>
              </w:rPr>
            </w:pPr>
            <w:r>
              <w:rPr>
                <w:sz w:val="22"/>
                <w:szCs w:val="22"/>
              </w:rPr>
              <w:t>(X) alto (   ) muito alto</w:t>
            </w:r>
          </w:p>
        </w:tc>
      </w:tr>
      <w:tr w14:paraId="15D19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6D22D035">
            <w:pPr>
              <w:spacing w:line="360" w:lineRule="auto"/>
              <w:jc w:val="both"/>
              <w:rPr>
                <w:b/>
                <w:bCs/>
                <w:sz w:val="22"/>
                <w:szCs w:val="22"/>
              </w:rPr>
            </w:pPr>
            <w:r>
              <w:rPr>
                <w:b/>
                <w:bCs/>
                <w:sz w:val="22"/>
                <w:szCs w:val="22"/>
              </w:rPr>
              <w:t>Medida (s)</w:t>
            </w:r>
          </w:p>
        </w:tc>
        <w:tc>
          <w:tcPr>
            <w:tcW w:w="6656" w:type="dxa"/>
            <w:gridSpan w:val="2"/>
          </w:tcPr>
          <w:p w14:paraId="6B9A7DDB">
            <w:pPr>
              <w:spacing w:line="360" w:lineRule="auto"/>
              <w:jc w:val="both"/>
              <w:rPr>
                <w:sz w:val="22"/>
                <w:szCs w:val="22"/>
              </w:rPr>
            </w:pPr>
            <w:r>
              <w:rPr>
                <w:sz w:val="22"/>
                <w:szCs w:val="22"/>
              </w:rPr>
              <w:t>1. Realizar conferência detalhada (checklist) de toda a documentação exigida no edital para fins de habilitação do licitante;</w:t>
            </w:r>
          </w:p>
          <w:p w14:paraId="20DB3D76">
            <w:pPr>
              <w:spacing w:line="360" w:lineRule="auto"/>
              <w:jc w:val="both"/>
              <w:rPr>
                <w:sz w:val="22"/>
                <w:szCs w:val="22"/>
                <w:lang w:val="pt-PT"/>
              </w:rPr>
            </w:pPr>
            <w:r>
              <w:rPr>
                <w:sz w:val="22"/>
                <w:szCs w:val="22"/>
              </w:rPr>
              <w:t>2. Consultar a equipe técnica em caso de dúvidas relacionadas.</w:t>
            </w:r>
          </w:p>
        </w:tc>
      </w:tr>
      <w:tr w14:paraId="1BBE5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24BE6AEA">
            <w:pPr>
              <w:spacing w:line="360" w:lineRule="auto"/>
              <w:jc w:val="both"/>
              <w:rPr>
                <w:b/>
                <w:bCs/>
                <w:sz w:val="22"/>
                <w:szCs w:val="22"/>
              </w:rPr>
            </w:pPr>
            <w:r>
              <w:rPr>
                <w:b/>
                <w:bCs/>
                <w:sz w:val="22"/>
                <w:szCs w:val="22"/>
              </w:rPr>
              <w:t>Responsável</w:t>
            </w:r>
          </w:p>
        </w:tc>
        <w:tc>
          <w:tcPr>
            <w:tcW w:w="6656" w:type="dxa"/>
            <w:gridSpan w:val="2"/>
          </w:tcPr>
          <w:p w14:paraId="38186A9A">
            <w:pPr>
              <w:pStyle w:val="100"/>
              <w:spacing w:line="360" w:lineRule="auto"/>
              <w:jc w:val="both"/>
              <w:rPr>
                <w:rFonts w:ascii="Times New Roman" w:hAnsi="Times New Roman" w:cs="Times New Roman"/>
                <w:lang w:val="pt-PT" w:eastAsia="en-US"/>
              </w:rPr>
            </w:pPr>
            <w:r>
              <w:rPr>
                <w:rFonts w:ascii="Times New Roman" w:hAnsi="Times New Roman" w:cs="Times New Roman"/>
                <w:lang w:val="pt-PT" w:eastAsia="en-US"/>
              </w:rPr>
              <w:t>Comissão de Contratação.</w:t>
            </w:r>
          </w:p>
        </w:tc>
      </w:tr>
      <w:tr w14:paraId="58D73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045" w:type="dxa"/>
            <w:shd w:val="clear" w:color="auto" w:fill="EEECE1"/>
          </w:tcPr>
          <w:p w14:paraId="7004CF88">
            <w:pPr>
              <w:spacing w:line="360" w:lineRule="auto"/>
              <w:jc w:val="both"/>
              <w:rPr>
                <w:b/>
                <w:bCs/>
                <w:sz w:val="22"/>
                <w:szCs w:val="22"/>
                <w:u w:val="single"/>
              </w:rPr>
            </w:pPr>
            <w:r>
              <w:rPr>
                <w:b/>
                <w:bCs/>
                <w:sz w:val="22"/>
                <w:szCs w:val="22"/>
                <w:u w:val="single"/>
              </w:rPr>
              <w:t>RISCO 2</w:t>
            </w:r>
          </w:p>
        </w:tc>
        <w:tc>
          <w:tcPr>
            <w:tcW w:w="6648" w:type="dxa"/>
          </w:tcPr>
          <w:p w14:paraId="039A7DC2">
            <w:pPr>
              <w:spacing w:line="360" w:lineRule="auto"/>
              <w:jc w:val="both"/>
              <w:rPr>
                <w:b/>
                <w:bCs/>
                <w:sz w:val="22"/>
                <w:szCs w:val="22"/>
                <w:u w:val="single"/>
                <w:lang w:val="pt-PT"/>
              </w:rPr>
            </w:pPr>
            <w:r>
              <w:rPr>
                <w:b/>
                <w:bCs/>
                <w:sz w:val="22"/>
                <w:szCs w:val="22"/>
                <w:u w:val="single"/>
                <w:lang w:val="pt-PT"/>
              </w:rPr>
              <w:t>Atraso na entrega da obra.</w:t>
            </w:r>
          </w:p>
        </w:tc>
      </w:tr>
      <w:tr w14:paraId="220E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546FFE72">
            <w:pPr>
              <w:spacing w:line="360" w:lineRule="auto"/>
              <w:jc w:val="both"/>
              <w:rPr>
                <w:b/>
                <w:bCs/>
                <w:sz w:val="22"/>
                <w:szCs w:val="22"/>
              </w:rPr>
            </w:pPr>
            <w:r>
              <w:rPr>
                <w:b/>
                <w:bCs/>
                <w:sz w:val="22"/>
                <w:szCs w:val="22"/>
              </w:rPr>
              <w:t>ETAPA</w:t>
            </w:r>
          </w:p>
        </w:tc>
        <w:tc>
          <w:tcPr>
            <w:tcW w:w="6656" w:type="dxa"/>
            <w:gridSpan w:val="2"/>
          </w:tcPr>
          <w:p w14:paraId="67814895">
            <w:pPr>
              <w:spacing w:line="360" w:lineRule="auto"/>
              <w:jc w:val="both"/>
              <w:rPr>
                <w:sz w:val="22"/>
                <w:szCs w:val="22"/>
              </w:rPr>
            </w:pPr>
            <w:r>
              <w:rPr>
                <w:sz w:val="22"/>
                <w:szCs w:val="22"/>
              </w:rPr>
              <w:t xml:space="preserve">(   )Planejamento             (   ) Seleção do fornecedor </w:t>
            </w:r>
          </w:p>
          <w:p w14:paraId="65CA6EEB">
            <w:pPr>
              <w:spacing w:line="360" w:lineRule="auto"/>
              <w:jc w:val="both"/>
              <w:rPr>
                <w:sz w:val="22"/>
                <w:szCs w:val="22"/>
              </w:rPr>
            </w:pPr>
            <w:r>
              <w:rPr>
                <w:sz w:val="22"/>
                <w:szCs w:val="22"/>
              </w:rPr>
              <w:t>(X) Execução do Contrato</w:t>
            </w:r>
          </w:p>
        </w:tc>
      </w:tr>
      <w:tr w14:paraId="4464B3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10C9E230">
            <w:pPr>
              <w:spacing w:line="360" w:lineRule="auto"/>
              <w:jc w:val="both"/>
              <w:rPr>
                <w:b/>
                <w:bCs/>
                <w:sz w:val="22"/>
                <w:szCs w:val="22"/>
              </w:rPr>
            </w:pPr>
            <w:r>
              <w:rPr>
                <w:b/>
                <w:bCs/>
                <w:sz w:val="22"/>
                <w:szCs w:val="22"/>
              </w:rPr>
              <w:t>Probabilidade</w:t>
            </w:r>
          </w:p>
        </w:tc>
        <w:tc>
          <w:tcPr>
            <w:tcW w:w="6656" w:type="dxa"/>
            <w:gridSpan w:val="2"/>
          </w:tcPr>
          <w:p w14:paraId="2BF6FCF7">
            <w:pPr>
              <w:spacing w:line="360" w:lineRule="auto"/>
              <w:jc w:val="both"/>
              <w:rPr>
                <w:sz w:val="22"/>
                <w:szCs w:val="22"/>
              </w:rPr>
            </w:pPr>
            <w:r>
              <w:rPr>
                <w:sz w:val="22"/>
                <w:szCs w:val="22"/>
              </w:rPr>
              <w:t xml:space="preserve">(   ) Muito baixo (   ) baixo (X) médio </w:t>
            </w:r>
          </w:p>
          <w:p w14:paraId="3D536C0B">
            <w:pPr>
              <w:spacing w:line="360" w:lineRule="auto"/>
              <w:jc w:val="both"/>
              <w:rPr>
                <w:sz w:val="22"/>
                <w:szCs w:val="22"/>
              </w:rPr>
            </w:pPr>
            <w:r>
              <w:rPr>
                <w:sz w:val="22"/>
                <w:szCs w:val="22"/>
              </w:rPr>
              <w:t>(   ) alto (   ) muito alto</w:t>
            </w:r>
          </w:p>
        </w:tc>
      </w:tr>
      <w:tr w14:paraId="0D8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6644E0E6">
            <w:pPr>
              <w:spacing w:line="360" w:lineRule="auto"/>
              <w:jc w:val="both"/>
              <w:rPr>
                <w:b/>
                <w:bCs/>
                <w:sz w:val="22"/>
                <w:szCs w:val="22"/>
              </w:rPr>
            </w:pPr>
            <w:r>
              <w:rPr>
                <w:b/>
                <w:bCs/>
                <w:sz w:val="22"/>
                <w:szCs w:val="22"/>
              </w:rPr>
              <w:t>Impacto</w:t>
            </w:r>
          </w:p>
        </w:tc>
        <w:tc>
          <w:tcPr>
            <w:tcW w:w="6656" w:type="dxa"/>
            <w:gridSpan w:val="2"/>
          </w:tcPr>
          <w:p w14:paraId="7B74B224">
            <w:pPr>
              <w:spacing w:line="360" w:lineRule="auto"/>
              <w:jc w:val="both"/>
              <w:rPr>
                <w:sz w:val="22"/>
                <w:szCs w:val="22"/>
              </w:rPr>
            </w:pPr>
            <w:r>
              <w:rPr>
                <w:sz w:val="22"/>
                <w:szCs w:val="22"/>
              </w:rPr>
              <w:t xml:space="preserve">(   ) Muito baixo (   ) baixo (  ) médio </w:t>
            </w:r>
          </w:p>
          <w:p w14:paraId="46E30012">
            <w:pPr>
              <w:spacing w:line="360" w:lineRule="auto"/>
              <w:jc w:val="both"/>
              <w:rPr>
                <w:sz w:val="22"/>
                <w:szCs w:val="22"/>
              </w:rPr>
            </w:pPr>
            <w:r>
              <w:rPr>
                <w:sz w:val="22"/>
                <w:szCs w:val="22"/>
              </w:rPr>
              <w:t>(X) alto (   ) muito alto</w:t>
            </w:r>
          </w:p>
        </w:tc>
      </w:tr>
      <w:tr w14:paraId="546C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7D45BC99">
            <w:pPr>
              <w:spacing w:line="360" w:lineRule="auto"/>
              <w:jc w:val="both"/>
              <w:rPr>
                <w:b/>
                <w:bCs/>
                <w:sz w:val="22"/>
                <w:szCs w:val="22"/>
              </w:rPr>
            </w:pPr>
            <w:r>
              <w:rPr>
                <w:b/>
                <w:bCs/>
                <w:sz w:val="22"/>
                <w:szCs w:val="22"/>
              </w:rPr>
              <w:t>Medida (s)</w:t>
            </w:r>
          </w:p>
        </w:tc>
        <w:tc>
          <w:tcPr>
            <w:tcW w:w="6656" w:type="dxa"/>
            <w:gridSpan w:val="2"/>
          </w:tcPr>
          <w:p w14:paraId="77612ED7">
            <w:pPr>
              <w:pStyle w:val="55"/>
              <w:numPr>
                <w:ilvl w:val="0"/>
                <w:numId w:val="29"/>
              </w:numPr>
              <w:suppressAutoHyphens w:val="0"/>
              <w:spacing w:line="360" w:lineRule="auto"/>
              <w:jc w:val="both"/>
              <w:rPr>
                <w:sz w:val="22"/>
                <w:szCs w:val="22"/>
                <w:lang w:val="pt-PT"/>
              </w:rPr>
            </w:pPr>
            <w:r>
              <w:rPr>
                <w:sz w:val="22"/>
                <w:szCs w:val="22"/>
                <w:lang w:val="pt-PT"/>
              </w:rPr>
              <w:t>Inserir cláusula de penalidade no Contrato;</w:t>
            </w:r>
          </w:p>
          <w:p w14:paraId="664EF8A5">
            <w:pPr>
              <w:pStyle w:val="55"/>
              <w:numPr>
                <w:ilvl w:val="0"/>
                <w:numId w:val="29"/>
              </w:numPr>
              <w:suppressAutoHyphens w:val="0"/>
              <w:spacing w:line="360" w:lineRule="auto"/>
              <w:jc w:val="both"/>
              <w:rPr>
                <w:sz w:val="22"/>
                <w:szCs w:val="22"/>
                <w:lang w:val="pt-PT"/>
              </w:rPr>
            </w:pPr>
            <w:r>
              <w:rPr>
                <w:sz w:val="22"/>
                <w:szCs w:val="22"/>
                <w:lang w:val="pt-PT"/>
              </w:rPr>
              <w:t>Realizar monitoramento contínuo da execução contratual, com medições periódicas, registros fotográficos e relatórios técnicos de acompanhamento;</w:t>
            </w:r>
          </w:p>
          <w:p w14:paraId="7EA5CC98">
            <w:pPr>
              <w:pStyle w:val="55"/>
              <w:numPr>
                <w:ilvl w:val="0"/>
                <w:numId w:val="29"/>
              </w:numPr>
              <w:suppressAutoHyphens w:val="0"/>
              <w:spacing w:line="360" w:lineRule="auto"/>
              <w:jc w:val="both"/>
              <w:rPr>
                <w:sz w:val="22"/>
                <w:szCs w:val="22"/>
                <w:lang w:val="pt-PT"/>
              </w:rPr>
            </w:pPr>
            <w:r>
              <w:rPr>
                <w:sz w:val="22"/>
                <w:szCs w:val="22"/>
                <w:lang w:val="pt-PT"/>
              </w:rPr>
              <w:t>Notificar formalmente a Empresa Contratada;</w:t>
            </w:r>
          </w:p>
          <w:p w14:paraId="39A6F0AF">
            <w:pPr>
              <w:pStyle w:val="55"/>
              <w:numPr>
                <w:ilvl w:val="0"/>
                <w:numId w:val="29"/>
              </w:numPr>
              <w:suppressAutoHyphens w:val="0"/>
              <w:spacing w:line="360" w:lineRule="auto"/>
              <w:jc w:val="both"/>
              <w:rPr>
                <w:sz w:val="22"/>
                <w:szCs w:val="22"/>
              </w:rPr>
            </w:pPr>
            <w:r>
              <w:rPr>
                <w:sz w:val="22"/>
                <w:szCs w:val="22"/>
                <w:lang w:val="pt-PT"/>
              </w:rPr>
              <w:t>Aplicar as penalidades cabíveis em caso de descumprimento injustificado dos prazos estabelecidos.</w:t>
            </w:r>
          </w:p>
        </w:tc>
      </w:tr>
      <w:tr w14:paraId="2FC9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58070F51">
            <w:pPr>
              <w:spacing w:line="360" w:lineRule="auto"/>
              <w:jc w:val="both"/>
              <w:rPr>
                <w:b/>
                <w:bCs/>
                <w:sz w:val="22"/>
                <w:szCs w:val="22"/>
              </w:rPr>
            </w:pPr>
            <w:r>
              <w:rPr>
                <w:b/>
                <w:bCs/>
                <w:sz w:val="22"/>
                <w:szCs w:val="22"/>
              </w:rPr>
              <w:t>Responsável</w:t>
            </w:r>
          </w:p>
        </w:tc>
        <w:tc>
          <w:tcPr>
            <w:tcW w:w="6656" w:type="dxa"/>
            <w:gridSpan w:val="2"/>
          </w:tcPr>
          <w:p w14:paraId="21E3809A">
            <w:pPr>
              <w:spacing w:line="360" w:lineRule="auto"/>
              <w:jc w:val="both"/>
              <w:rPr>
                <w:sz w:val="22"/>
                <w:szCs w:val="22"/>
              </w:rPr>
            </w:pPr>
            <w:r>
              <w:rPr>
                <w:sz w:val="22"/>
                <w:szCs w:val="22"/>
                <w:lang w:val="pt-PT"/>
              </w:rPr>
              <w:t>Fiscal do Contrato/Gestor do Contrato.</w:t>
            </w:r>
          </w:p>
        </w:tc>
      </w:tr>
      <w:tr w14:paraId="7CA5B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8" w:type="dxa"/>
        </w:trPr>
        <w:tc>
          <w:tcPr>
            <w:tcW w:w="2045" w:type="dxa"/>
            <w:shd w:val="clear" w:color="auto" w:fill="EEECE1"/>
          </w:tcPr>
          <w:p w14:paraId="59FC126E">
            <w:pPr>
              <w:spacing w:line="360" w:lineRule="auto"/>
              <w:jc w:val="both"/>
              <w:rPr>
                <w:b/>
                <w:bCs/>
                <w:sz w:val="22"/>
                <w:szCs w:val="22"/>
                <w:u w:val="single"/>
              </w:rPr>
            </w:pPr>
            <w:r>
              <w:rPr>
                <w:b/>
                <w:bCs/>
                <w:sz w:val="22"/>
                <w:szCs w:val="22"/>
                <w:u w:val="single"/>
              </w:rPr>
              <w:t>RISCO 3</w:t>
            </w:r>
          </w:p>
        </w:tc>
        <w:tc>
          <w:tcPr>
            <w:tcW w:w="6648" w:type="dxa"/>
          </w:tcPr>
          <w:p w14:paraId="365BD922">
            <w:pPr>
              <w:spacing w:line="360" w:lineRule="auto"/>
              <w:jc w:val="both"/>
              <w:rPr>
                <w:b/>
                <w:bCs/>
                <w:sz w:val="22"/>
                <w:szCs w:val="22"/>
                <w:u w:val="single"/>
              </w:rPr>
            </w:pPr>
            <w:r>
              <w:rPr>
                <w:b/>
                <w:bCs/>
                <w:sz w:val="22"/>
                <w:szCs w:val="22"/>
                <w:u w:val="single"/>
              </w:rPr>
              <w:t>Obra em andamento durante as atividades escolares.</w:t>
            </w:r>
          </w:p>
        </w:tc>
      </w:tr>
      <w:tr w14:paraId="27904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7CA9CD8F">
            <w:pPr>
              <w:spacing w:line="360" w:lineRule="auto"/>
              <w:jc w:val="both"/>
              <w:rPr>
                <w:b/>
                <w:bCs/>
                <w:sz w:val="22"/>
                <w:szCs w:val="22"/>
              </w:rPr>
            </w:pPr>
            <w:r>
              <w:rPr>
                <w:b/>
                <w:bCs/>
                <w:sz w:val="22"/>
                <w:szCs w:val="22"/>
              </w:rPr>
              <w:t>ETAPA</w:t>
            </w:r>
          </w:p>
        </w:tc>
        <w:tc>
          <w:tcPr>
            <w:tcW w:w="6656" w:type="dxa"/>
            <w:gridSpan w:val="2"/>
          </w:tcPr>
          <w:p w14:paraId="193FE08F">
            <w:pPr>
              <w:spacing w:line="360" w:lineRule="auto"/>
              <w:jc w:val="both"/>
              <w:rPr>
                <w:sz w:val="22"/>
                <w:szCs w:val="22"/>
              </w:rPr>
            </w:pPr>
            <w:r>
              <w:rPr>
                <w:sz w:val="22"/>
                <w:szCs w:val="22"/>
              </w:rPr>
              <w:t xml:space="preserve">(   )Planejamento             (   ) Seleção do fornecedor </w:t>
            </w:r>
          </w:p>
          <w:p w14:paraId="4296A04C">
            <w:pPr>
              <w:spacing w:line="360" w:lineRule="auto"/>
              <w:jc w:val="both"/>
              <w:rPr>
                <w:sz w:val="22"/>
                <w:szCs w:val="22"/>
              </w:rPr>
            </w:pPr>
            <w:r>
              <w:rPr>
                <w:sz w:val="22"/>
                <w:szCs w:val="22"/>
              </w:rPr>
              <w:t>(X) Execução do Contrato</w:t>
            </w:r>
          </w:p>
        </w:tc>
      </w:tr>
      <w:tr w14:paraId="33678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66330F68">
            <w:pPr>
              <w:spacing w:line="360" w:lineRule="auto"/>
              <w:jc w:val="both"/>
              <w:rPr>
                <w:b/>
                <w:bCs/>
                <w:sz w:val="22"/>
                <w:szCs w:val="22"/>
              </w:rPr>
            </w:pPr>
            <w:r>
              <w:rPr>
                <w:b/>
                <w:bCs/>
                <w:sz w:val="22"/>
                <w:szCs w:val="22"/>
              </w:rPr>
              <w:t>Probabilidade</w:t>
            </w:r>
          </w:p>
        </w:tc>
        <w:tc>
          <w:tcPr>
            <w:tcW w:w="6656" w:type="dxa"/>
            <w:gridSpan w:val="2"/>
          </w:tcPr>
          <w:p w14:paraId="4FE2FE45">
            <w:pPr>
              <w:spacing w:line="360" w:lineRule="auto"/>
              <w:jc w:val="both"/>
              <w:rPr>
                <w:sz w:val="22"/>
                <w:szCs w:val="22"/>
              </w:rPr>
            </w:pPr>
            <w:r>
              <w:rPr>
                <w:sz w:val="22"/>
                <w:szCs w:val="22"/>
              </w:rPr>
              <w:t xml:space="preserve">(  ) Muito baixo (  ) baixo (   ) médio </w:t>
            </w:r>
          </w:p>
          <w:p w14:paraId="52416FB6">
            <w:pPr>
              <w:spacing w:line="360" w:lineRule="auto"/>
              <w:jc w:val="both"/>
              <w:rPr>
                <w:sz w:val="22"/>
                <w:szCs w:val="22"/>
              </w:rPr>
            </w:pPr>
            <w:r>
              <w:rPr>
                <w:sz w:val="22"/>
                <w:szCs w:val="22"/>
              </w:rPr>
              <w:t>(   ) alto (X) muito alto</w:t>
            </w:r>
          </w:p>
        </w:tc>
      </w:tr>
      <w:tr w14:paraId="2AA05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24B47B87">
            <w:pPr>
              <w:spacing w:line="360" w:lineRule="auto"/>
              <w:jc w:val="both"/>
              <w:rPr>
                <w:b/>
                <w:bCs/>
                <w:sz w:val="22"/>
                <w:szCs w:val="22"/>
              </w:rPr>
            </w:pPr>
            <w:r>
              <w:rPr>
                <w:b/>
                <w:bCs/>
                <w:sz w:val="22"/>
                <w:szCs w:val="22"/>
              </w:rPr>
              <w:t>Impacto</w:t>
            </w:r>
          </w:p>
        </w:tc>
        <w:tc>
          <w:tcPr>
            <w:tcW w:w="6656" w:type="dxa"/>
            <w:gridSpan w:val="2"/>
          </w:tcPr>
          <w:p w14:paraId="3AF3BAAB">
            <w:pPr>
              <w:spacing w:line="360" w:lineRule="auto"/>
              <w:jc w:val="both"/>
              <w:rPr>
                <w:sz w:val="22"/>
                <w:szCs w:val="22"/>
              </w:rPr>
            </w:pPr>
            <w:r>
              <w:rPr>
                <w:sz w:val="22"/>
                <w:szCs w:val="22"/>
              </w:rPr>
              <w:t xml:space="preserve">(   ) Muito baixo (X) baixo (  ) médio </w:t>
            </w:r>
          </w:p>
          <w:p w14:paraId="334CF6AE">
            <w:pPr>
              <w:spacing w:line="360" w:lineRule="auto"/>
              <w:jc w:val="both"/>
              <w:rPr>
                <w:sz w:val="22"/>
                <w:szCs w:val="22"/>
              </w:rPr>
            </w:pPr>
            <w:r>
              <w:rPr>
                <w:sz w:val="22"/>
                <w:szCs w:val="22"/>
              </w:rPr>
              <w:t>(   ) alto (   ) muito alto</w:t>
            </w:r>
          </w:p>
        </w:tc>
      </w:tr>
      <w:tr w14:paraId="363A7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63941612">
            <w:pPr>
              <w:spacing w:line="360" w:lineRule="auto"/>
              <w:jc w:val="both"/>
              <w:rPr>
                <w:b/>
                <w:bCs/>
                <w:sz w:val="22"/>
                <w:szCs w:val="22"/>
              </w:rPr>
            </w:pPr>
            <w:r>
              <w:rPr>
                <w:b/>
                <w:bCs/>
                <w:sz w:val="22"/>
                <w:szCs w:val="22"/>
              </w:rPr>
              <w:t>Medida (s)</w:t>
            </w:r>
          </w:p>
        </w:tc>
        <w:tc>
          <w:tcPr>
            <w:tcW w:w="6656" w:type="dxa"/>
            <w:gridSpan w:val="2"/>
          </w:tcPr>
          <w:p w14:paraId="431FADD2">
            <w:pPr>
              <w:pStyle w:val="55"/>
              <w:numPr>
                <w:ilvl w:val="0"/>
                <w:numId w:val="30"/>
              </w:numPr>
              <w:suppressAutoHyphens w:val="0"/>
              <w:spacing w:line="360" w:lineRule="auto"/>
              <w:jc w:val="both"/>
              <w:rPr>
                <w:sz w:val="22"/>
                <w:szCs w:val="22"/>
              </w:rPr>
            </w:pPr>
            <w:r>
              <w:rPr>
                <w:sz w:val="22"/>
                <w:szCs w:val="22"/>
              </w:rPr>
              <w:t>Implantar sinalização visual indicando a área em obra, com placas informativas em locais de fácil visualização, alertando sobre a circulação de materiais e trabalhadores e orientando quanto às áreas de acesso restrito.</w:t>
            </w:r>
          </w:p>
          <w:p w14:paraId="315C1FBD">
            <w:pPr>
              <w:pStyle w:val="55"/>
              <w:numPr>
                <w:ilvl w:val="0"/>
                <w:numId w:val="30"/>
              </w:numPr>
              <w:suppressAutoHyphens w:val="0"/>
              <w:spacing w:line="360" w:lineRule="auto"/>
              <w:jc w:val="both"/>
              <w:rPr>
                <w:color w:val="00B050"/>
                <w:sz w:val="22"/>
                <w:szCs w:val="22"/>
              </w:rPr>
            </w:pPr>
            <w:r>
              <w:rPr>
                <w:sz w:val="22"/>
                <w:szCs w:val="22"/>
              </w:rPr>
              <w:t>Solicitar que a empresa contratada mantenha a área da obra permanentemente limpa e organizada, sem deixar materiais, ferramentas, entulhos ou objetos soltos em locais de circulação, de modo a evitar riscos de acidentes a alunos, professores e demais funcionários.</w:t>
            </w:r>
          </w:p>
        </w:tc>
      </w:tr>
      <w:tr w14:paraId="74126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7BD9E766">
            <w:pPr>
              <w:spacing w:line="360" w:lineRule="auto"/>
              <w:jc w:val="both"/>
              <w:rPr>
                <w:b/>
                <w:bCs/>
                <w:sz w:val="22"/>
                <w:szCs w:val="22"/>
              </w:rPr>
            </w:pPr>
            <w:r>
              <w:rPr>
                <w:b/>
                <w:bCs/>
                <w:sz w:val="22"/>
                <w:szCs w:val="22"/>
              </w:rPr>
              <w:t>Responsável</w:t>
            </w:r>
          </w:p>
        </w:tc>
        <w:tc>
          <w:tcPr>
            <w:tcW w:w="6656" w:type="dxa"/>
            <w:gridSpan w:val="2"/>
          </w:tcPr>
          <w:p w14:paraId="718F3C6C">
            <w:pPr>
              <w:pStyle w:val="55"/>
              <w:numPr>
                <w:ilvl w:val="0"/>
                <w:numId w:val="31"/>
              </w:numPr>
              <w:suppressAutoHyphens w:val="0"/>
              <w:spacing w:line="360" w:lineRule="auto"/>
              <w:jc w:val="both"/>
              <w:rPr>
                <w:sz w:val="22"/>
                <w:szCs w:val="22"/>
              </w:rPr>
            </w:pPr>
            <w:r>
              <w:rPr>
                <w:sz w:val="22"/>
                <w:szCs w:val="22"/>
              </w:rPr>
              <w:t>Secretaria Municipal de Educação.</w:t>
            </w:r>
          </w:p>
          <w:p w14:paraId="1F0DEB8E">
            <w:pPr>
              <w:pStyle w:val="55"/>
              <w:numPr>
                <w:ilvl w:val="0"/>
                <w:numId w:val="31"/>
              </w:numPr>
              <w:suppressAutoHyphens w:val="0"/>
              <w:spacing w:line="360" w:lineRule="auto"/>
              <w:jc w:val="both"/>
              <w:rPr>
                <w:sz w:val="22"/>
                <w:szCs w:val="22"/>
              </w:rPr>
            </w:pPr>
            <w:r>
              <w:rPr>
                <w:sz w:val="22"/>
                <w:szCs w:val="22"/>
              </w:rPr>
              <w:t>Fiscal do Contrato/Gestor do Contrato.</w:t>
            </w:r>
          </w:p>
        </w:tc>
      </w:tr>
      <w:tr w14:paraId="47085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shd w:val="clear" w:color="auto" w:fill="E7E6E6" w:themeFill="background2"/>
          </w:tcPr>
          <w:p w14:paraId="00B3D6DE">
            <w:pPr>
              <w:spacing w:before="100" w:beforeAutospacing="1" w:after="100" w:afterAutospacing="1" w:line="360" w:lineRule="auto"/>
              <w:rPr>
                <w:b/>
                <w:bCs/>
                <w:sz w:val="22"/>
                <w:szCs w:val="22"/>
                <w:u w:val="single"/>
              </w:rPr>
            </w:pPr>
            <w:r>
              <w:rPr>
                <w:b/>
                <w:bCs/>
                <w:sz w:val="22"/>
                <w:szCs w:val="22"/>
                <w:u w:val="single"/>
              </w:rPr>
              <w:t>RISCO 4</w:t>
            </w:r>
          </w:p>
        </w:tc>
        <w:tc>
          <w:tcPr>
            <w:tcW w:w="6656" w:type="dxa"/>
            <w:gridSpan w:val="2"/>
          </w:tcPr>
          <w:p w14:paraId="0E46A3D8">
            <w:pPr>
              <w:spacing w:before="100" w:beforeAutospacing="1" w:after="100" w:afterAutospacing="1" w:line="360" w:lineRule="auto"/>
              <w:rPr>
                <w:b/>
                <w:i/>
                <w:iCs/>
                <w:sz w:val="22"/>
                <w:szCs w:val="22"/>
                <w:u w:val="single"/>
              </w:rPr>
            </w:pPr>
            <w:r>
              <w:rPr>
                <w:b/>
                <w:sz w:val="22"/>
                <w:szCs w:val="22"/>
                <w:u w:val="single"/>
              </w:rPr>
              <w:t>Dificuldade de locomoção dos fiscais até a obra.</w:t>
            </w:r>
          </w:p>
        </w:tc>
      </w:tr>
      <w:tr w14:paraId="5C3F9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26924A2E">
            <w:pPr>
              <w:spacing w:before="100" w:beforeAutospacing="1" w:after="100" w:afterAutospacing="1" w:line="360" w:lineRule="auto"/>
              <w:rPr>
                <w:b/>
                <w:bCs/>
                <w:sz w:val="22"/>
                <w:szCs w:val="22"/>
              </w:rPr>
            </w:pPr>
            <w:r>
              <w:rPr>
                <w:b/>
                <w:bCs/>
                <w:sz w:val="22"/>
                <w:szCs w:val="22"/>
              </w:rPr>
              <w:t>ETAPA</w:t>
            </w:r>
          </w:p>
        </w:tc>
        <w:tc>
          <w:tcPr>
            <w:tcW w:w="6656" w:type="dxa"/>
            <w:gridSpan w:val="2"/>
          </w:tcPr>
          <w:p w14:paraId="553494EF">
            <w:pPr>
              <w:pStyle w:val="100"/>
              <w:spacing w:line="360" w:lineRule="auto"/>
              <w:rPr>
                <w:rFonts w:ascii="Times New Roman" w:hAnsi="Times New Roman" w:cs="Times New Roman"/>
                <w:lang w:eastAsia="en-US"/>
              </w:rPr>
            </w:pPr>
            <w:r>
              <w:rPr>
                <w:rFonts w:ascii="Times New Roman" w:hAnsi="Times New Roman" w:cs="Times New Roman"/>
                <w:lang w:eastAsia="en-US"/>
              </w:rPr>
              <w:t xml:space="preserve">(   )Planejamento             (   ) Seleção do fornecedor </w:t>
            </w:r>
          </w:p>
          <w:p w14:paraId="5D4286F0">
            <w:pPr>
              <w:pStyle w:val="100"/>
              <w:spacing w:line="360" w:lineRule="auto"/>
              <w:rPr>
                <w:rFonts w:ascii="Times New Roman" w:hAnsi="Times New Roman" w:cs="Times New Roman"/>
                <w:lang w:eastAsia="en-US"/>
              </w:rPr>
            </w:pPr>
            <w:r>
              <w:rPr>
                <w:rFonts w:ascii="Times New Roman" w:hAnsi="Times New Roman" w:cs="Times New Roman"/>
                <w:lang w:eastAsia="en-US"/>
              </w:rPr>
              <w:t>(X) Execução do Contrato</w:t>
            </w:r>
          </w:p>
        </w:tc>
      </w:tr>
      <w:tr w14:paraId="0019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0EA4F6EE">
            <w:pPr>
              <w:spacing w:before="100" w:beforeAutospacing="1" w:after="100" w:afterAutospacing="1" w:line="360" w:lineRule="auto"/>
              <w:rPr>
                <w:b/>
                <w:bCs/>
                <w:sz w:val="22"/>
                <w:szCs w:val="22"/>
              </w:rPr>
            </w:pPr>
            <w:r>
              <w:rPr>
                <w:b/>
                <w:bCs/>
                <w:sz w:val="22"/>
                <w:szCs w:val="22"/>
              </w:rPr>
              <w:t>Probabilidade</w:t>
            </w:r>
          </w:p>
        </w:tc>
        <w:tc>
          <w:tcPr>
            <w:tcW w:w="6656" w:type="dxa"/>
            <w:gridSpan w:val="2"/>
          </w:tcPr>
          <w:p w14:paraId="69A1B69D">
            <w:pPr>
              <w:pStyle w:val="100"/>
              <w:spacing w:line="360" w:lineRule="auto"/>
              <w:rPr>
                <w:rFonts w:ascii="Times New Roman" w:hAnsi="Times New Roman" w:cs="Times New Roman"/>
                <w:lang w:eastAsia="en-US"/>
              </w:rPr>
            </w:pPr>
            <w:r>
              <w:rPr>
                <w:rFonts w:ascii="Times New Roman" w:hAnsi="Times New Roman" w:cs="Times New Roman"/>
                <w:lang w:eastAsia="en-US"/>
              </w:rPr>
              <w:t xml:space="preserve">(  ) Muito baixo (X) baixo (   ) médio </w:t>
            </w:r>
          </w:p>
          <w:p w14:paraId="7BE7A10A">
            <w:pPr>
              <w:pStyle w:val="100"/>
              <w:spacing w:line="360" w:lineRule="auto"/>
              <w:rPr>
                <w:rFonts w:ascii="Times New Roman" w:hAnsi="Times New Roman" w:cs="Times New Roman"/>
                <w:lang w:eastAsia="en-US"/>
              </w:rPr>
            </w:pPr>
            <w:r>
              <w:rPr>
                <w:rFonts w:ascii="Times New Roman" w:hAnsi="Times New Roman" w:cs="Times New Roman"/>
                <w:lang w:eastAsia="en-US"/>
              </w:rPr>
              <w:t>(   ) alto (   ) muito alto</w:t>
            </w:r>
          </w:p>
        </w:tc>
      </w:tr>
      <w:tr w14:paraId="2EE9A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7DCF290A">
            <w:pPr>
              <w:spacing w:before="100" w:beforeAutospacing="1" w:after="100" w:afterAutospacing="1" w:line="360" w:lineRule="auto"/>
              <w:rPr>
                <w:b/>
                <w:bCs/>
                <w:sz w:val="22"/>
                <w:szCs w:val="22"/>
              </w:rPr>
            </w:pPr>
            <w:r>
              <w:rPr>
                <w:b/>
                <w:bCs/>
                <w:sz w:val="22"/>
                <w:szCs w:val="22"/>
              </w:rPr>
              <w:t>Impacto</w:t>
            </w:r>
          </w:p>
        </w:tc>
        <w:tc>
          <w:tcPr>
            <w:tcW w:w="6656" w:type="dxa"/>
            <w:gridSpan w:val="2"/>
          </w:tcPr>
          <w:p w14:paraId="0F66522F">
            <w:pPr>
              <w:pStyle w:val="100"/>
              <w:spacing w:line="360" w:lineRule="auto"/>
              <w:rPr>
                <w:rFonts w:ascii="Times New Roman" w:hAnsi="Times New Roman" w:cs="Times New Roman"/>
                <w:lang w:eastAsia="en-US"/>
              </w:rPr>
            </w:pPr>
            <w:r>
              <w:rPr>
                <w:rFonts w:ascii="Times New Roman" w:hAnsi="Times New Roman" w:cs="Times New Roman"/>
                <w:lang w:eastAsia="en-US"/>
              </w:rPr>
              <w:t xml:space="preserve">(   ) Muito baixo (  ) baixo (   ) médio </w:t>
            </w:r>
          </w:p>
          <w:p w14:paraId="636B8567">
            <w:pPr>
              <w:pStyle w:val="100"/>
              <w:spacing w:line="360" w:lineRule="auto"/>
              <w:rPr>
                <w:rFonts w:ascii="Times New Roman" w:hAnsi="Times New Roman" w:cs="Times New Roman"/>
                <w:lang w:eastAsia="en-US"/>
              </w:rPr>
            </w:pPr>
            <w:r>
              <w:rPr>
                <w:rFonts w:ascii="Times New Roman" w:hAnsi="Times New Roman" w:cs="Times New Roman"/>
                <w:lang w:eastAsia="en-US"/>
              </w:rPr>
              <w:t>(  ) alto (X) muito alto</w:t>
            </w:r>
          </w:p>
        </w:tc>
      </w:tr>
      <w:tr w14:paraId="08CC2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53B87D2C">
            <w:pPr>
              <w:spacing w:line="360" w:lineRule="auto"/>
              <w:jc w:val="both"/>
              <w:rPr>
                <w:b/>
                <w:bCs/>
                <w:sz w:val="22"/>
                <w:szCs w:val="22"/>
              </w:rPr>
            </w:pPr>
            <w:r>
              <w:rPr>
                <w:b/>
                <w:bCs/>
                <w:sz w:val="22"/>
                <w:szCs w:val="22"/>
              </w:rPr>
              <w:t>Medida (s)</w:t>
            </w:r>
          </w:p>
        </w:tc>
        <w:tc>
          <w:tcPr>
            <w:tcW w:w="6656" w:type="dxa"/>
            <w:gridSpan w:val="2"/>
          </w:tcPr>
          <w:p w14:paraId="67A6E5D6">
            <w:pPr>
              <w:spacing w:line="360" w:lineRule="auto"/>
              <w:jc w:val="both"/>
              <w:rPr>
                <w:sz w:val="22"/>
                <w:szCs w:val="22"/>
                <w:lang w:val="pt-PT"/>
              </w:rPr>
            </w:pPr>
            <w:r>
              <w:rPr>
                <w:sz w:val="22"/>
                <w:szCs w:val="22"/>
                <w:lang w:val="pt-PT"/>
              </w:rPr>
              <w:t>Disponibilizar veículo para viabilizar o deslocamento dos fiscais ao Distrito do Alto Caracol/MS, garantindo o acompanhamento regular da obra.</w:t>
            </w:r>
          </w:p>
        </w:tc>
      </w:tr>
      <w:tr w14:paraId="3BD38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1C3FF179">
            <w:pPr>
              <w:spacing w:line="360" w:lineRule="auto"/>
              <w:jc w:val="both"/>
              <w:rPr>
                <w:b/>
                <w:bCs/>
                <w:sz w:val="22"/>
                <w:szCs w:val="22"/>
              </w:rPr>
            </w:pPr>
            <w:r>
              <w:rPr>
                <w:b/>
                <w:bCs/>
                <w:sz w:val="22"/>
                <w:szCs w:val="22"/>
              </w:rPr>
              <w:t>Responsável</w:t>
            </w:r>
          </w:p>
        </w:tc>
        <w:tc>
          <w:tcPr>
            <w:tcW w:w="6656" w:type="dxa"/>
            <w:gridSpan w:val="2"/>
          </w:tcPr>
          <w:p w14:paraId="5C1F6787">
            <w:pPr>
              <w:spacing w:line="360" w:lineRule="auto"/>
              <w:jc w:val="both"/>
              <w:rPr>
                <w:sz w:val="22"/>
                <w:szCs w:val="22"/>
                <w:lang w:val="pt-PT"/>
              </w:rPr>
            </w:pPr>
            <w:r>
              <w:rPr>
                <w:sz w:val="22"/>
                <w:szCs w:val="22"/>
                <w:lang w:val="pt-PT"/>
              </w:rPr>
              <w:t>Secretaria Municipal de Educação.</w:t>
            </w:r>
          </w:p>
        </w:tc>
      </w:tr>
      <w:tr w14:paraId="26A78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shd w:val="clear" w:color="auto" w:fill="E7E6E6" w:themeFill="background2"/>
          </w:tcPr>
          <w:p w14:paraId="3CA9E997">
            <w:pPr>
              <w:spacing w:line="360" w:lineRule="auto"/>
              <w:jc w:val="both"/>
              <w:rPr>
                <w:b/>
                <w:bCs/>
                <w:sz w:val="22"/>
                <w:szCs w:val="22"/>
              </w:rPr>
            </w:pPr>
            <w:r>
              <w:rPr>
                <w:b/>
                <w:bCs/>
                <w:sz w:val="22"/>
                <w:szCs w:val="22"/>
                <w:u w:val="single"/>
              </w:rPr>
              <w:t>RISCO 5</w:t>
            </w:r>
          </w:p>
        </w:tc>
        <w:tc>
          <w:tcPr>
            <w:tcW w:w="6656" w:type="dxa"/>
            <w:gridSpan w:val="2"/>
          </w:tcPr>
          <w:p w14:paraId="5D732D8E">
            <w:pPr>
              <w:spacing w:line="360" w:lineRule="auto"/>
              <w:jc w:val="both"/>
              <w:rPr>
                <w:b/>
                <w:bCs/>
                <w:sz w:val="22"/>
                <w:szCs w:val="22"/>
                <w:u w:val="single"/>
                <w:lang w:val="pt-PT"/>
              </w:rPr>
            </w:pPr>
            <w:r>
              <w:rPr>
                <w:b/>
                <w:bCs/>
                <w:sz w:val="22"/>
                <w:szCs w:val="22"/>
                <w:u w:val="single"/>
                <w:lang w:val="pt-PT"/>
              </w:rPr>
              <w:t>Obra em desacordo com o projeto básico.</w:t>
            </w:r>
          </w:p>
        </w:tc>
      </w:tr>
      <w:tr w14:paraId="7B195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044F5F69">
            <w:pPr>
              <w:spacing w:line="360" w:lineRule="auto"/>
              <w:jc w:val="both"/>
              <w:rPr>
                <w:b/>
                <w:bCs/>
                <w:sz w:val="22"/>
                <w:szCs w:val="22"/>
              </w:rPr>
            </w:pPr>
            <w:r>
              <w:rPr>
                <w:b/>
                <w:bCs/>
                <w:sz w:val="22"/>
                <w:szCs w:val="22"/>
              </w:rPr>
              <w:t>ETAPA</w:t>
            </w:r>
          </w:p>
        </w:tc>
        <w:tc>
          <w:tcPr>
            <w:tcW w:w="6656" w:type="dxa"/>
            <w:gridSpan w:val="2"/>
          </w:tcPr>
          <w:p w14:paraId="740BDF96">
            <w:pPr>
              <w:spacing w:line="360" w:lineRule="auto"/>
              <w:jc w:val="both"/>
              <w:rPr>
                <w:sz w:val="22"/>
                <w:szCs w:val="22"/>
              </w:rPr>
            </w:pPr>
            <w:r>
              <w:rPr>
                <w:sz w:val="22"/>
                <w:szCs w:val="22"/>
              </w:rPr>
              <w:t xml:space="preserve">(   )Planejamento             (   ) Seleção do fornecedor </w:t>
            </w:r>
          </w:p>
          <w:p w14:paraId="068D7049">
            <w:pPr>
              <w:spacing w:line="360" w:lineRule="auto"/>
              <w:jc w:val="both"/>
              <w:rPr>
                <w:sz w:val="22"/>
                <w:szCs w:val="22"/>
                <w:lang w:val="pt-PT"/>
              </w:rPr>
            </w:pPr>
            <w:r>
              <w:rPr>
                <w:sz w:val="22"/>
                <w:szCs w:val="22"/>
              </w:rPr>
              <w:t>(X) Execução do Contrato</w:t>
            </w:r>
          </w:p>
        </w:tc>
      </w:tr>
      <w:tr w14:paraId="34B01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174A9D35">
            <w:pPr>
              <w:spacing w:line="360" w:lineRule="auto"/>
              <w:jc w:val="both"/>
              <w:rPr>
                <w:b/>
                <w:bCs/>
                <w:sz w:val="22"/>
                <w:szCs w:val="22"/>
              </w:rPr>
            </w:pPr>
            <w:r>
              <w:rPr>
                <w:b/>
                <w:bCs/>
                <w:sz w:val="22"/>
                <w:szCs w:val="22"/>
              </w:rPr>
              <w:t>Probabilidade</w:t>
            </w:r>
          </w:p>
        </w:tc>
        <w:tc>
          <w:tcPr>
            <w:tcW w:w="6656" w:type="dxa"/>
            <w:gridSpan w:val="2"/>
          </w:tcPr>
          <w:p w14:paraId="247DABEF">
            <w:pPr>
              <w:spacing w:line="360" w:lineRule="auto"/>
              <w:jc w:val="both"/>
              <w:rPr>
                <w:sz w:val="22"/>
                <w:szCs w:val="22"/>
              </w:rPr>
            </w:pPr>
            <w:r>
              <w:rPr>
                <w:sz w:val="22"/>
                <w:szCs w:val="22"/>
              </w:rPr>
              <w:t xml:space="preserve">(   ) Muito baixo (X) baixo (   ) médio </w:t>
            </w:r>
          </w:p>
          <w:p w14:paraId="0439B3B7">
            <w:pPr>
              <w:spacing w:line="360" w:lineRule="auto"/>
              <w:jc w:val="both"/>
              <w:rPr>
                <w:sz w:val="22"/>
                <w:szCs w:val="22"/>
                <w:lang w:val="pt-PT"/>
              </w:rPr>
            </w:pPr>
            <w:r>
              <w:rPr>
                <w:sz w:val="22"/>
                <w:szCs w:val="22"/>
              </w:rPr>
              <w:t>(   ) alto (   ) muito alto</w:t>
            </w:r>
          </w:p>
        </w:tc>
      </w:tr>
      <w:tr w14:paraId="1575E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62553362">
            <w:pPr>
              <w:spacing w:line="360" w:lineRule="auto"/>
              <w:jc w:val="both"/>
              <w:rPr>
                <w:b/>
                <w:bCs/>
                <w:sz w:val="22"/>
                <w:szCs w:val="22"/>
              </w:rPr>
            </w:pPr>
            <w:r>
              <w:rPr>
                <w:b/>
                <w:bCs/>
                <w:sz w:val="22"/>
                <w:szCs w:val="22"/>
              </w:rPr>
              <w:t>Impacto</w:t>
            </w:r>
          </w:p>
        </w:tc>
        <w:tc>
          <w:tcPr>
            <w:tcW w:w="6656" w:type="dxa"/>
            <w:gridSpan w:val="2"/>
          </w:tcPr>
          <w:p w14:paraId="79A13082">
            <w:pPr>
              <w:spacing w:line="360" w:lineRule="auto"/>
              <w:jc w:val="both"/>
              <w:rPr>
                <w:sz w:val="22"/>
                <w:szCs w:val="22"/>
              </w:rPr>
            </w:pPr>
            <w:r>
              <w:rPr>
                <w:sz w:val="22"/>
                <w:szCs w:val="22"/>
              </w:rPr>
              <w:t xml:space="preserve">(   ) Muito baixo (   ) baixo (   ) médio </w:t>
            </w:r>
          </w:p>
          <w:p w14:paraId="37CED95F">
            <w:pPr>
              <w:spacing w:line="360" w:lineRule="auto"/>
              <w:jc w:val="both"/>
              <w:rPr>
                <w:sz w:val="22"/>
                <w:szCs w:val="22"/>
                <w:lang w:val="pt-PT"/>
              </w:rPr>
            </w:pPr>
            <w:r>
              <w:rPr>
                <w:sz w:val="22"/>
                <w:szCs w:val="22"/>
              </w:rPr>
              <w:t>(X) alto (  ) muito alto</w:t>
            </w:r>
          </w:p>
        </w:tc>
      </w:tr>
      <w:tr w14:paraId="6FBAA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67E9AC55">
            <w:pPr>
              <w:spacing w:line="360" w:lineRule="auto"/>
              <w:jc w:val="both"/>
              <w:rPr>
                <w:b/>
                <w:bCs/>
                <w:sz w:val="22"/>
                <w:szCs w:val="22"/>
              </w:rPr>
            </w:pPr>
            <w:r>
              <w:rPr>
                <w:b/>
                <w:bCs/>
                <w:sz w:val="22"/>
                <w:szCs w:val="22"/>
              </w:rPr>
              <w:t>Medida (s)</w:t>
            </w:r>
          </w:p>
        </w:tc>
        <w:tc>
          <w:tcPr>
            <w:tcW w:w="6656" w:type="dxa"/>
            <w:gridSpan w:val="2"/>
          </w:tcPr>
          <w:p w14:paraId="0A8517AB">
            <w:pPr>
              <w:pStyle w:val="55"/>
              <w:numPr>
                <w:ilvl w:val="0"/>
                <w:numId w:val="32"/>
              </w:numPr>
              <w:suppressAutoHyphens w:val="0"/>
              <w:spacing w:line="360" w:lineRule="auto"/>
              <w:jc w:val="both"/>
              <w:rPr>
                <w:sz w:val="22"/>
                <w:szCs w:val="22"/>
                <w:lang w:val="pt-PT"/>
              </w:rPr>
            </w:pPr>
            <w:r>
              <w:rPr>
                <w:sz w:val="22"/>
                <w:szCs w:val="22"/>
                <w:lang w:val="pt-PT"/>
              </w:rPr>
              <w:t>Elaboração aprimorada do Projeto Básico;</w:t>
            </w:r>
          </w:p>
          <w:p w14:paraId="2EE9A5FB">
            <w:pPr>
              <w:pStyle w:val="55"/>
              <w:numPr>
                <w:ilvl w:val="0"/>
                <w:numId w:val="32"/>
              </w:numPr>
              <w:suppressAutoHyphens w:val="0"/>
              <w:spacing w:line="360" w:lineRule="auto"/>
              <w:jc w:val="both"/>
              <w:rPr>
                <w:sz w:val="22"/>
                <w:szCs w:val="22"/>
                <w:lang w:val="pt-PT"/>
              </w:rPr>
            </w:pPr>
            <w:r>
              <w:rPr>
                <w:sz w:val="22"/>
                <w:szCs w:val="22"/>
                <w:lang w:val="pt-PT"/>
              </w:rPr>
              <w:t>Inserir cláusula de penalidade no Contrato;</w:t>
            </w:r>
          </w:p>
          <w:p w14:paraId="54916420">
            <w:pPr>
              <w:pStyle w:val="55"/>
              <w:numPr>
                <w:ilvl w:val="0"/>
                <w:numId w:val="32"/>
              </w:numPr>
              <w:suppressAutoHyphens w:val="0"/>
              <w:spacing w:line="360" w:lineRule="auto"/>
              <w:jc w:val="both"/>
              <w:rPr>
                <w:sz w:val="22"/>
                <w:szCs w:val="22"/>
                <w:lang w:val="pt-PT"/>
              </w:rPr>
            </w:pPr>
            <w:r>
              <w:rPr>
                <w:sz w:val="22"/>
                <w:szCs w:val="22"/>
                <w:lang w:val="pt-PT"/>
              </w:rPr>
              <w:t>Notificar formalmente a Empresa Contratada;</w:t>
            </w:r>
          </w:p>
          <w:p w14:paraId="68BB0693">
            <w:pPr>
              <w:pStyle w:val="55"/>
              <w:numPr>
                <w:ilvl w:val="0"/>
                <w:numId w:val="32"/>
              </w:numPr>
              <w:suppressAutoHyphens w:val="0"/>
              <w:spacing w:line="360" w:lineRule="auto"/>
              <w:jc w:val="both"/>
              <w:rPr>
                <w:sz w:val="22"/>
                <w:szCs w:val="22"/>
                <w:lang w:val="pt-PT"/>
              </w:rPr>
            </w:pPr>
            <w:r>
              <w:rPr>
                <w:sz w:val="22"/>
                <w:szCs w:val="22"/>
                <w:lang w:val="pt-PT"/>
              </w:rPr>
              <w:t>Aplicar as penalidades cabíveis em caso de descumprimento;</w:t>
            </w:r>
          </w:p>
          <w:p w14:paraId="69F82545">
            <w:pPr>
              <w:pStyle w:val="55"/>
              <w:numPr>
                <w:ilvl w:val="0"/>
                <w:numId w:val="32"/>
              </w:numPr>
              <w:suppressAutoHyphens w:val="0"/>
              <w:spacing w:line="360" w:lineRule="auto"/>
              <w:jc w:val="both"/>
              <w:rPr>
                <w:sz w:val="22"/>
                <w:szCs w:val="22"/>
                <w:lang w:val="pt-PT"/>
              </w:rPr>
            </w:pPr>
            <w:r>
              <w:rPr>
                <w:sz w:val="22"/>
                <w:szCs w:val="22"/>
                <w:lang w:val="pt-PT"/>
              </w:rPr>
              <w:t>Rejeitar o recebimento da obra.</w:t>
            </w:r>
          </w:p>
        </w:tc>
      </w:tr>
      <w:tr w14:paraId="510ED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45" w:type="dxa"/>
          </w:tcPr>
          <w:p w14:paraId="66F8E668">
            <w:pPr>
              <w:spacing w:line="360" w:lineRule="auto"/>
              <w:jc w:val="both"/>
              <w:rPr>
                <w:b/>
                <w:bCs/>
                <w:sz w:val="22"/>
                <w:szCs w:val="22"/>
              </w:rPr>
            </w:pPr>
            <w:r>
              <w:rPr>
                <w:b/>
                <w:bCs/>
                <w:sz w:val="22"/>
                <w:szCs w:val="22"/>
              </w:rPr>
              <w:t>Responsável</w:t>
            </w:r>
          </w:p>
        </w:tc>
        <w:tc>
          <w:tcPr>
            <w:tcW w:w="6656" w:type="dxa"/>
            <w:gridSpan w:val="2"/>
          </w:tcPr>
          <w:p w14:paraId="75AC137F">
            <w:pPr>
              <w:spacing w:line="360" w:lineRule="auto"/>
              <w:jc w:val="both"/>
              <w:rPr>
                <w:sz w:val="22"/>
                <w:szCs w:val="22"/>
                <w:lang w:val="pt-PT"/>
              </w:rPr>
            </w:pPr>
            <w:r>
              <w:rPr>
                <w:sz w:val="22"/>
                <w:szCs w:val="22"/>
                <w:lang w:val="pt-PT"/>
              </w:rPr>
              <w:t>Equipe Técnica de Engenharia.</w:t>
            </w:r>
          </w:p>
          <w:p w14:paraId="6574E8AB">
            <w:pPr>
              <w:spacing w:line="360" w:lineRule="auto"/>
              <w:jc w:val="both"/>
              <w:rPr>
                <w:sz w:val="22"/>
                <w:szCs w:val="22"/>
                <w:lang w:val="pt-PT"/>
              </w:rPr>
            </w:pPr>
            <w:r>
              <w:rPr>
                <w:sz w:val="22"/>
                <w:szCs w:val="22"/>
                <w:lang w:val="pt-PT"/>
              </w:rPr>
              <w:t>Fiscal do Contrato/Gestor do Contrato.</w:t>
            </w:r>
          </w:p>
        </w:tc>
      </w:tr>
    </w:tbl>
    <w:p w14:paraId="41CBA2A8">
      <w:pPr>
        <w:pStyle w:val="100"/>
        <w:rPr>
          <w:rFonts w:ascii="Times New Roman" w:hAnsi="Times New Roman" w:cs="Times New Roman"/>
          <w:b/>
          <w:bCs/>
          <w:i/>
          <w:iCs/>
          <w:sz w:val="24"/>
          <w:szCs w:val="24"/>
          <w:u w:val="single"/>
          <w:lang w:eastAsia="en-US"/>
        </w:rPr>
      </w:pPr>
    </w:p>
    <w:p w14:paraId="3C2BD209">
      <w:pPr>
        <w:pStyle w:val="100"/>
        <w:jc w:val="center"/>
        <w:rPr>
          <w:rFonts w:ascii="Times New Roman" w:hAnsi="Times New Roman" w:cs="Times New Roman"/>
          <w:b/>
          <w:bCs/>
          <w:i/>
          <w:iCs/>
          <w:sz w:val="24"/>
          <w:szCs w:val="24"/>
          <w:u w:val="single"/>
          <w:lang w:eastAsia="en-US"/>
        </w:rPr>
      </w:pPr>
      <w:r>
        <w:rPr>
          <w:rFonts w:ascii="Times New Roman" w:hAnsi="Times New Roman" w:cs="Times New Roman"/>
          <w:b/>
          <w:bCs/>
          <w:i/>
          <w:iCs/>
          <w:sz w:val="24"/>
          <w:szCs w:val="24"/>
          <w:u w:val="single"/>
          <w:lang w:eastAsia="en-US"/>
        </w:rPr>
        <w:t>MAPA DE RISCO</w:t>
      </w:r>
    </w:p>
    <w:p w14:paraId="78257649">
      <w:pPr>
        <w:pStyle w:val="100"/>
        <w:jc w:val="center"/>
        <w:rPr>
          <w:rFonts w:ascii="Times New Roman" w:hAnsi="Times New Roman" w:cs="Times New Roman"/>
          <w:b/>
          <w:bCs/>
          <w:i/>
          <w:iCs/>
          <w:sz w:val="24"/>
          <w:szCs w:val="24"/>
          <w:u w:val="single"/>
          <w:lang w:eastAsia="en-US"/>
        </w:rPr>
      </w:pPr>
    </w:p>
    <w:tbl>
      <w:tblPr>
        <w:tblStyle w:val="1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7"/>
        <w:gridCol w:w="1786"/>
        <w:gridCol w:w="1269"/>
        <w:gridCol w:w="1253"/>
        <w:gridCol w:w="1281"/>
        <w:gridCol w:w="1198"/>
        <w:gridCol w:w="1270"/>
      </w:tblGrid>
      <w:tr w14:paraId="17DCC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dxa"/>
            <w:vMerge w:val="restart"/>
          </w:tcPr>
          <w:p w14:paraId="5037D89D">
            <w:pPr>
              <w:spacing w:line="600" w:lineRule="auto"/>
              <w:jc w:val="both"/>
              <w:rPr>
                <w:sz w:val="22"/>
                <w:szCs w:val="22"/>
              </w:rPr>
            </w:pPr>
            <w:r>
              <w:rPr>
                <w:sz w:val="22"/>
                <w:szCs w:val="22"/>
              </w:rPr>
              <w:t>I</w:t>
            </w:r>
          </w:p>
          <w:p w14:paraId="097DCFE3">
            <w:pPr>
              <w:spacing w:line="600" w:lineRule="auto"/>
              <w:jc w:val="both"/>
              <w:rPr>
                <w:sz w:val="22"/>
                <w:szCs w:val="22"/>
              </w:rPr>
            </w:pPr>
            <w:r>
              <w:rPr>
                <w:sz w:val="22"/>
                <w:szCs w:val="22"/>
              </w:rPr>
              <w:t>M</w:t>
            </w:r>
          </w:p>
          <w:p w14:paraId="3A9CEA91">
            <w:pPr>
              <w:spacing w:line="600" w:lineRule="auto"/>
              <w:jc w:val="both"/>
              <w:rPr>
                <w:sz w:val="22"/>
                <w:szCs w:val="22"/>
              </w:rPr>
            </w:pPr>
            <w:r>
              <w:rPr>
                <w:sz w:val="22"/>
                <w:szCs w:val="22"/>
              </w:rPr>
              <w:t>P</w:t>
            </w:r>
          </w:p>
          <w:p w14:paraId="30DF91DF">
            <w:pPr>
              <w:spacing w:line="600" w:lineRule="auto"/>
              <w:jc w:val="both"/>
              <w:rPr>
                <w:sz w:val="22"/>
                <w:szCs w:val="22"/>
              </w:rPr>
            </w:pPr>
            <w:r>
              <w:rPr>
                <w:sz w:val="22"/>
                <w:szCs w:val="22"/>
              </w:rPr>
              <w:t>A</w:t>
            </w:r>
          </w:p>
          <w:p w14:paraId="0BEBDFA6">
            <w:pPr>
              <w:spacing w:line="600" w:lineRule="auto"/>
              <w:jc w:val="both"/>
              <w:rPr>
                <w:sz w:val="22"/>
                <w:szCs w:val="22"/>
              </w:rPr>
            </w:pPr>
            <w:r>
              <w:rPr>
                <w:sz w:val="22"/>
                <w:szCs w:val="22"/>
              </w:rPr>
              <w:t>C</w:t>
            </w:r>
          </w:p>
          <w:p w14:paraId="72EF894A">
            <w:pPr>
              <w:spacing w:line="600" w:lineRule="auto"/>
              <w:jc w:val="both"/>
              <w:rPr>
                <w:sz w:val="22"/>
                <w:szCs w:val="22"/>
              </w:rPr>
            </w:pPr>
            <w:r>
              <w:rPr>
                <w:sz w:val="22"/>
                <w:szCs w:val="22"/>
              </w:rPr>
              <w:t>T</w:t>
            </w:r>
          </w:p>
          <w:p w14:paraId="6A72DF9B">
            <w:pPr>
              <w:spacing w:line="600" w:lineRule="auto"/>
              <w:jc w:val="both"/>
              <w:rPr>
                <w:sz w:val="22"/>
                <w:szCs w:val="22"/>
              </w:rPr>
            </w:pPr>
            <w:r>
              <w:rPr>
                <w:sz w:val="22"/>
                <w:szCs w:val="22"/>
              </w:rPr>
              <w:t>O</w:t>
            </w:r>
          </w:p>
        </w:tc>
        <w:tc>
          <w:tcPr>
            <w:tcW w:w="8057" w:type="dxa"/>
            <w:gridSpan w:val="6"/>
          </w:tcPr>
          <w:p w14:paraId="53F923BC">
            <w:pPr>
              <w:spacing w:line="360" w:lineRule="auto"/>
              <w:jc w:val="both"/>
              <w:rPr>
                <w:sz w:val="22"/>
                <w:szCs w:val="22"/>
              </w:rPr>
            </w:pPr>
            <w:r>
              <w:rPr>
                <w:sz w:val="22"/>
                <w:szCs w:val="22"/>
              </w:rPr>
              <w:t>P    R    O    B    A    B    I    L    I    D    A    D    E</w:t>
            </w:r>
          </w:p>
        </w:tc>
      </w:tr>
      <w:tr w14:paraId="5C23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dxa"/>
            <w:vMerge w:val="continue"/>
          </w:tcPr>
          <w:p w14:paraId="0C0E4558">
            <w:pPr>
              <w:spacing w:line="360" w:lineRule="auto"/>
              <w:jc w:val="both"/>
              <w:rPr>
                <w:sz w:val="22"/>
                <w:szCs w:val="22"/>
              </w:rPr>
            </w:pPr>
          </w:p>
        </w:tc>
        <w:tc>
          <w:tcPr>
            <w:tcW w:w="1786" w:type="dxa"/>
          </w:tcPr>
          <w:p w14:paraId="1A870169">
            <w:pPr>
              <w:spacing w:line="360" w:lineRule="auto"/>
              <w:rPr>
                <w:sz w:val="22"/>
                <w:szCs w:val="22"/>
              </w:rPr>
            </w:pPr>
          </w:p>
        </w:tc>
        <w:tc>
          <w:tcPr>
            <w:tcW w:w="1269" w:type="dxa"/>
          </w:tcPr>
          <w:p w14:paraId="484DD4B6">
            <w:pPr>
              <w:spacing w:line="360" w:lineRule="auto"/>
              <w:jc w:val="center"/>
              <w:rPr>
                <w:sz w:val="22"/>
                <w:szCs w:val="22"/>
              </w:rPr>
            </w:pPr>
            <w:r>
              <w:rPr>
                <w:sz w:val="22"/>
                <w:szCs w:val="22"/>
              </w:rPr>
              <w:t>MUITO BAIXO</w:t>
            </w:r>
          </w:p>
        </w:tc>
        <w:tc>
          <w:tcPr>
            <w:tcW w:w="1253" w:type="dxa"/>
          </w:tcPr>
          <w:p w14:paraId="6CE63377">
            <w:pPr>
              <w:spacing w:line="360" w:lineRule="auto"/>
              <w:jc w:val="center"/>
              <w:rPr>
                <w:sz w:val="22"/>
                <w:szCs w:val="22"/>
              </w:rPr>
            </w:pPr>
            <w:r>
              <w:rPr>
                <w:sz w:val="22"/>
                <w:szCs w:val="22"/>
              </w:rPr>
              <w:t>BAIXO</w:t>
            </w:r>
          </w:p>
        </w:tc>
        <w:tc>
          <w:tcPr>
            <w:tcW w:w="1281" w:type="dxa"/>
          </w:tcPr>
          <w:p w14:paraId="565144E7">
            <w:pPr>
              <w:spacing w:line="360" w:lineRule="auto"/>
              <w:jc w:val="center"/>
              <w:rPr>
                <w:sz w:val="22"/>
                <w:szCs w:val="22"/>
              </w:rPr>
            </w:pPr>
            <w:r>
              <w:rPr>
                <w:sz w:val="22"/>
                <w:szCs w:val="22"/>
              </w:rPr>
              <w:t>MÉDIO</w:t>
            </w:r>
          </w:p>
        </w:tc>
        <w:tc>
          <w:tcPr>
            <w:tcW w:w="1198" w:type="dxa"/>
          </w:tcPr>
          <w:p w14:paraId="06CD48AF">
            <w:pPr>
              <w:spacing w:line="360" w:lineRule="auto"/>
              <w:jc w:val="center"/>
              <w:rPr>
                <w:sz w:val="22"/>
                <w:szCs w:val="22"/>
              </w:rPr>
            </w:pPr>
            <w:r>
              <w:rPr>
                <w:sz w:val="22"/>
                <w:szCs w:val="22"/>
              </w:rPr>
              <w:t>ALTO</w:t>
            </w:r>
          </w:p>
        </w:tc>
        <w:tc>
          <w:tcPr>
            <w:tcW w:w="1270" w:type="dxa"/>
          </w:tcPr>
          <w:p w14:paraId="0C6A113B">
            <w:pPr>
              <w:spacing w:line="360" w:lineRule="auto"/>
              <w:jc w:val="center"/>
              <w:rPr>
                <w:sz w:val="22"/>
                <w:szCs w:val="22"/>
              </w:rPr>
            </w:pPr>
            <w:r>
              <w:rPr>
                <w:sz w:val="22"/>
                <w:szCs w:val="22"/>
              </w:rPr>
              <w:t>MUITO ALTO</w:t>
            </w:r>
          </w:p>
        </w:tc>
      </w:tr>
      <w:tr w14:paraId="2B8BB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dxa"/>
            <w:vMerge w:val="continue"/>
          </w:tcPr>
          <w:p w14:paraId="645594A8">
            <w:pPr>
              <w:spacing w:line="360" w:lineRule="auto"/>
              <w:jc w:val="both"/>
              <w:rPr>
                <w:sz w:val="22"/>
                <w:szCs w:val="22"/>
              </w:rPr>
            </w:pPr>
          </w:p>
        </w:tc>
        <w:tc>
          <w:tcPr>
            <w:tcW w:w="1786" w:type="dxa"/>
          </w:tcPr>
          <w:p w14:paraId="4234D283">
            <w:pPr>
              <w:spacing w:line="360" w:lineRule="auto"/>
              <w:rPr>
                <w:sz w:val="22"/>
                <w:szCs w:val="22"/>
              </w:rPr>
            </w:pPr>
            <w:r>
              <w:rPr>
                <w:sz w:val="22"/>
                <w:szCs w:val="22"/>
              </w:rPr>
              <w:t>MUITO</w:t>
            </w:r>
          </w:p>
          <w:p w14:paraId="7F7CD17D">
            <w:pPr>
              <w:spacing w:line="360" w:lineRule="auto"/>
              <w:rPr>
                <w:sz w:val="22"/>
                <w:szCs w:val="22"/>
              </w:rPr>
            </w:pPr>
            <w:r>
              <w:rPr>
                <w:sz w:val="22"/>
                <w:szCs w:val="22"/>
              </w:rPr>
              <w:t>ALTO</w:t>
            </w:r>
          </w:p>
        </w:tc>
        <w:tc>
          <w:tcPr>
            <w:tcW w:w="1269" w:type="dxa"/>
          </w:tcPr>
          <w:p w14:paraId="727DA9CF">
            <w:pPr>
              <w:spacing w:line="360" w:lineRule="auto"/>
              <w:jc w:val="center"/>
              <w:rPr>
                <w:sz w:val="22"/>
                <w:szCs w:val="22"/>
              </w:rPr>
            </w:pPr>
          </w:p>
        </w:tc>
        <w:tc>
          <w:tcPr>
            <w:tcW w:w="1253" w:type="dxa"/>
            <w:shd w:val="clear" w:color="auto" w:fill="FFFF00"/>
          </w:tcPr>
          <w:p w14:paraId="59E85EB6">
            <w:pPr>
              <w:spacing w:line="360" w:lineRule="auto"/>
              <w:jc w:val="center"/>
              <w:rPr>
                <w:sz w:val="22"/>
                <w:szCs w:val="22"/>
              </w:rPr>
            </w:pPr>
            <w:r>
              <w:rPr>
                <w:sz w:val="22"/>
                <w:szCs w:val="22"/>
              </w:rPr>
              <w:t>Risco 4</w:t>
            </w:r>
          </w:p>
        </w:tc>
        <w:tc>
          <w:tcPr>
            <w:tcW w:w="1281" w:type="dxa"/>
            <w:shd w:val="clear" w:color="auto" w:fill="FF0000"/>
          </w:tcPr>
          <w:p w14:paraId="42865757">
            <w:pPr>
              <w:spacing w:line="360" w:lineRule="auto"/>
              <w:jc w:val="center"/>
              <w:rPr>
                <w:sz w:val="22"/>
                <w:szCs w:val="22"/>
              </w:rPr>
            </w:pPr>
          </w:p>
        </w:tc>
        <w:tc>
          <w:tcPr>
            <w:tcW w:w="1198" w:type="dxa"/>
            <w:shd w:val="clear" w:color="auto" w:fill="FF0000"/>
          </w:tcPr>
          <w:p w14:paraId="36D17BAC">
            <w:pPr>
              <w:spacing w:line="360" w:lineRule="auto"/>
              <w:jc w:val="center"/>
              <w:rPr>
                <w:sz w:val="22"/>
                <w:szCs w:val="22"/>
              </w:rPr>
            </w:pPr>
          </w:p>
        </w:tc>
        <w:tc>
          <w:tcPr>
            <w:tcW w:w="1270" w:type="dxa"/>
            <w:shd w:val="clear" w:color="auto" w:fill="FF0000"/>
          </w:tcPr>
          <w:p w14:paraId="1D8251E0">
            <w:pPr>
              <w:spacing w:line="360" w:lineRule="auto"/>
              <w:jc w:val="center"/>
              <w:rPr>
                <w:sz w:val="22"/>
                <w:szCs w:val="22"/>
              </w:rPr>
            </w:pPr>
          </w:p>
        </w:tc>
      </w:tr>
      <w:tr w14:paraId="13E1B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dxa"/>
            <w:vMerge w:val="continue"/>
          </w:tcPr>
          <w:p w14:paraId="28FC2C53">
            <w:pPr>
              <w:spacing w:line="360" w:lineRule="auto"/>
              <w:jc w:val="both"/>
              <w:rPr>
                <w:sz w:val="22"/>
                <w:szCs w:val="22"/>
              </w:rPr>
            </w:pPr>
          </w:p>
        </w:tc>
        <w:tc>
          <w:tcPr>
            <w:tcW w:w="1786" w:type="dxa"/>
          </w:tcPr>
          <w:p w14:paraId="6D3D471D">
            <w:pPr>
              <w:spacing w:line="360" w:lineRule="auto"/>
              <w:rPr>
                <w:sz w:val="22"/>
                <w:szCs w:val="22"/>
              </w:rPr>
            </w:pPr>
            <w:r>
              <w:rPr>
                <w:sz w:val="22"/>
                <w:szCs w:val="22"/>
              </w:rPr>
              <w:t>ALTO</w:t>
            </w:r>
          </w:p>
          <w:p w14:paraId="62DE1101">
            <w:pPr>
              <w:spacing w:line="360" w:lineRule="auto"/>
              <w:rPr>
                <w:sz w:val="22"/>
                <w:szCs w:val="22"/>
              </w:rPr>
            </w:pPr>
          </w:p>
        </w:tc>
        <w:tc>
          <w:tcPr>
            <w:tcW w:w="1269" w:type="dxa"/>
          </w:tcPr>
          <w:p w14:paraId="7C3F3BBC">
            <w:pPr>
              <w:spacing w:line="360" w:lineRule="auto"/>
              <w:jc w:val="center"/>
              <w:rPr>
                <w:sz w:val="22"/>
                <w:szCs w:val="22"/>
              </w:rPr>
            </w:pPr>
            <w:r>
              <w:rPr>
                <w:sz w:val="22"/>
                <w:szCs w:val="22"/>
              </w:rPr>
              <w:t>Risco 1</w:t>
            </w:r>
          </w:p>
        </w:tc>
        <w:tc>
          <w:tcPr>
            <w:tcW w:w="1253" w:type="dxa"/>
            <w:shd w:val="clear" w:color="auto" w:fill="FFFF00"/>
          </w:tcPr>
          <w:p w14:paraId="20E39C7A">
            <w:pPr>
              <w:spacing w:line="360" w:lineRule="auto"/>
              <w:jc w:val="center"/>
              <w:rPr>
                <w:sz w:val="22"/>
                <w:szCs w:val="22"/>
              </w:rPr>
            </w:pPr>
            <w:r>
              <w:rPr>
                <w:sz w:val="22"/>
                <w:szCs w:val="22"/>
              </w:rPr>
              <w:t>Risco 5</w:t>
            </w:r>
          </w:p>
        </w:tc>
        <w:tc>
          <w:tcPr>
            <w:tcW w:w="1281" w:type="dxa"/>
            <w:shd w:val="clear" w:color="auto" w:fill="FFFF00"/>
          </w:tcPr>
          <w:p w14:paraId="56F6AD7D">
            <w:pPr>
              <w:spacing w:line="360" w:lineRule="auto"/>
              <w:jc w:val="center"/>
              <w:rPr>
                <w:sz w:val="22"/>
                <w:szCs w:val="22"/>
              </w:rPr>
            </w:pPr>
            <w:r>
              <w:rPr>
                <w:sz w:val="22"/>
                <w:szCs w:val="22"/>
              </w:rPr>
              <w:t>Risco 2</w:t>
            </w:r>
          </w:p>
        </w:tc>
        <w:tc>
          <w:tcPr>
            <w:tcW w:w="1198" w:type="dxa"/>
            <w:shd w:val="clear" w:color="auto" w:fill="FFFF00"/>
          </w:tcPr>
          <w:p w14:paraId="506A84F4">
            <w:pPr>
              <w:spacing w:line="360" w:lineRule="auto"/>
              <w:jc w:val="center"/>
              <w:rPr>
                <w:sz w:val="22"/>
                <w:szCs w:val="22"/>
              </w:rPr>
            </w:pPr>
          </w:p>
        </w:tc>
        <w:tc>
          <w:tcPr>
            <w:tcW w:w="1270" w:type="dxa"/>
            <w:shd w:val="clear" w:color="auto" w:fill="FF0000"/>
          </w:tcPr>
          <w:p w14:paraId="217B57BD">
            <w:pPr>
              <w:spacing w:line="360" w:lineRule="auto"/>
              <w:jc w:val="center"/>
              <w:rPr>
                <w:sz w:val="22"/>
                <w:szCs w:val="22"/>
              </w:rPr>
            </w:pPr>
          </w:p>
        </w:tc>
      </w:tr>
      <w:tr w14:paraId="77A5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dxa"/>
            <w:vMerge w:val="continue"/>
          </w:tcPr>
          <w:p w14:paraId="5476504A">
            <w:pPr>
              <w:spacing w:line="360" w:lineRule="auto"/>
              <w:jc w:val="both"/>
              <w:rPr>
                <w:sz w:val="22"/>
                <w:szCs w:val="22"/>
              </w:rPr>
            </w:pPr>
          </w:p>
        </w:tc>
        <w:tc>
          <w:tcPr>
            <w:tcW w:w="1786" w:type="dxa"/>
          </w:tcPr>
          <w:p w14:paraId="59F2F9C1">
            <w:pPr>
              <w:spacing w:line="360" w:lineRule="auto"/>
              <w:rPr>
                <w:sz w:val="22"/>
                <w:szCs w:val="22"/>
              </w:rPr>
            </w:pPr>
            <w:r>
              <w:rPr>
                <w:sz w:val="22"/>
                <w:szCs w:val="22"/>
              </w:rPr>
              <w:t>MÉDIO</w:t>
            </w:r>
          </w:p>
          <w:p w14:paraId="596436E8">
            <w:pPr>
              <w:spacing w:line="360" w:lineRule="auto"/>
              <w:rPr>
                <w:sz w:val="22"/>
                <w:szCs w:val="22"/>
              </w:rPr>
            </w:pPr>
          </w:p>
        </w:tc>
        <w:tc>
          <w:tcPr>
            <w:tcW w:w="1269" w:type="dxa"/>
          </w:tcPr>
          <w:p w14:paraId="749B3B4B">
            <w:pPr>
              <w:spacing w:line="360" w:lineRule="auto"/>
              <w:jc w:val="center"/>
              <w:rPr>
                <w:sz w:val="22"/>
                <w:szCs w:val="22"/>
              </w:rPr>
            </w:pPr>
          </w:p>
        </w:tc>
        <w:tc>
          <w:tcPr>
            <w:tcW w:w="1253" w:type="dxa"/>
          </w:tcPr>
          <w:p w14:paraId="023EA45C">
            <w:pPr>
              <w:spacing w:line="360" w:lineRule="auto"/>
              <w:jc w:val="center"/>
              <w:rPr>
                <w:sz w:val="22"/>
                <w:szCs w:val="22"/>
              </w:rPr>
            </w:pPr>
          </w:p>
        </w:tc>
        <w:tc>
          <w:tcPr>
            <w:tcW w:w="1281" w:type="dxa"/>
            <w:shd w:val="clear" w:color="auto" w:fill="FFFF00"/>
          </w:tcPr>
          <w:p w14:paraId="3834177E">
            <w:pPr>
              <w:spacing w:line="360" w:lineRule="auto"/>
              <w:jc w:val="center"/>
              <w:rPr>
                <w:sz w:val="22"/>
                <w:szCs w:val="22"/>
              </w:rPr>
            </w:pPr>
          </w:p>
        </w:tc>
        <w:tc>
          <w:tcPr>
            <w:tcW w:w="1198" w:type="dxa"/>
            <w:shd w:val="clear" w:color="auto" w:fill="FFFF00"/>
          </w:tcPr>
          <w:p w14:paraId="41760DD9">
            <w:pPr>
              <w:spacing w:line="360" w:lineRule="auto"/>
              <w:jc w:val="center"/>
              <w:rPr>
                <w:sz w:val="22"/>
                <w:szCs w:val="22"/>
              </w:rPr>
            </w:pPr>
          </w:p>
        </w:tc>
        <w:tc>
          <w:tcPr>
            <w:tcW w:w="1270" w:type="dxa"/>
            <w:shd w:val="clear" w:color="auto" w:fill="FF0000"/>
          </w:tcPr>
          <w:p w14:paraId="68FE1CD7">
            <w:pPr>
              <w:spacing w:line="360" w:lineRule="auto"/>
              <w:jc w:val="center"/>
              <w:rPr>
                <w:sz w:val="22"/>
                <w:szCs w:val="22"/>
              </w:rPr>
            </w:pPr>
          </w:p>
        </w:tc>
      </w:tr>
      <w:tr w14:paraId="34B00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dxa"/>
            <w:vMerge w:val="continue"/>
          </w:tcPr>
          <w:p w14:paraId="1B1DA961">
            <w:pPr>
              <w:spacing w:line="360" w:lineRule="auto"/>
              <w:jc w:val="both"/>
              <w:rPr>
                <w:sz w:val="22"/>
                <w:szCs w:val="22"/>
              </w:rPr>
            </w:pPr>
          </w:p>
        </w:tc>
        <w:tc>
          <w:tcPr>
            <w:tcW w:w="1786" w:type="dxa"/>
          </w:tcPr>
          <w:p w14:paraId="5BF7B019">
            <w:pPr>
              <w:spacing w:line="360" w:lineRule="auto"/>
              <w:rPr>
                <w:sz w:val="22"/>
                <w:szCs w:val="22"/>
              </w:rPr>
            </w:pPr>
            <w:r>
              <w:rPr>
                <w:sz w:val="22"/>
                <w:szCs w:val="22"/>
              </w:rPr>
              <w:t>BAIXO</w:t>
            </w:r>
          </w:p>
          <w:p w14:paraId="482BA252">
            <w:pPr>
              <w:spacing w:line="360" w:lineRule="auto"/>
              <w:rPr>
                <w:sz w:val="22"/>
                <w:szCs w:val="22"/>
              </w:rPr>
            </w:pPr>
          </w:p>
        </w:tc>
        <w:tc>
          <w:tcPr>
            <w:tcW w:w="1269" w:type="dxa"/>
            <w:shd w:val="clear" w:color="auto" w:fill="00B050"/>
          </w:tcPr>
          <w:p w14:paraId="4CFF0B90">
            <w:pPr>
              <w:spacing w:line="360" w:lineRule="auto"/>
              <w:jc w:val="center"/>
              <w:rPr>
                <w:sz w:val="22"/>
                <w:szCs w:val="22"/>
              </w:rPr>
            </w:pPr>
          </w:p>
        </w:tc>
        <w:tc>
          <w:tcPr>
            <w:tcW w:w="1253" w:type="dxa"/>
            <w:shd w:val="clear" w:color="auto" w:fill="00B050"/>
          </w:tcPr>
          <w:p w14:paraId="6F6B831A">
            <w:pPr>
              <w:spacing w:line="360" w:lineRule="auto"/>
              <w:jc w:val="center"/>
              <w:rPr>
                <w:sz w:val="22"/>
                <w:szCs w:val="22"/>
              </w:rPr>
            </w:pPr>
          </w:p>
        </w:tc>
        <w:tc>
          <w:tcPr>
            <w:tcW w:w="1281" w:type="dxa"/>
          </w:tcPr>
          <w:p w14:paraId="0A917CF3">
            <w:pPr>
              <w:spacing w:line="360" w:lineRule="auto"/>
              <w:jc w:val="center"/>
              <w:rPr>
                <w:sz w:val="22"/>
                <w:szCs w:val="22"/>
              </w:rPr>
            </w:pPr>
          </w:p>
        </w:tc>
        <w:tc>
          <w:tcPr>
            <w:tcW w:w="1198" w:type="dxa"/>
            <w:shd w:val="clear" w:color="auto" w:fill="FFFF00"/>
          </w:tcPr>
          <w:p w14:paraId="0A733D8A">
            <w:pPr>
              <w:spacing w:line="360" w:lineRule="auto"/>
              <w:jc w:val="center"/>
              <w:rPr>
                <w:sz w:val="22"/>
                <w:szCs w:val="22"/>
              </w:rPr>
            </w:pPr>
          </w:p>
        </w:tc>
        <w:tc>
          <w:tcPr>
            <w:tcW w:w="1270" w:type="dxa"/>
            <w:shd w:val="clear" w:color="auto" w:fill="FFFF00"/>
          </w:tcPr>
          <w:p w14:paraId="020C80A6">
            <w:pPr>
              <w:spacing w:line="360" w:lineRule="auto"/>
              <w:jc w:val="center"/>
              <w:rPr>
                <w:sz w:val="22"/>
                <w:szCs w:val="22"/>
              </w:rPr>
            </w:pPr>
            <w:r>
              <w:rPr>
                <w:sz w:val="22"/>
                <w:szCs w:val="22"/>
              </w:rPr>
              <w:t>Risco 3</w:t>
            </w:r>
          </w:p>
        </w:tc>
      </w:tr>
      <w:tr w14:paraId="2D364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7" w:type="dxa"/>
            <w:vMerge w:val="continue"/>
          </w:tcPr>
          <w:p w14:paraId="5FD189E7">
            <w:pPr>
              <w:spacing w:line="360" w:lineRule="auto"/>
              <w:jc w:val="both"/>
              <w:rPr>
                <w:sz w:val="22"/>
                <w:szCs w:val="22"/>
              </w:rPr>
            </w:pPr>
          </w:p>
        </w:tc>
        <w:tc>
          <w:tcPr>
            <w:tcW w:w="1786" w:type="dxa"/>
          </w:tcPr>
          <w:p w14:paraId="04A43CB0">
            <w:pPr>
              <w:spacing w:line="360" w:lineRule="auto"/>
              <w:rPr>
                <w:sz w:val="22"/>
                <w:szCs w:val="22"/>
              </w:rPr>
            </w:pPr>
            <w:r>
              <w:rPr>
                <w:sz w:val="22"/>
                <w:szCs w:val="22"/>
              </w:rPr>
              <w:t>MUITO BAIXO</w:t>
            </w:r>
          </w:p>
        </w:tc>
        <w:tc>
          <w:tcPr>
            <w:tcW w:w="1269" w:type="dxa"/>
            <w:shd w:val="clear" w:color="auto" w:fill="00B050"/>
          </w:tcPr>
          <w:p w14:paraId="2BB8D047">
            <w:pPr>
              <w:spacing w:line="360" w:lineRule="auto"/>
              <w:rPr>
                <w:sz w:val="22"/>
                <w:szCs w:val="22"/>
              </w:rPr>
            </w:pPr>
          </w:p>
        </w:tc>
        <w:tc>
          <w:tcPr>
            <w:tcW w:w="1253" w:type="dxa"/>
            <w:shd w:val="clear" w:color="auto" w:fill="00B050"/>
          </w:tcPr>
          <w:p w14:paraId="6C1B114D">
            <w:pPr>
              <w:spacing w:line="360" w:lineRule="auto"/>
              <w:rPr>
                <w:sz w:val="22"/>
                <w:szCs w:val="22"/>
              </w:rPr>
            </w:pPr>
          </w:p>
        </w:tc>
        <w:tc>
          <w:tcPr>
            <w:tcW w:w="1281" w:type="dxa"/>
          </w:tcPr>
          <w:p w14:paraId="6573AB2F">
            <w:pPr>
              <w:spacing w:line="360" w:lineRule="auto"/>
              <w:rPr>
                <w:sz w:val="22"/>
                <w:szCs w:val="22"/>
              </w:rPr>
            </w:pPr>
          </w:p>
        </w:tc>
        <w:tc>
          <w:tcPr>
            <w:tcW w:w="1198" w:type="dxa"/>
          </w:tcPr>
          <w:p w14:paraId="217B1FCA">
            <w:pPr>
              <w:spacing w:line="360" w:lineRule="auto"/>
              <w:rPr>
                <w:sz w:val="22"/>
                <w:szCs w:val="22"/>
              </w:rPr>
            </w:pPr>
          </w:p>
        </w:tc>
        <w:tc>
          <w:tcPr>
            <w:tcW w:w="1270" w:type="dxa"/>
          </w:tcPr>
          <w:p w14:paraId="0B7F4993">
            <w:pPr>
              <w:spacing w:line="360" w:lineRule="auto"/>
              <w:rPr>
                <w:sz w:val="22"/>
                <w:szCs w:val="22"/>
              </w:rPr>
            </w:pPr>
          </w:p>
        </w:tc>
      </w:tr>
    </w:tbl>
    <w:p w14:paraId="1565AA9A">
      <w:pPr>
        <w:spacing w:before="100" w:beforeAutospacing="1" w:after="100" w:afterAutospacing="1" w:line="360" w:lineRule="auto"/>
        <w:jc w:val="both"/>
        <w:rPr>
          <w:rFonts w:eastAsia="Calibri"/>
          <w:szCs w:val="24"/>
          <w:lang w:eastAsia="en-US"/>
        </w:rPr>
      </w:pPr>
      <w:r>
        <w:rPr>
          <w:rFonts w:eastAsia="Calibri"/>
          <w:szCs w:val="24"/>
          <w:lang w:eastAsia="en-US"/>
        </w:rPr>
        <w:t xml:space="preserve">LEGENDA: Vermelho: Risco extremo – Amarelo: Risco alto – Branco: Risco médio e Verde: Risco baixo. </w:t>
      </w:r>
    </w:p>
    <w:p w14:paraId="784E9C00">
      <w:pPr>
        <w:pStyle w:val="100"/>
        <w:numPr>
          <w:ilvl w:val="0"/>
          <w:numId w:val="26"/>
        </w:numPr>
        <w:spacing w:line="360" w:lineRule="auto"/>
        <w:jc w:val="both"/>
        <w:rPr>
          <w:rFonts w:ascii="Times New Roman" w:hAnsi="Times New Roman" w:cs="Times New Roman"/>
          <w:b/>
          <w:sz w:val="24"/>
          <w:szCs w:val="24"/>
          <w:lang w:eastAsia="en-US"/>
        </w:rPr>
      </w:pPr>
      <w:r>
        <w:rPr>
          <w:rFonts w:ascii="Times New Roman" w:hAnsi="Times New Roman" w:cs="Times New Roman"/>
          <w:b/>
          <w:sz w:val="24"/>
          <w:szCs w:val="24"/>
          <w:lang w:eastAsia="en-US"/>
        </w:rPr>
        <w:t>Posicionamento conclusivo sobre a adequação da contratação para o atendimento da necessidade a que se destina</w:t>
      </w:r>
      <w:bookmarkEnd w:id="44"/>
      <w:r>
        <w:rPr>
          <w:rFonts w:ascii="Times New Roman" w:hAnsi="Times New Roman" w:cs="Times New Roman"/>
          <w:b/>
          <w:sz w:val="24"/>
          <w:szCs w:val="24"/>
          <w:lang w:eastAsia="en-US"/>
        </w:rPr>
        <w:t>.</w:t>
      </w:r>
    </w:p>
    <w:p w14:paraId="7AC3A5D5">
      <w:pPr>
        <w:pStyle w:val="100"/>
        <w:rPr>
          <w:rFonts w:ascii="Times New Roman" w:hAnsi="Times New Roman" w:cs="Times New Roman"/>
          <w:sz w:val="24"/>
          <w:szCs w:val="24"/>
        </w:rPr>
      </w:pPr>
    </w:p>
    <w:p w14:paraId="3EBDC3B5">
      <w:pPr>
        <w:spacing w:line="360" w:lineRule="auto"/>
        <w:ind w:right="-1" w:firstLine="708"/>
        <w:jc w:val="both"/>
        <w:rPr>
          <w:color w:val="EE0000"/>
          <w:szCs w:val="24"/>
        </w:rPr>
      </w:pPr>
      <w:r>
        <w:rPr>
          <w:szCs w:val="24"/>
        </w:rPr>
        <w:t>Considerando os elementos apresentados, bem como a fundamentação constante neste Estudo Técnico Preliminar, especialmente no que se refere à solução de mercado escolhida, esta Equipe de Planejamento conclui que a contratação é ADEQUADA e VIÁVEL para o atendimento das demandas e interesses da Administração Pública Municipal.</w:t>
      </w:r>
    </w:p>
    <w:p w14:paraId="1109BCD1">
      <w:pPr>
        <w:pStyle w:val="100"/>
        <w:spacing w:line="360" w:lineRule="auto"/>
        <w:jc w:val="right"/>
        <w:rPr>
          <w:rFonts w:ascii="Times New Roman" w:hAnsi="Times New Roman" w:cs="Times New Roman"/>
          <w:sz w:val="24"/>
          <w:szCs w:val="24"/>
        </w:rPr>
      </w:pPr>
      <w:r>
        <w:rPr>
          <w:rFonts w:ascii="Times New Roman" w:hAnsi="Times New Roman" w:cs="Times New Roman"/>
          <w:sz w:val="24"/>
          <w:szCs w:val="24"/>
        </w:rPr>
        <w:t>Caracol/MS, 12 de janeiro de 2026.</w:t>
      </w:r>
    </w:p>
    <w:p w14:paraId="3D9D4B08">
      <w:pPr>
        <w:pStyle w:val="100"/>
        <w:rPr>
          <w:rFonts w:ascii="Times New Roman" w:hAnsi="Times New Roman" w:cs="Times New Roman"/>
          <w:sz w:val="24"/>
          <w:szCs w:val="24"/>
        </w:rPr>
      </w:pPr>
    </w:p>
    <w:p w14:paraId="56545915">
      <w:pPr>
        <w:pStyle w:val="100"/>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O presente estudo técnico preliminar e gerenciamento de risco foram elaborados pela seguinte equipe de planejamento da contratação:</w:t>
      </w:r>
    </w:p>
    <w:p w14:paraId="7CEA5909">
      <w:pPr>
        <w:pStyle w:val="100"/>
        <w:rPr>
          <w:rFonts w:ascii="Times New Roman" w:hAnsi="Times New Roman" w:cs="Times New Roman"/>
          <w:sz w:val="24"/>
          <w:szCs w:val="24"/>
        </w:rPr>
      </w:pPr>
    </w:p>
    <w:p w14:paraId="4566A960">
      <w:pPr>
        <w:pStyle w:val="100"/>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Elaborado por:</w:t>
      </w:r>
    </w:p>
    <w:p w14:paraId="0E7CB280">
      <w:pPr>
        <w:pStyle w:val="100"/>
        <w:spacing w:line="360" w:lineRule="auto"/>
        <w:jc w:val="both"/>
        <w:rPr>
          <w:rFonts w:ascii="Times New Roman" w:hAnsi="Times New Roman" w:cs="Times New Roman"/>
          <w:b/>
          <w:bCs/>
          <w:sz w:val="24"/>
          <w:szCs w:val="24"/>
        </w:rPr>
      </w:pPr>
    </w:p>
    <w:p w14:paraId="60D89E2E">
      <w:pPr>
        <w:pStyle w:val="100"/>
        <w:spacing w:line="360" w:lineRule="auto"/>
        <w:jc w:val="both"/>
        <w:rPr>
          <w:rFonts w:ascii="Times New Roman" w:hAnsi="Times New Roman" w:cs="Times New Roman"/>
          <w:b/>
          <w:bCs/>
          <w:sz w:val="24"/>
          <w:szCs w:val="24"/>
        </w:rPr>
      </w:pPr>
    </w:p>
    <w:p w14:paraId="71394810">
      <w:pPr>
        <w:pStyle w:val="100"/>
        <w:spacing w:line="276" w:lineRule="auto"/>
        <w:jc w:val="both"/>
        <w:rPr>
          <w:rFonts w:ascii="Times New Roman" w:hAnsi="Times New Roman" w:cs="Times New Roman"/>
          <w:sz w:val="24"/>
          <w:szCs w:val="24"/>
        </w:rPr>
      </w:pPr>
    </w:p>
    <w:p w14:paraId="3D8E8998">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w:t>
      </w:r>
    </w:p>
    <w:p w14:paraId="204168C2">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Jordana Maria Guedes Barcellos</w:t>
      </w:r>
    </w:p>
    <w:p w14:paraId="085C9A78">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Gestora de Convênios de Obras Públicas</w:t>
      </w:r>
    </w:p>
    <w:p w14:paraId="639EA5B7">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Matrícula: 3634</w:t>
      </w:r>
    </w:p>
    <w:p w14:paraId="58483931">
      <w:pPr>
        <w:pStyle w:val="100"/>
        <w:spacing w:line="276" w:lineRule="auto"/>
        <w:rPr>
          <w:rFonts w:ascii="Times New Roman" w:hAnsi="Times New Roman" w:cs="Times New Roman"/>
          <w:sz w:val="24"/>
          <w:szCs w:val="24"/>
        </w:rPr>
      </w:pPr>
    </w:p>
    <w:p w14:paraId="65C6F33A">
      <w:pPr>
        <w:pStyle w:val="100"/>
        <w:spacing w:line="276" w:lineRule="auto"/>
        <w:rPr>
          <w:rFonts w:ascii="Times New Roman" w:hAnsi="Times New Roman" w:cs="Times New Roman"/>
          <w:sz w:val="24"/>
          <w:szCs w:val="24"/>
        </w:rPr>
      </w:pPr>
    </w:p>
    <w:p w14:paraId="1C6DDD87">
      <w:pPr>
        <w:pStyle w:val="100"/>
        <w:spacing w:line="276" w:lineRule="auto"/>
        <w:rPr>
          <w:rFonts w:ascii="Times New Roman" w:hAnsi="Times New Roman" w:cs="Times New Roman"/>
          <w:sz w:val="24"/>
          <w:szCs w:val="24"/>
        </w:rPr>
      </w:pPr>
    </w:p>
    <w:p w14:paraId="3DD83545">
      <w:pPr>
        <w:pStyle w:val="100"/>
        <w:spacing w:line="276" w:lineRule="auto"/>
        <w:rPr>
          <w:rFonts w:ascii="Times New Roman" w:hAnsi="Times New Roman" w:cs="Times New Roman"/>
          <w:sz w:val="24"/>
          <w:szCs w:val="24"/>
        </w:rPr>
      </w:pPr>
    </w:p>
    <w:p w14:paraId="2D074686">
      <w:pPr>
        <w:pStyle w:val="100"/>
        <w:spacing w:line="276" w:lineRule="auto"/>
        <w:rPr>
          <w:rFonts w:ascii="Times New Roman" w:hAnsi="Times New Roman" w:cs="Times New Roman"/>
          <w:sz w:val="24"/>
          <w:szCs w:val="24"/>
        </w:rPr>
      </w:pPr>
    </w:p>
    <w:p w14:paraId="491A96AA">
      <w:pPr>
        <w:pStyle w:val="100"/>
        <w:spacing w:line="276" w:lineRule="auto"/>
        <w:rPr>
          <w:rFonts w:ascii="Times New Roman" w:hAnsi="Times New Roman" w:cs="Times New Roman"/>
          <w:sz w:val="24"/>
          <w:szCs w:val="24"/>
        </w:rPr>
      </w:pPr>
    </w:p>
    <w:p w14:paraId="1B838F4A">
      <w:pPr>
        <w:pStyle w:val="100"/>
        <w:spacing w:line="276" w:lineRule="auto"/>
        <w:rPr>
          <w:rFonts w:ascii="Times New Roman" w:hAnsi="Times New Roman" w:cs="Times New Roman"/>
          <w:sz w:val="24"/>
          <w:szCs w:val="24"/>
        </w:rPr>
      </w:pPr>
    </w:p>
    <w:p w14:paraId="662C0902">
      <w:pPr>
        <w:pStyle w:val="100"/>
        <w:spacing w:line="276" w:lineRule="auto"/>
        <w:rPr>
          <w:rFonts w:ascii="Times New Roman" w:hAnsi="Times New Roman" w:cs="Times New Roman"/>
          <w:sz w:val="24"/>
          <w:szCs w:val="24"/>
        </w:rPr>
      </w:pPr>
    </w:p>
    <w:p w14:paraId="2A807EDF">
      <w:pPr>
        <w:pStyle w:val="100"/>
        <w:spacing w:line="276" w:lineRule="auto"/>
        <w:jc w:val="center"/>
        <w:rPr>
          <w:rFonts w:ascii="Times New Roman" w:hAnsi="Times New Roman" w:cs="Times New Roman"/>
          <w:sz w:val="24"/>
          <w:szCs w:val="24"/>
        </w:rPr>
      </w:pPr>
    </w:p>
    <w:p w14:paraId="1E8FEC95">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w:t>
      </w:r>
    </w:p>
    <w:p w14:paraId="1273D31E">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Juscilei da Silva Paim</w:t>
      </w:r>
    </w:p>
    <w:p w14:paraId="0076E837">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Diretora Executiva de Assessoramento Superior</w:t>
      </w:r>
    </w:p>
    <w:p w14:paraId="6CB72FF0">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Matrícula: 3724</w:t>
      </w:r>
    </w:p>
    <w:p w14:paraId="4AB6FF9A">
      <w:pPr>
        <w:pStyle w:val="100"/>
        <w:spacing w:line="276" w:lineRule="auto"/>
        <w:jc w:val="center"/>
        <w:rPr>
          <w:rFonts w:ascii="Times New Roman" w:hAnsi="Times New Roman" w:cs="Times New Roman"/>
          <w:sz w:val="24"/>
          <w:szCs w:val="24"/>
        </w:rPr>
      </w:pPr>
    </w:p>
    <w:p w14:paraId="69788E3C">
      <w:pPr>
        <w:pStyle w:val="100"/>
        <w:spacing w:line="276" w:lineRule="auto"/>
        <w:jc w:val="center"/>
        <w:rPr>
          <w:rFonts w:ascii="Times New Roman" w:hAnsi="Times New Roman" w:cs="Times New Roman"/>
          <w:sz w:val="24"/>
          <w:szCs w:val="24"/>
        </w:rPr>
      </w:pPr>
    </w:p>
    <w:p w14:paraId="50F58516">
      <w:pPr>
        <w:pStyle w:val="100"/>
        <w:spacing w:line="276" w:lineRule="auto"/>
        <w:jc w:val="center"/>
        <w:rPr>
          <w:rFonts w:ascii="Times New Roman" w:hAnsi="Times New Roman" w:cs="Times New Roman"/>
          <w:sz w:val="24"/>
          <w:szCs w:val="24"/>
        </w:rPr>
      </w:pPr>
    </w:p>
    <w:p w14:paraId="75FF8F68">
      <w:pPr>
        <w:pStyle w:val="100"/>
        <w:spacing w:line="276" w:lineRule="auto"/>
        <w:jc w:val="center"/>
        <w:rPr>
          <w:rFonts w:ascii="Times New Roman" w:hAnsi="Times New Roman" w:cs="Times New Roman"/>
          <w:sz w:val="24"/>
          <w:szCs w:val="24"/>
        </w:rPr>
      </w:pPr>
    </w:p>
    <w:p w14:paraId="682D70A1">
      <w:pPr>
        <w:pStyle w:val="100"/>
        <w:spacing w:line="276" w:lineRule="auto"/>
        <w:rPr>
          <w:rFonts w:ascii="Times New Roman" w:hAnsi="Times New Roman" w:cs="Times New Roman"/>
          <w:sz w:val="24"/>
          <w:szCs w:val="24"/>
        </w:rPr>
      </w:pPr>
    </w:p>
    <w:p w14:paraId="3246C767">
      <w:pPr>
        <w:pStyle w:val="100"/>
        <w:spacing w:line="276" w:lineRule="auto"/>
        <w:jc w:val="center"/>
        <w:rPr>
          <w:rFonts w:ascii="Times New Roman" w:hAnsi="Times New Roman" w:cs="Times New Roman"/>
          <w:sz w:val="24"/>
          <w:szCs w:val="24"/>
        </w:rPr>
      </w:pPr>
      <w:bookmarkStart w:id="45" w:name="_Hlk188876168"/>
      <w:bookmarkStart w:id="46" w:name="_Hlk209797669"/>
      <w:r>
        <w:rPr>
          <w:rFonts w:ascii="Times New Roman" w:hAnsi="Times New Roman" w:cs="Times New Roman"/>
          <w:sz w:val="24"/>
          <w:szCs w:val="24"/>
        </w:rPr>
        <w:t>_________________________________</w:t>
      </w:r>
    </w:p>
    <w:bookmarkEnd w:id="45"/>
    <w:p w14:paraId="605C7802">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Antônio Carlos dos Santos Gouvêa</w:t>
      </w:r>
    </w:p>
    <w:p w14:paraId="5674CA67">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Assessor Intermediário</w:t>
      </w:r>
    </w:p>
    <w:p w14:paraId="5985BDEA">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Matrícula: 556</w:t>
      </w:r>
    </w:p>
    <w:bookmarkEnd w:id="46"/>
    <w:p w14:paraId="7AD39471">
      <w:pPr>
        <w:pStyle w:val="100"/>
        <w:spacing w:line="276" w:lineRule="auto"/>
        <w:rPr>
          <w:rFonts w:ascii="Times New Roman" w:hAnsi="Times New Roman" w:cs="Times New Roman"/>
          <w:b/>
          <w:bCs/>
          <w:sz w:val="24"/>
          <w:szCs w:val="24"/>
        </w:rPr>
      </w:pPr>
    </w:p>
    <w:p w14:paraId="21F2BC79">
      <w:pPr>
        <w:pStyle w:val="100"/>
        <w:spacing w:line="276" w:lineRule="auto"/>
        <w:rPr>
          <w:rFonts w:ascii="Times New Roman" w:hAnsi="Times New Roman" w:cs="Times New Roman"/>
          <w:b/>
          <w:bCs/>
          <w:sz w:val="24"/>
          <w:szCs w:val="24"/>
        </w:rPr>
      </w:pPr>
    </w:p>
    <w:p w14:paraId="78352686">
      <w:pPr>
        <w:pStyle w:val="100"/>
        <w:spacing w:line="276" w:lineRule="auto"/>
        <w:rPr>
          <w:rFonts w:ascii="Times New Roman" w:hAnsi="Times New Roman" w:cs="Times New Roman"/>
          <w:b/>
          <w:bCs/>
          <w:sz w:val="24"/>
          <w:szCs w:val="24"/>
        </w:rPr>
      </w:pPr>
    </w:p>
    <w:p w14:paraId="2A13E834">
      <w:pPr>
        <w:pStyle w:val="100"/>
        <w:spacing w:line="276" w:lineRule="auto"/>
        <w:rPr>
          <w:rFonts w:ascii="Times New Roman" w:hAnsi="Times New Roman" w:cs="Times New Roman"/>
          <w:b/>
          <w:bCs/>
          <w:sz w:val="24"/>
          <w:szCs w:val="24"/>
        </w:rPr>
      </w:pPr>
      <w:r>
        <w:rPr>
          <w:rFonts w:ascii="Times New Roman" w:hAnsi="Times New Roman" w:cs="Times New Roman"/>
          <w:b/>
          <w:bCs/>
          <w:sz w:val="24"/>
          <w:szCs w:val="24"/>
        </w:rPr>
        <w:t>Aprovado por:</w:t>
      </w:r>
    </w:p>
    <w:p w14:paraId="58BFE0BD">
      <w:pPr>
        <w:pStyle w:val="100"/>
        <w:rPr>
          <w:rFonts w:ascii="Times New Roman" w:hAnsi="Times New Roman" w:cs="Times New Roman"/>
          <w:sz w:val="24"/>
          <w:szCs w:val="24"/>
        </w:rPr>
      </w:pPr>
    </w:p>
    <w:p w14:paraId="541DA84C">
      <w:pPr>
        <w:pStyle w:val="100"/>
        <w:rPr>
          <w:rFonts w:ascii="Times New Roman" w:hAnsi="Times New Roman" w:cs="Times New Roman"/>
          <w:sz w:val="24"/>
          <w:szCs w:val="24"/>
        </w:rPr>
      </w:pPr>
    </w:p>
    <w:p w14:paraId="10CE4C32">
      <w:pPr>
        <w:pStyle w:val="100"/>
        <w:rPr>
          <w:rFonts w:ascii="Times New Roman" w:hAnsi="Times New Roman" w:cs="Times New Roman"/>
          <w:sz w:val="24"/>
          <w:szCs w:val="24"/>
        </w:rPr>
      </w:pPr>
    </w:p>
    <w:p w14:paraId="554DD2CF">
      <w:pPr>
        <w:pStyle w:val="100"/>
        <w:rPr>
          <w:rFonts w:ascii="Times New Roman" w:hAnsi="Times New Roman" w:cs="Times New Roman"/>
          <w:sz w:val="24"/>
          <w:szCs w:val="24"/>
        </w:rPr>
      </w:pPr>
    </w:p>
    <w:p w14:paraId="259D3554">
      <w:pPr>
        <w:pStyle w:val="100"/>
        <w:rPr>
          <w:rFonts w:ascii="Times New Roman" w:hAnsi="Times New Roman" w:cs="Times New Roman"/>
          <w:sz w:val="24"/>
          <w:szCs w:val="24"/>
        </w:rPr>
      </w:pPr>
    </w:p>
    <w:p w14:paraId="1B13A119">
      <w:pPr>
        <w:pStyle w:val="100"/>
        <w:jc w:val="center"/>
        <w:rPr>
          <w:rFonts w:ascii="Times New Roman" w:hAnsi="Times New Roman" w:cs="Times New Roman"/>
          <w:sz w:val="24"/>
          <w:szCs w:val="24"/>
        </w:rPr>
      </w:pPr>
      <w:r>
        <w:rPr>
          <w:rFonts w:ascii="Times New Roman" w:hAnsi="Times New Roman" w:cs="Times New Roman"/>
          <w:sz w:val="24"/>
          <w:szCs w:val="24"/>
        </w:rPr>
        <w:t>_________________________________</w:t>
      </w:r>
    </w:p>
    <w:p w14:paraId="5B17FDCB">
      <w:pPr>
        <w:pStyle w:val="100"/>
        <w:jc w:val="center"/>
        <w:rPr>
          <w:rFonts w:ascii="Times New Roman" w:hAnsi="Times New Roman" w:cs="Times New Roman"/>
          <w:sz w:val="24"/>
          <w:szCs w:val="24"/>
        </w:rPr>
      </w:pPr>
      <w:r>
        <w:rPr>
          <w:rFonts w:ascii="Times New Roman" w:hAnsi="Times New Roman" w:cs="Times New Roman"/>
          <w:sz w:val="24"/>
          <w:szCs w:val="24"/>
        </w:rPr>
        <w:t>Thaiz Leite de Andrade</w:t>
      </w:r>
    </w:p>
    <w:p w14:paraId="42703A0D">
      <w:pPr>
        <w:pStyle w:val="100"/>
        <w:jc w:val="center"/>
        <w:rPr>
          <w:rFonts w:ascii="Times New Roman" w:hAnsi="Times New Roman" w:cs="Times New Roman"/>
          <w:sz w:val="24"/>
          <w:szCs w:val="24"/>
        </w:rPr>
      </w:pPr>
      <w:r>
        <w:rPr>
          <w:rFonts w:ascii="Times New Roman" w:hAnsi="Times New Roman" w:cs="Times New Roman"/>
          <w:sz w:val="24"/>
          <w:szCs w:val="24"/>
        </w:rPr>
        <w:t>Secretária Municipal de Educação, Cultura, Esporte e Lazer</w:t>
      </w:r>
    </w:p>
    <w:p w14:paraId="666FCE60">
      <w:pPr>
        <w:pStyle w:val="100"/>
        <w:spacing w:line="276" w:lineRule="auto"/>
        <w:jc w:val="center"/>
        <w:rPr>
          <w:rFonts w:ascii="Times New Roman" w:hAnsi="Times New Roman" w:cs="Times New Roman"/>
          <w:sz w:val="24"/>
          <w:szCs w:val="24"/>
        </w:rPr>
      </w:pPr>
      <w:r>
        <w:rPr>
          <w:rFonts w:ascii="Times New Roman" w:hAnsi="Times New Roman" w:cs="Times New Roman"/>
          <w:sz w:val="24"/>
          <w:szCs w:val="24"/>
        </w:rPr>
        <w:t>Matrícula: 3555</w:t>
      </w:r>
    </w:p>
    <w:p w14:paraId="5A40ECEE">
      <w:pPr>
        <w:pStyle w:val="233"/>
        <w:spacing w:before="72" w:beforeLines="30" w:after="72" w:afterLines="30" w:line="240" w:lineRule="auto"/>
        <w:ind w:left="0" w:right="0"/>
        <w:rPr>
          <w:rFonts w:ascii="Times New Roman" w:hAnsi="Times New Roman" w:cs="Times New Roman"/>
          <w:b/>
          <w:color w:val="000000" w:themeColor="text1"/>
          <w:sz w:val="24"/>
          <w:szCs w:val="24"/>
          <w14:textFill>
            <w14:solidFill>
              <w14:schemeClr w14:val="tx1"/>
            </w14:solidFill>
          </w14:textFill>
        </w:rPr>
      </w:pPr>
    </w:p>
    <w:p w14:paraId="125F8F4A">
      <w:pPr>
        <w:pStyle w:val="233"/>
        <w:spacing w:before="72" w:beforeLines="30" w:after="72" w:afterLines="30" w:line="240" w:lineRule="auto"/>
        <w:ind w:left="0" w:right="0"/>
        <w:rPr>
          <w:rFonts w:ascii="Times New Roman" w:hAnsi="Times New Roman" w:cs="Times New Roman"/>
          <w:b/>
          <w:color w:val="000000" w:themeColor="text1"/>
          <w:sz w:val="24"/>
          <w:szCs w:val="24"/>
          <w14:textFill>
            <w14:solidFill>
              <w14:schemeClr w14:val="tx1"/>
            </w14:solidFill>
          </w14:textFill>
        </w:rPr>
      </w:pPr>
    </w:p>
    <w:p w14:paraId="26271AA8">
      <w:pPr>
        <w:pStyle w:val="233"/>
        <w:spacing w:before="72" w:beforeLines="30" w:after="72" w:afterLines="30" w:line="240" w:lineRule="auto"/>
        <w:ind w:left="0" w:right="0"/>
        <w:rPr>
          <w:rFonts w:ascii="Times New Roman" w:hAnsi="Times New Roman" w:cs="Times New Roman"/>
          <w:b/>
          <w:color w:val="000000" w:themeColor="text1"/>
          <w:sz w:val="24"/>
          <w:szCs w:val="24"/>
          <w14:textFill>
            <w14:solidFill>
              <w14:schemeClr w14:val="tx1"/>
            </w14:solidFill>
          </w14:textFill>
        </w:rPr>
      </w:pPr>
    </w:p>
    <w:p w14:paraId="50E28D12">
      <w:pPr>
        <w:pStyle w:val="233"/>
        <w:spacing w:before="72" w:beforeLines="30" w:after="72" w:afterLines="30" w:line="240" w:lineRule="auto"/>
        <w:ind w:left="0" w:right="0"/>
        <w:rPr>
          <w:rFonts w:ascii="Times New Roman" w:hAnsi="Times New Roman" w:cs="Times New Roman"/>
          <w:b/>
          <w:color w:val="000000" w:themeColor="text1"/>
          <w:sz w:val="24"/>
          <w:szCs w:val="24"/>
          <w14:textFill>
            <w14:solidFill>
              <w14:schemeClr w14:val="tx1"/>
            </w14:solidFill>
          </w14:textFill>
        </w:rPr>
      </w:pPr>
    </w:p>
    <w:p w14:paraId="52CCED55">
      <w:pPr>
        <w:pStyle w:val="233"/>
        <w:spacing w:before="72" w:beforeLines="30" w:after="72" w:afterLines="30" w:line="240" w:lineRule="auto"/>
        <w:ind w:left="0" w:right="0"/>
        <w:rPr>
          <w:rFonts w:ascii="Times New Roman" w:hAnsi="Times New Roman" w:cs="Times New Roman"/>
          <w:b/>
          <w:color w:val="000000" w:themeColor="text1"/>
          <w:sz w:val="24"/>
          <w:szCs w:val="24"/>
          <w14:textFill>
            <w14:solidFill>
              <w14:schemeClr w14:val="tx1"/>
            </w14:solidFill>
          </w14:textFill>
        </w:rPr>
      </w:pPr>
    </w:p>
    <w:p w14:paraId="43D96059">
      <w:pPr>
        <w:pStyle w:val="233"/>
        <w:spacing w:before="72" w:beforeLines="30" w:after="72" w:afterLines="30" w:line="240" w:lineRule="auto"/>
        <w:ind w:left="0" w:right="0"/>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ANEXO III</w:t>
      </w:r>
    </w:p>
    <w:p w14:paraId="055200E4">
      <w:pPr>
        <w:pStyle w:val="233"/>
        <w:spacing w:before="72" w:beforeLines="30" w:after="72" w:afterLines="30" w:line="240" w:lineRule="auto"/>
        <w:ind w:left="0" w:right="0"/>
        <w:jc w:val="center"/>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Minuta do Contrato</w:t>
      </w:r>
    </w:p>
    <w:p w14:paraId="35F8D40A">
      <w:pPr>
        <w:pStyle w:val="233"/>
        <w:spacing w:before="72" w:beforeLines="30" w:after="72" w:afterLines="30" w:line="240" w:lineRule="auto"/>
        <w:ind w:left="0" w:right="0"/>
        <w:rPr>
          <w:rFonts w:ascii="Times New Roman" w:hAnsi="Times New Roman" w:cs="Times New Roman"/>
          <w:color w:val="000000" w:themeColor="text1"/>
          <w:sz w:val="24"/>
          <w:szCs w:val="24"/>
          <w14:textFill>
            <w14:solidFill>
              <w14:schemeClr w14:val="tx1"/>
            </w14:solidFill>
          </w14:textFill>
        </w:rPr>
      </w:pPr>
    </w:p>
    <w:p w14:paraId="25EB59BA">
      <w:pPr>
        <w:pStyle w:val="233"/>
        <w:spacing w:before="72" w:beforeLines="30" w:after="72" w:afterLines="30" w:line="240" w:lineRule="auto"/>
        <w:ind w:left="0" w:right="0"/>
        <w:rPr>
          <w:rFonts w:ascii="Times New Roman" w:hAnsi="Times New Roman" w:cs="Times New Roman"/>
          <w:b/>
          <w:color w:val="000000" w:themeColor="text1"/>
          <w:sz w:val="24"/>
          <w:szCs w:val="24"/>
          <w14:textFill>
            <w14:solidFill>
              <w14:schemeClr w14:val="tx1"/>
            </w14:solidFill>
          </w14:textFill>
        </w:rPr>
      </w:pPr>
      <w:r>
        <w:rPr>
          <w:rFonts w:ascii="Times New Roman" w:hAnsi="Times New Roman" w:cs="Times New Roman"/>
          <w:b/>
          <w:color w:val="000000" w:themeColor="text1"/>
          <w:sz w:val="24"/>
          <w:szCs w:val="24"/>
          <w14:textFill>
            <w14:solidFill>
              <w14:schemeClr w14:val="tx1"/>
            </w14:solidFill>
          </w14:textFill>
        </w:rPr>
        <w:t>CONTRATO ADMINISTRATIVO N. XXXXXXXXXXXXXXXX</w:t>
      </w:r>
    </w:p>
    <w:p w14:paraId="50DE0318">
      <w:pPr>
        <w:pStyle w:val="233"/>
        <w:spacing w:before="72" w:beforeLines="30" w:after="72" w:afterLines="30" w:line="240" w:lineRule="auto"/>
        <w:ind w:left="0" w:right="0"/>
        <w:rPr>
          <w:rFonts w:ascii="Times New Roman" w:hAnsi="Times New Roman" w:cs="Times New Roman"/>
          <w:color w:val="000000" w:themeColor="text1"/>
          <w:sz w:val="24"/>
          <w:szCs w:val="24"/>
          <w14:textFill>
            <w14:solidFill>
              <w14:schemeClr w14:val="tx1"/>
            </w14:solidFill>
          </w14:textFill>
        </w:rPr>
      </w:pPr>
    </w:p>
    <w:p w14:paraId="70299758">
      <w:pPr>
        <w:pStyle w:val="233"/>
        <w:spacing w:before="72" w:beforeLines="30" w:after="72" w:afterLines="30" w:line="240" w:lineRule="auto"/>
        <w:ind w:left="4536" w:right="0"/>
        <w:rPr>
          <w:rFonts w:ascii="Times New Roman" w:hAnsi="Times New Roman" w:cs="Times New Roman"/>
          <w:b/>
          <w:bCs w:val="0"/>
          <w:color w:val="000000" w:themeColor="text1"/>
          <w:sz w:val="24"/>
          <w:szCs w:val="24"/>
          <w14:textFill>
            <w14:solidFill>
              <w14:schemeClr w14:val="tx1"/>
            </w14:solidFill>
          </w14:textFill>
        </w:rPr>
      </w:pPr>
      <w:r>
        <w:rPr>
          <w:rFonts w:ascii="Times New Roman" w:hAnsi="Times New Roman" w:cs="Times New Roman"/>
          <w:b/>
          <w:bCs w:val="0"/>
          <w:color w:val="000000" w:themeColor="text1"/>
          <w:sz w:val="24"/>
          <w:szCs w:val="24"/>
          <w14:textFill>
            <w14:solidFill>
              <w14:schemeClr w14:val="tx1"/>
            </w14:solidFill>
          </w14:textFill>
        </w:rPr>
        <w:t xml:space="preserve">CONTRATO ADMINISTRATIVO QUE FAZEM ENTRE SI O MUNICÍPIO DE ........., POR INTERMÉDIO DO (A) ......................................................... E ............................................................. </w:t>
      </w:r>
    </w:p>
    <w:p w14:paraId="069FECD4">
      <w:pPr>
        <w:pStyle w:val="233"/>
        <w:spacing w:before="72" w:beforeLines="30" w:after="72" w:afterLines="30" w:line="240" w:lineRule="auto"/>
        <w:ind w:left="4536" w:right="0"/>
        <w:rPr>
          <w:rFonts w:ascii="Times New Roman" w:hAnsi="Times New Roman" w:cs="Times New Roman"/>
          <w:b/>
          <w:bCs w:val="0"/>
          <w:color w:val="000000" w:themeColor="text1"/>
          <w:sz w:val="24"/>
          <w:szCs w:val="24"/>
          <w14:textFill>
            <w14:solidFill>
              <w14:schemeClr w14:val="tx1"/>
            </w14:solidFill>
          </w14:textFill>
        </w:rPr>
      </w:pPr>
    </w:p>
    <w:p w14:paraId="404D3D2F">
      <w:pPr>
        <w:spacing w:before="72" w:beforeLines="30" w:after="72" w:afterLines="3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 xml:space="preserve">O </w:t>
      </w:r>
      <w:r>
        <w:rPr>
          <w:rFonts w:eastAsia="Arial"/>
          <w:b/>
          <w:bCs/>
          <w:color w:val="000000" w:themeColor="text1"/>
          <w:szCs w:val="24"/>
          <w14:textFill>
            <w14:solidFill>
              <w14:schemeClr w14:val="tx1"/>
            </w14:solidFill>
          </w14:textFill>
        </w:rPr>
        <w:t>Município de Caracol</w:t>
      </w:r>
      <w:r>
        <w:rPr>
          <w:rFonts w:eastAsia="Arial"/>
          <w:color w:val="000000" w:themeColor="text1"/>
          <w:szCs w:val="24"/>
          <w14:textFill>
            <w14:solidFill>
              <w14:schemeClr w14:val="tx1"/>
            </w14:solidFill>
          </w14:textFill>
        </w:rPr>
        <w:t xml:space="preserve">, com sede na Prefeitura Municipal na cidade de Caracol  /MS, inscrito(a) no CNPJ sob o nº </w:t>
      </w:r>
      <w:r>
        <w:rPr>
          <w:rFonts w:eastAsia="Arial"/>
          <w:bCs/>
          <w:color w:val="000000" w:themeColor="text1"/>
          <w:szCs w:val="24"/>
          <w14:textFill>
            <w14:solidFill>
              <w14:schemeClr w14:val="tx1"/>
            </w14:solidFill>
          </w14:textFill>
        </w:rPr>
        <w:t>03.217.924/0001-32</w:t>
      </w:r>
      <w:r>
        <w:rPr>
          <w:rFonts w:eastAsia="Arial"/>
          <w:color w:val="000000" w:themeColor="text1"/>
          <w:szCs w:val="24"/>
          <w14:textFill>
            <w14:solidFill>
              <w14:schemeClr w14:val="tx1"/>
            </w14:solidFill>
          </w14:textFill>
        </w:rPr>
        <w:t xml:space="preserve">, neste ato representado(a) pelo prefeito Municipal Sr </w:t>
      </w:r>
      <w:r>
        <w:rPr>
          <w:rFonts w:eastAsia="Arial"/>
          <w:b/>
          <w:bCs/>
          <w:color w:val="000000" w:themeColor="text1"/>
          <w:szCs w:val="24"/>
          <w14:textFill>
            <w14:solidFill>
              <w14:schemeClr w14:val="tx1"/>
            </w14:solidFill>
          </w14:textFill>
        </w:rPr>
        <w:t>Carlos Humberto Pagliosa</w:t>
      </w:r>
      <w:r>
        <w:rPr>
          <w:rFonts w:eastAsia="Arial"/>
          <w:color w:val="000000" w:themeColor="text1"/>
          <w:szCs w:val="24"/>
          <w14:textFill>
            <w14:solidFill>
              <w14:schemeClr w14:val="tx1"/>
            </w14:solidFill>
          </w14:textFill>
        </w:rPr>
        <w:t xml:space="preserve">, portador da </w:t>
      </w:r>
      <w:r>
        <w:rPr>
          <w:rFonts w:eastAsia="Arial"/>
          <w:bCs/>
          <w:color w:val="000000" w:themeColor="text1"/>
          <w:szCs w:val="24"/>
          <w14:textFill>
            <w14:solidFill>
              <w14:schemeClr w14:val="tx1"/>
            </w14:solidFill>
          </w14:textFill>
        </w:rPr>
        <w:t>Matrícula Funcional nº 2621</w:t>
      </w:r>
      <w:r>
        <w:rPr>
          <w:rFonts w:eastAsia="Arial"/>
          <w:color w:val="000000" w:themeColor="text1"/>
          <w:szCs w:val="24"/>
          <w14:textFill>
            <w14:solidFill>
              <w14:schemeClr w14:val="tx1"/>
            </w14:solidFill>
          </w14:textFill>
        </w:rPr>
        <w:t xml:space="preserve">, doravante denominado CONTRATANTE, e o(a) .............................., inscrito(a) no CNPJ/MF sob o nº ............................, sediado(a) na ..................................., em ............................. doravante designado CONTRATADO, neste ato representado(a) por .................................. (nome e função no contratado), conforme atos constitutivos da empresa </w:t>
      </w:r>
      <w:r>
        <w:rPr>
          <w:rFonts w:eastAsia="Arial"/>
          <w:b/>
          <w:bCs/>
          <w:color w:val="000000" w:themeColor="text1"/>
          <w:szCs w:val="24"/>
          <w14:textFill>
            <w14:solidFill>
              <w14:schemeClr w14:val="tx1"/>
            </w14:solidFill>
          </w14:textFill>
        </w:rPr>
        <w:t>OU</w:t>
      </w:r>
      <w:r>
        <w:rPr>
          <w:rFonts w:eastAsia="Arial"/>
          <w:color w:val="000000" w:themeColor="text1"/>
          <w:szCs w:val="24"/>
          <w14:textFill>
            <w14:solidFill>
              <w14:schemeClr w14:val="tx1"/>
            </w14:solidFill>
          </w14:textFill>
        </w:rPr>
        <w:t xml:space="preserve"> procuração apresentada nos autos, tendo em vista o que consta no Processo nº .............................. e em observância às disposições da </w:t>
      </w:r>
      <w:r>
        <w:fldChar w:fldCharType="begin"/>
      </w:r>
      <w:r>
        <w:instrText xml:space="preserve"> HYPERLINK "http://www.planalto.gov.br/ccivil_03/_ato2019-2022/2021/lei/L14133.htm" </w:instrText>
      </w:r>
      <w:r>
        <w:fldChar w:fldCharType="separate"/>
      </w:r>
      <w:r>
        <w:rPr>
          <w:rStyle w:val="17"/>
          <w:rFonts w:eastAsia="Arial"/>
          <w:color w:val="000000" w:themeColor="text1"/>
          <w:szCs w:val="24"/>
          <w14:textFill>
            <w14:solidFill>
              <w14:schemeClr w14:val="tx1"/>
            </w14:solidFill>
          </w14:textFill>
        </w:rPr>
        <w:t>Lei nº 14.133, de 1º de abril de 2021</w:t>
      </w:r>
      <w:r>
        <w:rPr>
          <w:rStyle w:val="17"/>
          <w:rFonts w:eastAsia="Arial"/>
          <w:color w:val="000000" w:themeColor="text1"/>
          <w:szCs w:val="24"/>
          <w14:textFill>
            <w14:solidFill>
              <w14:schemeClr w14:val="tx1"/>
            </w14:solidFill>
          </w14:textFill>
        </w:rPr>
        <w:fldChar w:fldCharType="end"/>
      </w:r>
      <w:r>
        <w:rPr>
          <w:rFonts w:eastAsia="Arial"/>
          <w:color w:val="000000" w:themeColor="text1"/>
          <w:szCs w:val="24"/>
          <w14:textFill>
            <w14:solidFill>
              <w14:schemeClr w14:val="tx1"/>
            </w14:solidFill>
          </w14:textFill>
        </w:rPr>
        <w:t>, e demais legislação aplicável, resolvem celebrar o presente Termo de Contrato, decorrente da Concorrência n. .../..., mediante as cláusulas e condições a seguir enunciadas.</w:t>
      </w:r>
    </w:p>
    <w:p w14:paraId="6E310871">
      <w:pPr>
        <w:spacing w:before="72" w:beforeLines="30" w:after="72" w:afterLines="30"/>
        <w:jc w:val="both"/>
        <w:rPr>
          <w:rFonts w:eastAsia="Arial"/>
          <w:color w:val="000000" w:themeColor="text1"/>
          <w:szCs w:val="24"/>
          <w14:textFill>
            <w14:solidFill>
              <w14:schemeClr w14:val="tx1"/>
            </w14:solidFill>
          </w14:textFill>
        </w:rPr>
      </w:pPr>
    </w:p>
    <w:p w14:paraId="6A1DC51E">
      <w:pPr>
        <w:pStyle w:val="70"/>
        <w:numPr>
          <w:ilvl w:val="0"/>
          <w:numId w:val="0"/>
        </w:numPr>
        <w:tabs>
          <w:tab w:val="clear" w:pos="567"/>
        </w:tabs>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PRIMEIRA – OBJETO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I e II</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132009A9">
      <w:pPr>
        <w:spacing w:line="360" w:lineRule="auto"/>
        <w:jc w:val="both"/>
        <w:rPr>
          <w:b/>
          <w:bCs/>
          <w:w w:val="95"/>
        </w:rPr>
      </w:pPr>
      <w:r>
        <w:rPr>
          <w:color w:val="000000" w:themeColor="text1"/>
          <w:szCs w:val="24"/>
          <w14:textFill>
            <w14:solidFill>
              <w14:schemeClr w14:val="tx1"/>
            </w14:solidFill>
          </w14:textFill>
        </w:rPr>
        <w:t>1.1 O objeto do presente instrumento é a</w:t>
      </w:r>
      <w:r>
        <w:rPr>
          <w:rFonts w:ascii="Arial" w:hAnsi="Arial" w:cs="Arial"/>
          <w:b/>
          <w:bCs/>
          <w:w w:val="95"/>
        </w:rPr>
        <w:t xml:space="preserve"> </w:t>
      </w:r>
      <w:r>
        <w:rPr>
          <w:b/>
          <w:bCs/>
          <w:w w:val="95"/>
        </w:rPr>
        <w:t>AMPLIAÇÃO DA ESCOLA INÁCIO SILVESTRE MONTEIRO, LOCALIZADA NO DISTRITO DO ALTO CARACOL, NO MUNICÍPIO DE CARACOL/MS</w:t>
      </w:r>
      <w:r>
        <w:rPr>
          <w:color w:val="000000" w:themeColor="text1"/>
          <w:szCs w:val="24"/>
          <w14:textFill>
            <w14:solidFill>
              <w14:schemeClr w14:val="tx1"/>
            </w14:solidFill>
          </w14:textFill>
        </w:rPr>
        <w:t>, nas condições estabelecidas no Termo de Referência.</w:t>
      </w:r>
    </w:p>
    <w:p w14:paraId="4F1F523D">
      <w:pPr>
        <w:pStyle w:val="86"/>
        <w:numPr>
          <w:ilvl w:val="1"/>
          <w:numId w:val="33"/>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Vinculam esta contratação, independentemente de transcrição:</w:t>
      </w:r>
    </w:p>
    <w:p w14:paraId="7FA2D0B0">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I - O Termo de Referência;</w:t>
      </w:r>
    </w:p>
    <w:p w14:paraId="242CEAAC">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II - O Memorial Descritivo/Projeto Básico;</w:t>
      </w:r>
    </w:p>
    <w:p w14:paraId="6A339057">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III - O Edital da Licitação e seus anexos;</w:t>
      </w:r>
    </w:p>
    <w:p w14:paraId="57353ADC">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IV - A Proposta do contratado;</w:t>
      </w:r>
    </w:p>
    <w:p w14:paraId="30200149">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 - Eventuais anexos dos documentos supracitados.</w:t>
      </w:r>
    </w:p>
    <w:p w14:paraId="56DE0E8E">
      <w:pPr>
        <w:pStyle w:val="86"/>
        <w:numPr>
          <w:ilvl w:val="1"/>
          <w:numId w:val="33"/>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regime de execução é o de </w:t>
      </w:r>
      <w:r>
        <w:rPr>
          <w:rFonts w:ascii="Times New Roman" w:hAnsi="Times New Roman"/>
          <w:b/>
          <w:color w:val="000000" w:themeColor="text1"/>
          <w:sz w:val="24"/>
          <w:szCs w:val="24"/>
          <w14:textFill>
            <w14:solidFill>
              <w14:schemeClr w14:val="tx1"/>
            </w14:solidFill>
          </w14:textFill>
        </w:rPr>
        <w:t>empreitada por preço unitário</w:t>
      </w:r>
      <w:r>
        <w:rPr>
          <w:rFonts w:ascii="Times New Roman" w:hAnsi="Times New Roman"/>
          <w:color w:val="000000" w:themeColor="text1"/>
          <w:sz w:val="24"/>
          <w:szCs w:val="24"/>
          <w14:textFill>
            <w14:solidFill>
              <w14:schemeClr w14:val="tx1"/>
            </w14:solidFill>
          </w14:textFill>
        </w:rPr>
        <w:t>.</w:t>
      </w:r>
    </w:p>
    <w:p w14:paraId="1FE150E7">
      <w:pPr>
        <w:pStyle w:val="86"/>
        <w:numPr>
          <w:ilvl w:val="0"/>
          <w:numId w:val="0"/>
        </w:numPr>
        <w:spacing w:before="72" w:beforeLines="30" w:after="72" w:afterLines="30" w:line="240" w:lineRule="auto"/>
        <w:ind w:left="360"/>
        <w:rPr>
          <w:rFonts w:ascii="Times New Roman" w:hAnsi="Times New Roman"/>
          <w:color w:val="000000" w:themeColor="text1"/>
          <w:sz w:val="24"/>
          <w:szCs w:val="24"/>
          <w14:textFill>
            <w14:solidFill>
              <w14:schemeClr w14:val="tx1"/>
            </w14:solidFill>
          </w14:textFill>
        </w:rPr>
      </w:pPr>
    </w:p>
    <w:p w14:paraId="21E9764D">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SEGUNDA – VIGÊNCIA E PRORROGAÇÃO</w:t>
      </w:r>
    </w:p>
    <w:p w14:paraId="146C2D49">
      <w:pPr>
        <w:pStyle w:val="223"/>
        <w:spacing w:before="72" w:beforeLines="30" w:after="72" w:afterLines="30"/>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O prazo de vigência da contratação é de </w:t>
      </w:r>
      <w:r>
        <w:rPr>
          <w:rFonts w:ascii="Times New Roman" w:hAnsi="Times New Roman" w:cs="Times New Roman"/>
          <w:b/>
          <w:i w:val="0"/>
          <w:iCs w:val="0"/>
          <w:color w:val="000000" w:themeColor="text1"/>
          <w:sz w:val="24"/>
          <w:szCs w:val="24"/>
          <w14:textFill>
            <w14:solidFill>
              <w14:schemeClr w14:val="tx1"/>
            </w14:solidFill>
          </w14:textFill>
        </w:rPr>
        <w:t>12 (doze) meses</w:t>
      </w:r>
      <w:r>
        <w:rPr>
          <w:rFonts w:ascii="Times New Roman" w:hAnsi="Times New Roman" w:cs="Times New Roman"/>
          <w:i w:val="0"/>
          <w:iCs w:val="0"/>
          <w:color w:val="000000" w:themeColor="text1"/>
          <w:sz w:val="24"/>
          <w:szCs w:val="24"/>
          <w14:textFill>
            <w14:solidFill>
              <w14:schemeClr w14:val="tx1"/>
            </w14:solidFill>
          </w14:textFill>
        </w:rPr>
        <w:t>, contados do primeiro dia útil subsequente a publicação do extrato do contrato no Diário Oficial do Município, nos termos do Artigo 105 da Lei nº 14.133/2021.</w:t>
      </w:r>
    </w:p>
    <w:p w14:paraId="1511FDAC">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p>
    <w:p w14:paraId="6E3D7324">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46772D1B">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p>
    <w:p w14:paraId="650A368E">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bookmarkStart w:id="47" w:name="_Hlk114497502"/>
      <w:bookmarkEnd w:id="47"/>
      <w:bookmarkStart w:id="48" w:name="_Hlk114497577"/>
      <w:bookmarkEnd w:id="48"/>
      <w:r>
        <w:rPr>
          <w:rFonts w:ascii="Times New Roman" w:hAnsi="Times New Roman"/>
          <w:color w:val="000000" w:themeColor="text1"/>
          <w:sz w:val="24"/>
          <w:szCs w:val="24"/>
          <w14:textFill>
            <w14:solidFill>
              <w14:schemeClr w14:val="tx1"/>
            </w14:solidFill>
          </w14:textFill>
        </w:rPr>
        <w:t>CLÁUSULA TERCEIRA – MODELOS DE EXECUÇÃO E GESTÃO CONTRATUAIS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IV, VII e XVIII)</w:t>
      </w:r>
      <w:r>
        <w:rPr>
          <w:rStyle w:val="17"/>
          <w:rFonts w:ascii="Times New Roman" w:hAnsi="Times New Roman"/>
          <w:color w:val="000000" w:themeColor="text1"/>
          <w:sz w:val="24"/>
          <w:szCs w:val="24"/>
          <w14:textFill>
            <w14:solidFill>
              <w14:schemeClr w14:val="tx1"/>
            </w14:solidFill>
          </w14:textFill>
        </w:rPr>
        <w:fldChar w:fldCharType="end"/>
      </w:r>
    </w:p>
    <w:p w14:paraId="53DBC5F1">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3.1 O regime de execução contratual, os modelos de gestão e de execução, assim como os prazos e condições de conclusão, entrega, observação e recebimento do objeto constam no Termo de Referência, anexo a este Contrato.</w:t>
      </w:r>
    </w:p>
    <w:p w14:paraId="31459F05">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p>
    <w:p w14:paraId="56F24EF1">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QUARTA – SUBCONTRATAÇÃO</w:t>
      </w:r>
    </w:p>
    <w:p w14:paraId="28CB625F">
      <w:pPr>
        <w:pStyle w:val="223"/>
        <w:numPr>
          <w:ilvl w:val="1"/>
          <w:numId w:val="34"/>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Não será admitida a subcontratação do objeto contratual.</w:t>
      </w:r>
    </w:p>
    <w:p w14:paraId="1D89A2CB">
      <w:pPr>
        <w:pStyle w:val="223"/>
        <w:numPr>
          <w:ilvl w:val="0"/>
          <w:numId w:val="0"/>
        </w:numPr>
        <w:spacing w:before="72" w:beforeLines="30" w:after="72" w:afterLines="30" w:line="240" w:lineRule="auto"/>
        <w:ind w:left="360"/>
        <w:rPr>
          <w:rFonts w:ascii="Times New Roman" w:hAnsi="Times New Roman" w:cs="Times New Roman"/>
          <w:i w:val="0"/>
          <w:iCs w:val="0"/>
          <w:color w:val="000000" w:themeColor="text1"/>
          <w:sz w:val="24"/>
          <w:szCs w:val="24"/>
          <w14:textFill>
            <w14:solidFill>
              <w14:schemeClr w14:val="tx1"/>
            </w14:solidFill>
          </w14:textFill>
        </w:rPr>
      </w:pPr>
    </w:p>
    <w:p w14:paraId="4436F5C6">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QUINTA – PREÇO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V</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0B7F9755">
      <w:pPr>
        <w:pStyle w:val="86"/>
        <w:numPr>
          <w:ilvl w:val="1"/>
          <w:numId w:val="35"/>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 valor total da contratação é de </w:t>
      </w:r>
      <w:r>
        <w:rPr>
          <w:rFonts w:ascii="Times New Roman" w:hAnsi="Times New Roman"/>
          <w:color w:val="000000" w:themeColor="text1"/>
          <w:sz w:val="24"/>
          <w:szCs w:val="24"/>
          <w:highlight w:val="yellow"/>
          <w14:textFill>
            <w14:solidFill>
              <w14:schemeClr w14:val="tx1"/>
            </w14:solidFill>
          </w14:textFill>
        </w:rPr>
        <w:t>R$.......... (.....)</w:t>
      </w:r>
    </w:p>
    <w:p w14:paraId="38DD48A8">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C39386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5.3 O valor acima é meramente estimativo, de forma que os pagamentos devidos ao contratado dependerão dos serviços efetivamente executados. </w:t>
      </w:r>
    </w:p>
    <w:p w14:paraId="5A35024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3EA48514">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SEXTA - PAGAMENTO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V e VI</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489227B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6.1 O prazo para pagamento </w:t>
      </w:r>
      <w:r>
        <w:rPr>
          <w:rFonts w:ascii="Times New Roman" w:hAnsi="Times New Roman"/>
          <w:color w:val="000000" w:themeColor="text1"/>
          <w:sz w:val="24"/>
          <w:szCs w:val="24"/>
          <w:lang w:eastAsia="en-US"/>
          <w14:textFill>
            <w14:solidFill>
              <w14:schemeClr w14:val="tx1"/>
            </w14:solidFill>
          </w14:textFill>
        </w:rPr>
        <w:t>ao contratado</w:t>
      </w:r>
      <w:r>
        <w:rPr>
          <w:rFonts w:ascii="Times New Roman" w:hAnsi="Times New Roman"/>
          <w:color w:val="000000" w:themeColor="text1"/>
          <w:sz w:val="24"/>
          <w:szCs w:val="24"/>
          <w14:textFill>
            <w14:solidFill>
              <w14:schemeClr w14:val="tx1"/>
            </w14:solidFill>
          </w14:textFill>
        </w:rPr>
        <w:t xml:space="preserve"> e demais condições a ele referentes encontram-se definidos no Termo de Referência, anexo a este Contrato.</w:t>
      </w:r>
    </w:p>
    <w:p w14:paraId="2A0A239F">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p>
    <w:p w14:paraId="62054E92">
      <w:pPr>
        <w:pStyle w:val="70"/>
        <w:numPr>
          <w:ilvl w:val="0"/>
          <w:numId w:val="0"/>
        </w:numPr>
        <w:spacing w:before="72" w:beforeLines="30" w:after="72" w:afterLines="30"/>
        <w:ind w:left="360" w:hanging="36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SÉTIMA – REAJUSTE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V</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00A41FA5">
      <w:pPr>
        <w:pStyle w:val="86"/>
        <w:numPr>
          <w:ilvl w:val="0"/>
          <w:numId w:val="0"/>
        </w:numPr>
        <w:spacing w:before="30" w:after="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7.1 Os preços inicialmente contratados são fixos e irreajustáveis no prazo de um ano contado da data do orçamento estimado.</w:t>
      </w:r>
    </w:p>
    <w:p w14:paraId="335E9FEF">
      <w:pPr>
        <w:pStyle w:val="88"/>
        <w:numPr>
          <w:ilvl w:val="0"/>
          <w:numId w:val="0"/>
        </w:numPr>
        <w:spacing w:before="30" w:after="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7.1.1 O orçamento estimado pela Administração baseou-se nas planilhas referenciais elaboradas com base no SINAPI do </w:t>
      </w:r>
      <w:r>
        <w:rPr>
          <w:rFonts w:ascii="Times New Roman" w:hAnsi="Times New Roman" w:cs="Times New Roman"/>
          <w:b/>
          <w:color w:val="000000" w:themeColor="text1"/>
          <w:sz w:val="24"/>
          <w:szCs w:val="24"/>
          <w14:textFill>
            <w14:solidFill>
              <w14:schemeClr w14:val="tx1"/>
            </w14:solidFill>
          </w14:textFill>
        </w:rPr>
        <w:t>mês de setembro de 2025</w:t>
      </w:r>
      <w:r>
        <w:rPr>
          <w:rFonts w:ascii="Times New Roman" w:hAnsi="Times New Roman" w:cs="Times New Roman"/>
          <w:b/>
          <w:bCs/>
          <w:color w:val="000000" w:themeColor="text1"/>
          <w:sz w:val="24"/>
          <w:szCs w:val="24"/>
          <w14:textFill>
            <w14:solidFill>
              <w14:schemeClr w14:val="tx1"/>
            </w14:solidFill>
          </w14:textFill>
        </w:rPr>
        <w:t>.</w:t>
      </w:r>
      <w:r>
        <w:rPr>
          <w:rFonts w:ascii="Times New Roman" w:hAnsi="Times New Roman" w:cs="Times New Roman"/>
          <w:color w:val="000000" w:themeColor="text1"/>
          <w:sz w:val="24"/>
          <w:szCs w:val="24"/>
          <w14:textFill>
            <w14:solidFill>
              <w14:schemeClr w14:val="tx1"/>
            </w14:solidFill>
          </w14:textFill>
        </w:rPr>
        <w:t xml:space="preserve"> </w:t>
      </w:r>
    </w:p>
    <w:p w14:paraId="502A66FF">
      <w:pPr>
        <w:pStyle w:val="70"/>
        <w:numPr>
          <w:ilvl w:val="0"/>
          <w:numId w:val="0"/>
        </w:numPr>
        <w:tabs>
          <w:tab w:val="clear" w:pos="567"/>
        </w:tabs>
        <w:spacing w:before="30" w:after="30"/>
        <w:rPr>
          <w:rFonts w:ascii="Times New Roman" w:hAnsi="Times New Roman"/>
          <w:b w:val="0"/>
          <w:color w:val="000000" w:themeColor="text1"/>
          <w:sz w:val="24"/>
          <w:szCs w:val="24"/>
          <w14:textFill>
            <w14:solidFill>
              <w14:schemeClr w14:val="tx1"/>
            </w14:solidFill>
          </w14:textFill>
        </w:rPr>
      </w:pPr>
      <w:r>
        <w:rPr>
          <w:rFonts w:ascii="Times New Roman" w:hAnsi="Times New Roman"/>
          <w:b w:val="0"/>
          <w:color w:val="000000" w:themeColor="text1"/>
          <w:sz w:val="24"/>
          <w:szCs w:val="24"/>
          <w14:textFill>
            <w14:solidFill>
              <w14:schemeClr w14:val="tx1"/>
            </w14:solidFill>
          </w14:textFill>
        </w:rPr>
        <w:t>7.2 Após o interregno de um ano, e independentemente de pedido do contratado, os preços iniciais serão reajustados, mediante a aplicação, pelo contratante, do índice INCC – Índice Nacional de Custo da Construção, exclusivamente para as obrigações iniciadas e concluídas após a ocorrência da anualidade.</w:t>
      </w:r>
    </w:p>
    <w:p w14:paraId="05BE1B72">
      <w:pPr>
        <w:pStyle w:val="223"/>
        <w:numPr>
          <w:ilvl w:val="0"/>
          <w:numId w:val="0"/>
        </w:numPr>
        <w:spacing w:before="30" w:after="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7.3 Nos reajustes subsequentes ao primeiro, o interregno mínimo de um ano será contado a partir dos efeitos financeiros do último reajuste.</w:t>
      </w:r>
    </w:p>
    <w:p w14:paraId="692F9544">
      <w:pPr>
        <w:pStyle w:val="223"/>
        <w:numPr>
          <w:ilvl w:val="0"/>
          <w:numId w:val="0"/>
        </w:numPr>
        <w:spacing w:before="30" w:after="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617E3C06">
      <w:pPr>
        <w:pStyle w:val="88"/>
        <w:numPr>
          <w:ilvl w:val="0"/>
          <w:numId w:val="0"/>
        </w:numPr>
        <w:spacing w:before="30" w:after="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7.4.1 Fica o Contratado obrigado a apresentar memória de cálculo referente ao reajustamento de preços do valor remanescente, sempre que este ocorrer.</w:t>
      </w:r>
    </w:p>
    <w:p w14:paraId="42D1A8B7">
      <w:pPr>
        <w:pStyle w:val="86"/>
        <w:numPr>
          <w:ilvl w:val="0"/>
          <w:numId w:val="0"/>
        </w:numPr>
        <w:spacing w:before="30" w:after="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7.5 Nas aferições finais, o(s) índice(s) utilizado(s) para reajuste será(ão), obrigatoriamente, o(s) definitivo(s).</w:t>
      </w:r>
    </w:p>
    <w:p w14:paraId="00425BF6">
      <w:pPr>
        <w:pStyle w:val="86"/>
        <w:numPr>
          <w:ilvl w:val="0"/>
          <w:numId w:val="0"/>
        </w:numPr>
        <w:spacing w:before="30" w:after="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7.6 Caso o(s) índice(s) estabelecido(s) para reajustamento venha(m) a ser extinto(s) ou de qualquer forma não possa(m) mais ser utilizado(s), será(ão) adotado(s), em substituição, o(s) que vier(em) a ser determinado(s) pela legislação então em vigor.</w:t>
      </w:r>
    </w:p>
    <w:p w14:paraId="0CCE99ED">
      <w:pPr>
        <w:pStyle w:val="86"/>
        <w:numPr>
          <w:ilvl w:val="0"/>
          <w:numId w:val="0"/>
        </w:numPr>
        <w:spacing w:before="30" w:after="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7.7 Na ausência de previsão legal quanto ao índice substituto, as partes elegerão novo índice oficial, para reajustamento do preço do valor remanescente, por meio de termo aditivo. </w:t>
      </w:r>
    </w:p>
    <w:p w14:paraId="6CF3DD5B">
      <w:pPr>
        <w:pStyle w:val="86"/>
        <w:numPr>
          <w:ilvl w:val="0"/>
          <w:numId w:val="0"/>
        </w:numPr>
        <w:spacing w:before="30" w:after="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7.8 O reajuste será realizado por apostilamento.</w:t>
      </w:r>
    </w:p>
    <w:p w14:paraId="627FE67B">
      <w:pPr>
        <w:pStyle w:val="86"/>
        <w:numPr>
          <w:ilvl w:val="0"/>
          <w:numId w:val="0"/>
        </w:numPr>
        <w:spacing w:before="72" w:beforeLines="30" w:after="72" w:afterLines="30" w:line="240" w:lineRule="auto"/>
        <w:ind w:left="360"/>
        <w:rPr>
          <w:rFonts w:ascii="Times New Roman" w:hAnsi="Times New Roman"/>
          <w:color w:val="000000" w:themeColor="text1"/>
          <w:sz w:val="24"/>
          <w:szCs w:val="24"/>
          <w14:textFill>
            <w14:solidFill>
              <w14:schemeClr w14:val="tx1"/>
            </w14:solidFill>
          </w14:textFill>
        </w:rPr>
      </w:pPr>
    </w:p>
    <w:p w14:paraId="5FB9E61B">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CLÁUSULA OITAVA - OBRIGAÇÕES DO CONTRATANTE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X, XI e XIV</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79BD8973">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 São obrigações do Contratante:</w:t>
      </w:r>
    </w:p>
    <w:p w14:paraId="774EF35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8.1.1 Exigir o cumprimento de todas as obrigações assumidas pelo Contratado, de acordo com o contrato e seus anexos;</w:t>
      </w:r>
    </w:p>
    <w:p w14:paraId="2ADA4678">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8.1.2 Receber o objeto no prazo e condições estabelecidas no Termo de Referência;</w:t>
      </w:r>
    </w:p>
    <w:p w14:paraId="12CE38CC">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0C659D5D">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8.1.4 Notificar o Contratado, por escrito, sobre vícios, defeitos ou incorreções verificadas no objeto fornecido, para que seja por ele substituído, reparado ou corrigido, no total ou em parte, às suas expensas;</w:t>
      </w:r>
    </w:p>
    <w:p w14:paraId="3152B58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8.1.5 Acompanhar e fiscalizar a execução do contrato e o cumprimento das obrigações pelo Contratado;</w:t>
      </w:r>
    </w:p>
    <w:p w14:paraId="4D0BC7F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8.1.6 Comunicar a empresa para emissão de Nota Fiscal no que se refere à parcela incontroversa da execução do objeto, para efeito de liquidação e pagamento, quando houver controvérsia sobre a execução do objeto, quanto à dimensão, qualidade e quantidade, conforme o </w:t>
      </w:r>
      <w:r>
        <w:fldChar w:fldCharType="begin"/>
      </w:r>
      <w:r>
        <w:instrText xml:space="preserve"> HYPERLINK "http://www.planalto.gov.br/ccivil_03/_ato2019-2022/2021/lei/L14133.htm" </w:instrText>
      </w:r>
      <w:r>
        <w:fldChar w:fldCharType="separate"/>
      </w:r>
      <w:r>
        <w:rPr>
          <w:rStyle w:val="17"/>
          <w:rFonts w:ascii="Times New Roman" w:hAnsi="Times New Roman"/>
          <w:color w:val="000000" w:themeColor="text1"/>
          <w:sz w:val="24"/>
          <w:szCs w:val="24"/>
          <w14:textFill>
            <w14:solidFill>
              <w14:schemeClr w14:val="tx1"/>
            </w14:solidFill>
          </w14:textFill>
        </w:rPr>
        <w:t>art. 143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58038EEC">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8.1.7 Efetuar o pagamento ao Contratado do valor correspondente à execução do objeto, no prazo, forma e condições estabelecidos no presente Contrato e no Termo de Referência;</w:t>
      </w:r>
    </w:p>
    <w:p w14:paraId="1B8ECA0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8.1.8 Aplicar ao Contratado as sanções previstas na lei e neste Contrato;</w:t>
      </w:r>
    </w:p>
    <w:p w14:paraId="4FEA382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8.1.9 Cientificar o órgão de representação judicial do Município para adoção das medidas cabíveis quando do descumprimento de obrigações pelo Contratado;</w:t>
      </w:r>
    </w:p>
    <w:p w14:paraId="67790B6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8.1.10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9B85DF1">
      <w:pPr>
        <w:pStyle w:val="88"/>
        <w:numPr>
          <w:ilvl w:val="0"/>
          <w:numId w:val="0"/>
        </w:numPr>
        <w:spacing w:before="72" w:beforeLines="30" w:after="72" w:afterLines="30" w:line="240" w:lineRule="auto"/>
        <w:rPr>
          <w:rFonts w:ascii="Times New Roman" w:hAnsi="Times New Roman" w:cs="Times New Roman"/>
          <w:b/>
          <w:bCs/>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8.1.10.1 A Administração terá o prazo de 30 (trinta) dias, a contar da data do protocolo do requerimento para decidir, admitida a prorrogação motivada, por igual período. </w:t>
      </w:r>
    </w:p>
    <w:p w14:paraId="20F8BE5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8.1.11 Responder eventuais pedidos de reestabelecimento do equilíbrio econômico-financeiro feitos pelo contratado no prazo máximo de 30 (trinta) dias.</w:t>
      </w:r>
      <w:bookmarkStart w:id="49" w:name="_Hlk114499841"/>
      <w:bookmarkEnd w:id="49"/>
    </w:p>
    <w:p w14:paraId="01ABF17F">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8.1.12 Notificar os emitentes das garantias quanto ao início de processo administrativo para apuração de descumprimento de cláusulas contratuais.</w:t>
      </w:r>
    </w:p>
    <w:p w14:paraId="3C5C4458">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8.1.13 Comunicar o Contratado na hipótese de posterior alteração do projeto pelo Contratante, no caso </w:t>
      </w:r>
      <w:r>
        <w:fldChar w:fldCharType="begin"/>
      </w:r>
      <w:r>
        <w:instrText xml:space="preserve"> HYPERLINK "http://www.planalto.gov.br/ccivil_03/_ato2019-2022/2021/lei/L14133.htm" \l "art93§2" </w:instrText>
      </w:r>
      <w:r>
        <w:fldChar w:fldCharType="separate"/>
      </w:r>
      <w:r>
        <w:rPr>
          <w:rStyle w:val="17"/>
          <w:rFonts w:ascii="Times New Roman" w:hAnsi="Times New Roman"/>
          <w:color w:val="000000" w:themeColor="text1"/>
          <w:sz w:val="24"/>
          <w:szCs w:val="24"/>
          <w14:textFill>
            <w14:solidFill>
              <w14:schemeClr w14:val="tx1"/>
            </w14:solidFill>
          </w14:textFill>
        </w:rPr>
        <w:t>do art. 93, §2º,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3AB6A81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8.1.14 Fornecer por escrito as informações necessárias para o desenvolvimento dos serviços objeto do contrato.</w:t>
      </w:r>
    </w:p>
    <w:p w14:paraId="0C5AFC6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8.1.15 Realizar avaliações periódicas da qualidade dos serviços, após seu recebimento.</w:t>
      </w:r>
    </w:p>
    <w:p w14:paraId="1990EB69">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8.1.16 Arquivar, entre outros documentos, de projetos, "as built", especificações técnicas, orçamentos, termos de recebimento, contratos e aditamentos, relatórios de inspeções técnicas após o recebimento do serviço e notificações expedidas.</w:t>
      </w:r>
    </w:p>
    <w:p w14:paraId="67A3CA4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8.1.17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1193C2F0">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8.1.18 Não responder por quaisquer compromissos assumidos pelo Contratado com terceiros, ainda que vinculados à execução do contrato, bem como por qualquer dano causado a terceiros em decorrência de ato do Contratado, de seus empregados, prepostos ou subordinados.</w:t>
      </w:r>
    </w:p>
    <w:p w14:paraId="6CAA2D0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8.1.19 Previamente à expedição da ordem de serviço, verificar pendências, liberar áreas e/ou adotar providências cabíveis para a regularidade do início da sua execução.</w:t>
      </w:r>
    </w:p>
    <w:p w14:paraId="578F50F2">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p>
    <w:p w14:paraId="30212C41">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NONA - OBRIGAÇÕES DO CONTRATADO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XIV, XVI e XVII</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03AB9960">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6927B098">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9.1.1 Manter preposto aceito pela Administração no local do serviço para representá-lo na execução do contrato.</w:t>
      </w:r>
    </w:p>
    <w:p w14:paraId="32AEA451">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9.1.2 A indicação ou a manutenção do preposto da empresa poderá ser recusada pelo órgão ou entidade, desde que devidamente justificada, devendo a empresa designar outro para o exercício da atividade.</w:t>
      </w:r>
    </w:p>
    <w:p w14:paraId="70E27CE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9.1.3 Atender às determinações regulares emitidas pelo fiscal do contrato ou autoridade superior (</w:t>
      </w:r>
      <w:r>
        <w:fldChar w:fldCharType="begin"/>
      </w:r>
      <w:r>
        <w:instrText xml:space="preserve"> HYPERLINK "http://www.planalto.gov.br/ccivil_03/_ato2019-2022/2021/lei/L14133.htm" \l "art137" </w:instrText>
      </w:r>
      <w:r>
        <w:fldChar w:fldCharType="separate"/>
      </w:r>
      <w:r>
        <w:rPr>
          <w:rStyle w:val="17"/>
          <w:rFonts w:ascii="Times New Roman" w:hAnsi="Times New Roman"/>
          <w:color w:val="000000" w:themeColor="text1"/>
          <w:sz w:val="24"/>
          <w:szCs w:val="24"/>
          <w14:textFill>
            <w14:solidFill>
              <w14:schemeClr w14:val="tx1"/>
            </w14:solidFill>
          </w14:textFill>
        </w:rPr>
        <w:t>art. 137, II</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e prestar todo esclarecimento ou informação por eles solicitados;</w:t>
      </w:r>
    </w:p>
    <w:p w14:paraId="3BDDD28D">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9.1.4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47E34D2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9.1.5 Reparar, corrigir, remover, reconstruir ou substituir, às suas expensas, no total ou em parte, no prazo fixado pelo fiscal do contrato, os serviços nos quais se verificarem vícios, defeitos ou incorreções resultantes da execução ou dos materiais empregados;</w:t>
      </w:r>
    </w:p>
    <w:p w14:paraId="7613BA8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9.1.6 Responsabilizar-se pelos vícios e danos decorrentes da execução do objeto, de acordo com o </w:t>
      </w:r>
      <w:r>
        <w:fldChar w:fldCharType="begin"/>
      </w:r>
      <w:r>
        <w:instrText xml:space="preserve"> HYPERLINK "https://www.planalto.gov.br/ccivil_03/leis/l8078compilado.htm" </w:instrText>
      </w:r>
      <w:r>
        <w:fldChar w:fldCharType="separate"/>
      </w:r>
      <w:r>
        <w:rPr>
          <w:rStyle w:val="17"/>
          <w:rFonts w:ascii="Times New Roman" w:hAnsi="Times New Roman"/>
          <w:color w:val="000000" w:themeColor="text1"/>
          <w:sz w:val="24"/>
          <w:szCs w:val="24"/>
          <w14:textFill>
            <w14:solidFill>
              <w14:schemeClr w14:val="tx1"/>
            </w14:solidFill>
          </w14:textFill>
        </w:rPr>
        <w:t>Código de Defesa do Consumidor (Lei nº 8.078, de 1990</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DE742A0">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9.1.7 Efetuar comunicação ao Contratante, assim que tiver ciência da impossibilidade de realização ou finalização do serviço no prazo estabelecido, para adoção de ações de contingência cabíveis. </w:t>
      </w:r>
    </w:p>
    <w:p w14:paraId="5BF3EAE3">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9.1.8 Não contratar, durante a vigência do contrato, cônjuge, companheiro ou parente em linha reta, colateral ou por afinidade, até o terceiro grau, de dirigente do contratante ou do fiscal ou gestor do contrato, nos termos do </w:t>
      </w:r>
      <w:r>
        <w:fldChar w:fldCharType="begin"/>
      </w:r>
      <w:r>
        <w:instrText xml:space="preserve"> HYPERLINK "http://www.planalto.gov.br/ccivil_03/_ato2019-2022/2021/lei/L14133.htm" \l "art48" </w:instrText>
      </w:r>
      <w:r>
        <w:fldChar w:fldCharType="separate"/>
      </w:r>
      <w:r>
        <w:rPr>
          <w:rStyle w:val="17"/>
          <w:rFonts w:ascii="Times New Roman" w:hAnsi="Times New Roman"/>
          <w:color w:val="000000" w:themeColor="text1"/>
          <w:sz w:val="24"/>
          <w:szCs w:val="24"/>
          <w14:textFill>
            <w14:solidFill>
              <w14:schemeClr w14:val="tx1"/>
            </w14:solidFill>
          </w14:textFill>
        </w:rPr>
        <w:t>artigo 48, parágrafo único,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3786DC8F">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9.1.9 O contratado deverá entregar ao setor responsável pela fiscalização do contrato, até o dia trinta do mês seguinte ao da prestação dos serviços, os seguintes documentos: </w:t>
      </w:r>
    </w:p>
    <w:p w14:paraId="4BC82879">
      <w:pPr>
        <w:pStyle w:val="86"/>
        <w:numPr>
          <w:ilvl w:val="0"/>
          <w:numId w:val="36"/>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prova de regularidade relativa à Seguridade Social; </w:t>
      </w:r>
    </w:p>
    <w:p w14:paraId="58C59195">
      <w:pPr>
        <w:pStyle w:val="86"/>
        <w:numPr>
          <w:ilvl w:val="0"/>
          <w:numId w:val="36"/>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certidão conjunta relativa aos tributos federais e à Dívida Ativa da União;</w:t>
      </w:r>
    </w:p>
    <w:p w14:paraId="2E6EE2FD">
      <w:pPr>
        <w:pStyle w:val="86"/>
        <w:numPr>
          <w:ilvl w:val="0"/>
          <w:numId w:val="36"/>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certidões que comprovem a regularidade perante a Fazenda Municipal ou Distrital do domicílio ou sede do contratado; </w:t>
      </w:r>
    </w:p>
    <w:p w14:paraId="6F06BFED">
      <w:pPr>
        <w:pStyle w:val="86"/>
        <w:numPr>
          <w:ilvl w:val="0"/>
          <w:numId w:val="36"/>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Certidão de Regularidade do FGTS – CRF; e</w:t>
      </w:r>
    </w:p>
    <w:p w14:paraId="70FDD3E4">
      <w:pPr>
        <w:pStyle w:val="86"/>
        <w:numPr>
          <w:ilvl w:val="0"/>
          <w:numId w:val="36"/>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Certidão Negativa de Débitos Trabalhistas – CNDT; </w:t>
      </w:r>
    </w:p>
    <w:p w14:paraId="54B6C82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9.1.10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328DFB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9.1.11 Comunicar ao Fiscal do contrato, no prazo de 24 (vinte e quatro) horas, qualquer ocorrência anormal ou acidente que se verifique no local dos serviços.</w:t>
      </w:r>
    </w:p>
    <w:p w14:paraId="521BA37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9.1.12 Prestar todo esclarecimento ou informação solicitada pelo Contratante ou por seus prepostos, garantindo-lhes o acesso, a qualquer tempo, ao local dos trabalhos, bem como aos documentos relativos à execução do empreendimento.</w:t>
      </w:r>
    </w:p>
    <w:p w14:paraId="095AA4E3">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9.1.13 Paralisar, por determinação do Contratante, qualquer atividade que não esteja sendo executada de acordo com a boa técnica ou que ponha em risco a segurança de pessoas ou bens de terceiros.</w:t>
      </w:r>
    </w:p>
    <w:p w14:paraId="757459B9">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9.1.14 Promover a guarda, manutenção e vigilância de materiais, ferramentas, e tudo o que for necessário à execução do objeto, durante a vigência do contrato.</w:t>
      </w:r>
    </w:p>
    <w:p w14:paraId="0BA3166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9.1.15 Conduzir os trabalhos com estrita observância às normas da legislação pertinente, cumprindo as determinações dos Poderes Públicos, mantendo sempre limpo o local dos serviços e nas melhores condições de segurança, higiene e disciplina.</w:t>
      </w:r>
    </w:p>
    <w:p w14:paraId="0AA0362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9.1.16 Submeter previamente, por escrito, ao Contratante, para análise e aprovação, quaisquer mudanças nos métodos executivos que fujam às especificações do memorial descritivo ou instrumento congênere.</w:t>
      </w:r>
    </w:p>
    <w:p w14:paraId="3F49645C">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9.1.17 Não permitir a utilização de qualquer trabalho do menor de dezesseis anos, exceto na condição de aprendiz para os maiores de quatorze anos, nem permitir a utilização do trabalho do menor de dezoito anos em trabalho noturno, perigoso ou insalubre;</w:t>
      </w:r>
    </w:p>
    <w:p w14:paraId="7D9BE520">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9.1.18 Manter durante toda a vigência do contrato, em compatibilidade com as obrigações assumidas, todas as condições exigidas para habilitação na licitação; </w:t>
      </w:r>
    </w:p>
    <w:p w14:paraId="60B1F64F">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9.1.19 Cumprir, durante todo o período de execução do contrato, a reserva de cargos prevista em lei para pessoa com deficiência, para reabilitado da Previdência Social ou para aprendiz, bem como as reservas de cargos previstas na legislação (</w:t>
      </w:r>
      <w:r>
        <w:fldChar w:fldCharType="begin"/>
      </w:r>
      <w:r>
        <w:instrText xml:space="preserve"> HYPERLINK "http://www.planalto.gov.br/ccivil_03/_ato2019-2022/2021/lei/L14133.htm" \l "art116" </w:instrText>
      </w:r>
      <w:r>
        <w:fldChar w:fldCharType="separate"/>
      </w:r>
      <w:r>
        <w:rPr>
          <w:rStyle w:val="17"/>
          <w:rFonts w:ascii="Times New Roman" w:hAnsi="Times New Roman"/>
          <w:color w:val="000000" w:themeColor="text1"/>
          <w:sz w:val="24"/>
          <w:szCs w:val="24"/>
          <w14:textFill>
            <w14:solidFill>
              <w14:schemeClr w14:val="tx1"/>
            </w14:solidFill>
          </w14:textFill>
        </w:rPr>
        <w:t>art. 116</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26430DF1">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9.1.20 Comprovar a reserva de cargos a que se refere a cláusula acima, no prazo fixado pelo fiscal do contrato, com a indicação dos empregados que preencheram as referidas vagas (</w:t>
      </w:r>
      <w:r>
        <w:fldChar w:fldCharType="begin"/>
      </w:r>
      <w:r>
        <w:instrText xml:space="preserve"> HYPERLINK "http://www.planalto.gov.br/ccivil_03/_ato2019-2022/2021/lei/L14133.htm" \l "art116" </w:instrText>
      </w:r>
      <w:r>
        <w:fldChar w:fldCharType="separate"/>
      </w:r>
      <w:r>
        <w:rPr>
          <w:rStyle w:val="17"/>
          <w:rFonts w:ascii="Times New Roman" w:hAnsi="Times New Roman"/>
          <w:color w:val="000000" w:themeColor="text1"/>
          <w:sz w:val="24"/>
          <w:szCs w:val="24"/>
          <w14:textFill>
            <w14:solidFill>
              <w14:schemeClr w14:val="tx1"/>
            </w14:solidFill>
          </w14:textFill>
        </w:rPr>
        <w:t>art. 116, parágrafo único</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757A96D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9.1.21 Guardar sigilo sobre todas as informações obtidas em decorrência do cumprimento do contrato;</w:t>
      </w:r>
    </w:p>
    <w:p w14:paraId="7AF98A19">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9.1.22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fldChar w:fldCharType="begin"/>
      </w:r>
      <w:r>
        <w:instrText xml:space="preserve"> HYPERLINK "http://www.planalto.gov.br/ccivil_03/_ato2019-2022/2021/lei/L14133.htm" \l "art124" </w:instrText>
      </w:r>
      <w:r>
        <w:fldChar w:fldCharType="separate"/>
      </w:r>
      <w:r>
        <w:rPr>
          <w:rStyle w:val="17"/>
          <w:rFonts w:ascii="Times New Roman" w:hAnsi="Times New Roman"/>
          <w:color w:val="000000" w:themeColor="text1"/>
          <w:sz w:val="24"/>
          <w:szCs w:val="24"/>
          <w14:textFill>
            <w14:solidFill>
              <w14:schemeClr w14:val="tx1"/>
            </w14:solidFill>
          </w14:textFill>
        </w:rPr>
        <w:t>art. 124, II, d,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5233D2BF">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9.1.23 Cumprir, além dos postulados legais vigentes de âmbito federal, estadual ou municipal, as normas de segurança do Contratante;</w:t>
      </w:r>
    </w:p>
    <w:p w14:paraId="2928D85B">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9.1.24 Manter os empregados nos horários predeterminados pelo Contratante.</w:t>
      </w:r>
    </w:p>
    <w:p w14:paraId="1F00F54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9.1.25 Apresentar os empregados devidamente identificados por meio de crachá.</w:t>
      </w:r>
    </w:p>
    <w:p w14:paraId="02CE4C9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9.1.26 Apresentar ao Contratante, quando for o caso, a relação nominal dos empregados que adentrarão no órgão para a execução do serviço.</w:t>
      </w:r>
    </w:p>
    <w:p w14:paraId="3F5CB4E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9.1.27 Observar os preceitos da legislação sobre a jornada de trabalho, conforme a categoria profissional.</w:t>
      </w:r>
    </w:p>
    <w:p w14:paraId="6295451B">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9.1.28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389145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9.1.29 Instruir seus empregados quanto à necessidade de acatar as Normas Internas do Contratante.</w:t>
      </w:r>
    </w:p>
    <w:p w14:paraId="0CDD5CC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9.1.30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233C8FE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9.1.31 Instruir os seus empregados, quanto à prevenção de incêndios nas áreas do Contratante.</w:t>
      </w:r>
    </w:p>
    <w:p w14:paraId="6569CD23">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9.1.32 Adotar as providências e precauções necessárias, inclusive consulta nos respectivos órgãos, se necessário for, a fim de que não venham a ser danificadas as redes hidrossanitárias, elétricas e de comunicação.</w:t>
      </w:r>
    </w:p>
    <w:p w14:paraId="26EF9C58">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9.1.33 Estar registrada ou inscrita no Conselho Profissional competente, conforme as áreas de atuação previstas no Termo de Referência, em plena validade.</w:t>
      </w:r>
    </w:p>
    <w:p w14:paraId="514DB3A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9.1.34 Obter junto aos órgãos competentes, conforme o caso, as licenças necessárias e demais documentos e autorizações exigíveis, na forma da legislação aplicável.</w:t>
      </w:r>
    </w:p>
    <w:p w14:paraId="2CF13B9F">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9.1.35 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3D892093">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9.1.36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50B36AC3">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9.1.37 Utilizar somente matéria-prima florestal procedente, nos termos do </w:t>
      </w:r>
      <w:r>
        <w:fldChar w:fldCharType="begin"/>
      </w:r>
      <w:r>
        <w:instrText xml:space="preserve"> HYPERLINK "http://www.planalto.gov.br/ccivil_03/_ato2004-2006/2006/decreto/d5975.htm" \l "art11" </w:instrText>
      </w:r>
      <w:r>
        <w:fldChar w:fldCharType="separate"/>
      </w:r>
      <w:r>
        <w:rPr>
          <w:rStyle w:val="17"/>
          <w:rFonts w:ascii="Times New Roman" w:hAnsi="Times New Roman"/>
          <w:color w:val="000000" w:themeColor="text1"/>
          <w:sz w:val="24"/>
          <w:szCs w:val="24"/>
          <w14:textFill>
            <w14:solidFill>
              <w14:schemeClr w14:val="tx1"/>
            </w14:solidFill>
          </w14:textFill>
        </w:rPr>
        <w:t>artigo 11 do Decreto n° 5.975, de 2006</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de: </w:t>
      </w:r>
    </w:p>
    <w:p w14:paraId="0E139FFF">
      <w:pPr>
        <w:pStyle w:val="86"/>
        <w:numPr>
          <w:ilvl w:val="0"/>
          <w:numId w:val="37"/>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manejo florestal, realizado por meio de Plano de Manejo Florestal Sustentável - PMFS devidamente aprovado pelo órgão competente do Sistema Nacional do Meio Ambiente - SISNAMA;</w:t>
      </w:r>
    </w:p>
    <w:p w14:paraId="21EDB55B">
      <w:pPr>
        <w:pStyle w:val="86"/>
        <w:numPr>
          <w:ilvl w:val="0"/>
          <w:numId w:val="37"/>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supressão da vegetação natural, devidamente autorizada pelo órgão competente do Sistema Nacional do Meio Ambiente - SISNAMA; </w:t>
      </w:r>
    </w:p>
    <w:p w14:paraId="375334FB">
      <w:pPr>
        <w:pStyle w:val="86"/>
        <w:numPr>
          <w:ilvl w:val="0"/>
          <w:numId w:val="37"/>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florestas plantadas; e </w:t>
      </w:r>
    </w:p>
    <w:p w14:paraId="0E24619F">
      <w:pPr>
        <w:pStyle w:val="86"/>
        <w:numPr>
          <w:ilvl w:val="0"/>
          <w:numId w:val="37"/>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outras fontes de biomassa florestal, definidas em normas específicas do órgão ambiental competente.</w:t>
      </w:r>
    </w:p>
    <w:p w14:paraId="24C1BB79">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9.1.38 Comprovar a procedência legal dos produtos ou subprodutos florestais utilizados em cada etapa da execução contratual, nos termos do </w:t>
      </w:r>
      <w:r>
        <w:fldChar w:fldCharType="begin"/>
      </w:r>
      <w:r>
        <w:instrText xml:space="preserve"> HYPERLINK "https://www.gov.br/compras/pt-br/acesso-a-informacao/legislacao/instrucoes-normativas/instrucao-normativa-no-01-de-19-de-janeiro-de-2010" </w:instrText>
      </w:r>
      <w:r>
        <w:fldChar w:fldCharType="separate"/>
      </w:r>
      <w:r>
        <w:rPr>
          <w:rStyle w:val="17"/>
          <w:rFonts w:ascii="Times New Roman" w:hAnsi="Times New Roman"/>
          <w:color w:val="000000" w:themeColor="text1"/>
          <w:sz w:val="24"/>
          <w:szCs w:val="24"/>
          <w14:textFill>
            <w14:solidFill>
              <w14:schemeClr w14:val="tx1"/>
            </w14:solidFill>
          </w14:textFill>
        </w:rPr>
        <w:t>artigo 4°, inciso IX, da Instrução Normativa SLTI/MP n° 1, de 19/01/2010</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por ocasião da respectiva medição, mediante a apresentação dos seguintes documentos, conforme o caso: </w:t>
      </w:r>
    </w:p>
    <w:p w14:paraId="3741D8F7">
      <w:pPr>
        <w:pStyle w:val="55"/>
        <w:numPr>
          <w:ilvl w:val="0"/>
          <w:numId w:val="38"/>
        </w:numPr>
        <w:suppressAutoHyphens w:val="0"/>
        <w:spacing w:before="72" w:beforeLines="30" w:after="72" w:afterLines="30"/>
        <w:ind w:left="0" w:firstLine="0"/>
        <w:contextualSpacing w:val="0"/>
        <w:jc w:val="both"/>
        <w:rPr>
          <w:rFonts w:eastAsia="Calibri"/>
          <w:color w:val="000000" w:themeColor="text1"/>
          <w:szCs w:val="24"/>
          <w:lang w:eastAsia="en-US"/>
          <w14:textFill>
            <w14:solidFill>
              <w14:schemeClr w14:val="tx1"/>
            </w14:solidFill>
          </w14:textFill>
        </w:rPr>
      </w:pPr>
      <w:r>
        <w:rPr>
          <w:rFonts w:eastAsia="Calibri"/>
          <w:color w:val="000000" w:themeColor="text1"/>
          <w:szCs w:val="24"/>
          <w:lang w:eastAsia="en-US"/>
          <w14:textFill>
            <w14:solidFill>
              <w14:schemeClr w14:val="tx1"/>
            </w14:solidFill>
          </w14:textFill>
        </w:rPr>
        <w:t xml:space="preserve">Cópias autenticadas das notas fiscais de aquisição dos produtos ou subprodutos florestais; </w:t>
      </w:r>
    </w:p>
    <w:p w14:paraId="742D448F">
      <w:pPr>
        <w:pStyle w:val="55"/>
        <w:numPr>
          <w:ilvl w:val="0"/>
          <w:numId w:val="38"/>
        </w:numPr>
        <w:suppressAutoHyphens w:val="0"/>
        <w:spacing w:before="72" w:beforeLines="30" w:after="72" w:afterLines="30"/>
        <w:ind w:left="0" w:firstLine="0"/>
        <w:contextualSpacing w:val="0"/>
        <w:jc w:val="both"/>
        <w:rPr>
          <w:rFonts w:eastAsia="Calibri"/>
          <w:color w:val="000000" w:themeColor="text1"/>
          <w:szCs w:val="24"/>
          <w:lang w:eastAsia="en-US"/>
          <w14:textFill>
            <w14:solidFill>
              <w14:schemeClr w14:val="tx1"/>
            </w14:solidFill>
          </w14:textFill>
        </w:rPr>
      </w:pPr>
      <w:r>
        <w:rPr>
          <w:rFonts w:eastAsia="Calibri"/>
          <w:color w:val="000000" w:themeColor="text1"/>
          <w:szCs w:val="24"/>
          <w:lang w:eastAsia="en-US"/>
          <w14:textFill>
            <w14:solidFill>
              <w14:schemeClr w14:val="tx1"/>
            </w14:solidFill>
          </w14:textFill>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r>
        <w:fldChar w:fldCharType="begin"/>
      </w:r>
      <w:r>
        <w:instrText xml:space="preserve"> HYPERLINK "https://www.planalto.gov.br/ccivil_03/leis/l6938.htm" \l "art17" </w:instrText>
      </w:r>
      <w:r>
        <w:fldChar w:fldCharType="separate"/>
      </w:r>
      <w:r>
        <w:rPr>
          <w:rStyle w:val="17"/>
          <w:rFonts w:eastAsia="Calibri"/>
          <w:color w:val="000000" w:themeColor="text1"/>
          <w:szCs w:val="24"/>
          <w:lang w:eastAsia="en-US"/>
          <w14:textFill>
            <w14:solidFill>
              <w14:schemeClr w14:val="tx1"/>
            </w14:solidFill>
          </w14:textFill>
        </w:rPr>
        <w:t>artigo 17, inciso II, da Lei n° 6.938, de 1981</w:t>
      </w:r>
      <w:r>
        <w:rPr>
          <w:rStyle w:val="17"/>
          <w:rFonts w:eastAsia="Calibri"/>
          <w:color w:val="000000" w:themeColor="text1"/>
          <w:szCs w:val="24"/>
          <w:lang w:eastAsia="en-US"/>
          <w14:textFill>
            <w14:solidFill>
              <w14:schemeClr w14:val="tx1"/>
            </w14:solidFill>
          </w14:textFill>
        </w:rPr>
        <w:fldChar w:fldCharType="end"/>
      </w:r>
      <w:r>
        <w:rPr>
          <w:rFonts w:eastAsia="Calibri"/>
          <w:color w:val="000000" w:themeColor="text1"/>
          <w:szCs w:val="24"/>
          <w:lang w:eastAsia="en-US"/>
          <w14:textFill>
            <w14:solidFill>
              <w14:schemeClr w14:val="tx1"/>
            </w14:solidFill>
          </w14:textFill>
        </w:rPr>
        <w:t>, e legislação correlata;</w:t>
      </w:r>
    </w:p>
    <w:p w14:paraId="07AC1112">
      <w:pPr>
        <w:pStyle w:val="55"/>
        <w:numPr>
          <w:ilvl w:val="0"/>
          <w:numId w:val="38"/>
        </w:numPr>
        <w:suppressAutoHyphens w:val="0"/>
        <w:spacing w:before="72" w:beforeLines="30" w:after="72" w:afterLines="30"/>
        <w:ind w:left="0" w:firstLine="0"/>
        <w:contextualSpacing w:val="0"/>
        <w:jc w:val="both"/>
        <w:rPr>
          <w:rFonts w:eastAsia="Calibri"/>
          <w:color w:val="000000" w:themeColor="text1"/>
          <w:szCs w:val="24"/>
          <w:lang w:eastAsia="en-US"/>
          <w14:textFill>
            <w14:solidFill>
              <w14:schemeClr w14:val="tx1"/>
            </w14:solidFill>
          </w14:textFill>
        </w:rPr>
      </w:pPr>
      <w:r>
        <w:rPr>
          <w:rFonts w:eastAsia="Calibri"/>
          <w:color w:val="000000" w:themeColor="text1"/>
          <w:szCs w:val="24"/>
          <w:lang w:eastAsia="en-US"/>
          <w14:textFill>
            <w14:solidFill>
              <w14:schemeClr w14:val="tx1"/>
            </w14:solidFill>
          </w14:textFill>
        </w:rPr>
        <w:t xml:space="preserve">Documento de Origem Florestal – DOF, instituído pela </w:t>
      </w:r>
      <w:r>
        <w:fldChar w:fldCharType="begin"/>
      </w:r>
      <w:r>
        <w:instrText xml:space="preserve"> HYPERLINK "http://www.ibama.gov.br/component/legislacao/?view=legislacao&amp;legislacao=112647" </w:instrText>
      </w:r>
      <w:r>
        <w:fldChar w:fldCharType="separate"/>
      </w:r>
      <w:r>
        <w:rPr>
          <w:color w:val="000000" w:themeColor="text1"/>
          <w:szCs w:val="24"/>
          <w:lang w:eastAsia="en-US"/>
          <w14:textFill>
            <w14:solidFill>
              <w14:schemeClr w14:val="tx1"/>
            </w14:solidFill>
          </w14:textFill>
        </w:rPr>
        <w:t>Portaria n° 253, de 18/08/2006</w:t>
      </w:r>
      <w:r>
        <w:rPr>
          <w:color w:val="000000" w:themeColor="text1"/>
          <w:szCs w:val="24"/>
          <w:lang w:eastAsia="en-US"/>
          <w14:textFill>
            <w14:solidFill>
              <w14:schemeClr w14:val="tx1"/>
            </w14:solidFill>
          </w14:textFill>
        </w:rPr>
        <w:fldChar w:fldCharType="end"/>
      </w:r>
      <w:r>
        <w:rPr>
          <w:rFonts w:eastAsia="Calibri"/>
          <w:color w:val="000000" w:themeColor="text1"/>
          <w:szCs w:val="24"/>
          <w:lang w:eastAsia="en-US"/>
          <w14:textFill>
            <w14:solidFill>
              <w14:schemeClr w14:val="tx1"/>
            </w14:solidFill>
          </w14:textFill>
        </w:rPr>
        <w:t xml:space="preserve">, do Ministério do Meio Ambiente, e </w:t>
      </w:r>
      <w:r>
        <w:fldChar w:fldCharType="begin"/>
      </w:r>
      <w:r>
        <w:instrText xml:space="preserve"> HYPERLINK "http://www.ibama.gov.br/phocadownload/sinaflor/2018/2018-06-13-Ibama-IN-IBAMA-21-24-12-2014-SINAFLOR-DOF-compilada.pdf" </w:instrText>
      </w:r>
      <w:r>
        <w:fldChar w:fldCharType="separate"/>
      </w:r>
      <w:r>
        <w:rPr>
          <w:color w:val="000000" w:themeColor="text1"/>
          <w:szCs w:val="24"/>
          <w:lang w:eastAsia="en-US"/>
          <w14:textFill>
            <w14:solidFill>
              <w14:schemeClr w14:val="tx1"/>
            </w14:solidFill>
          </w14:textFill>
        </w:rPr>
        <w:t>Instrução Normativa IBAMA n° 21, de 24/12/2014</w:t>
      </w:r>
      <w:r>
        <w:rPr>
          <w:color w:val="000000" w:themeColor="text1"/>
          <w:szCs w:val="24"/>
          <w:lang w:eastAsia="en-US"/>
          <w14:textFill>
            <w14:solidFill>
              <w14:schemeClr w14:val="tx1"/>
            </w14:solidFill>
          </w14:textFill>
        </w:rPr>
        <w:fldChar w:fldCharType="end"/>
      </w:r>
      <w:r>
        <w:rPr>
          <w:rFonts w:eastAsia="Calibri"/>
          <w:color w:val="000000" w:themeColor="text1"/>
          <w:szCs w:val="24"/>
          <w:lang w:eastAsia="en-US"/>
          <w14:textFill>
            <w14:solidFill>
              <w14:schemeClr w14:val="tx1"/>
            </w14:solidFill>
          </w14:textFill>
        </w:rPr>
        <w:t>, quando se tratar de produtos ou subprodutos florestais de origem nativa cujo transporte e armazenamento exijam a emissão de tal licença obrigatória; e</w:t>
      </w:r>
    </w:p>
    <w:p w14:paraId="6F17A166">
      <w:pPr>
        <w:pStyle w:val="88"/>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9.1.38.1 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14:paraId="7897B94B">
      <w:pPr>
        <w:pStyle w:val="86"/>
        <w:numPr>
          <w:ilvl w:val="0"/>
          <w:numId w:val="0"/>
        </w:numPr>
        <w:spacing w:before="72" w:beforeLines="30" w:after="72" w:afterLines="30" w:line="240" w:lineRule="auto"/>
        <w:rPr>
          <w:rFonts w:ascii="Times New Roman" w:hAnsi="Times New Roman"/>
          <w:color w:val="000000" w:themeColor="text1"/>
          <w:sz w:val="24"/>
          <w:szCs w:val="24"/>
          <w:lang w:eastAsia="en-US"/>
          <w14:textFill>
            <w14:solidFill>
              <w14:schemeClr w14:val="tx1"/>
            </w14:solidFill>
          </w14:textFill>
        </w:rPr>
      </w:pPr>
      <w:r>
        <w:rPr>
          <w:rFonts w:ascii="Times New Roman" w:hAnsi="Times New Roman"/>
          <w:color w:val="000000" w:themeColor="text1"/>
          <w:sz w:val="24"/>
          <w:szCs w:val="24"/>
          <w:lang w:eastAsia="en-US"/>
          <w14:textFill>
            <w14:solidFill>
              <w14:schemeClr w14:val="tx1"/>
            </w14:solidFill>
          </w14:textFill>
        </w:rPr>
        <w:t xml:space="preserve">9.1.39 Observar as </w:t>
      </w:r>
      <w:r>
        <w:rPr>
          <w:rFonts w:ascii="Times New Roman" w:hAnsi="Times New Roman"/>
          <w:color w:val="000000" w:themeColor="text1"/>
          <w:sz w:val="24"/>
          <w:szCs w:val="24"/>
          <w14:textFill>
            <w14:solidFill>
              <w14:schemeClr w14:val="tx1"/>
            </w14:solidFill>
          </w14:textFill>
        </w:rPr>
        <w:t>diretrizes</w:t>
      </w:r>
      <w:r>
        <w:rPr>
          <w:rFonts w:ascii="Times New Roman" w:hAnsi="Times New Roman"/>
          <w:color w:val="000000" w:themeColor="text1"/>
          <w:sz w:val="24"/>
          <w:szCs w:val="24"/>
          <w:lang w:eastAsia="en-US"/>
          <w14:textFill>
            <w14:solidFill>
              <w14:schemeClr w14:val="tx1"/>
            </w14:solidFill>
          </w14:textFill>
        </w:rPr>
        <w:t xml:space="preserve">, critérios e procedimentos para a gestão dos resíduos da construção civil </w:t>
      </w:r>
      <w:r>
        <w:rPr>
          <w:rFonts w:ascii="Times New Roman" w:hAnsi="Times New Roman"/>
          <w:color w:val="000000" w:themeColor="text1"/>
          <w:sz w:val="24"/>
          <w:szCs w:val="24"/>
          <w14:textFill>
            <w14:solidFill>
              <w14:schemeClr w14:val="tx1"/>
            </w14:solidFill>
          </w14:textFill>
        </w:rPr>
        <w:t>estabelecidos</w:t>
      </w:r>
      <w:r>
        <w:rPr>
          <w:rFonts w:ascii="Times New Roman" w:hAnsi="Times New Roman"/>
          <w:color w:val="000000" w:themeColor="text1"/>
          <w:sz w:val="24"/>
          <w:szCs w:val="24"/>
          <w:lang w:eastAsia="en-US"/>
          <w14:textFill>
            <w14:solidFill>
              <w14:schemeClr w14:val="tx1"/>
            </w14:solidFill>
          </w14:textFill>
        </w:rPr>
        <w:t xml:space="preserve"> na Resolução nº 307, de 05/07/2002, com as alterações posteriores, do Conselho Nacional de Meio Ambiente - CONAMA, conforme </w:t>
      </w:r>
      <w:r>
        <w:fldChar w:fldCharType="begin"/>
      </w:r>
      <w:r>
        <w:instrText xml:space="preserve"> HYPERLINK "https://www.gov.br/compras/pt-br/acesso-a-informacao/legislacao/instrucoes-normativas/instrucao-normativa-no-01-de-19-de-janeiro-de-2010" \l "art4§2" </w:instrText>
      </w:r>
      <w:r>
        <w:fldChar w:fldCharType="separate"/>
      </w:r>
      <w:r>
        <w:rPr>
          <w:rStyle w:val="17"/>
          <w:rFonts w:ascii="Times New Roman" w:hAnsi="Times New Roman" w:eastAsia="Calibri"/>
          <w:color w:val="000000" w:themeColor="text1"/>
          <w:sz w:val="24"/>
          <w:szCs w:val="24"/>
          <w:lang w:eastAsia="en-US"/>
          <w14:textFill>
            <w14:solidFill>
              <w14:schemeClr w14:val="tx1"/>
            </w14:solidFill>
          </w14:textFill>
        </w:rPr>
        <w:t>artigo 4°, §§ 2° e 3°, da Instrução Normativa SLTI/MP n° 1, de 19/01/2010</w:t>
      </w:r>
      <w:r>
        <w:rPr>
          <w:rStyle w:val="17"/>
          <w:rFonts w:ascii="Times New Roman" w:hAnsi="Times New Roman" w:eastAsia="Calibri"/>
          <w:color w:val="000000" w:themeColor="text1"/>
          <w:sz w:val="24"/>
          <w:szCs w:val="24"/>
          <w:lang w:eastAsia="en-US"/>
          <w14:textFill>
            <w14:solidFill>
              <w14:schemeClr w14:val="tx1"/>
            </w14:solidFill>
          </w14:textFill>
        </w:rPr>
        <w:fldChar w:fldCharType="end"/>
      </w:r>
      <w:r>
        <w:rPr>
          <w:rFonts w:ascii="Times New Roman" w:hAnsi="Times New Roman"/>
          <w:color w:val="000000" w:themeColor="text1"/>
          <w:sz w:val="24"/>
          <w:szCs w:val="24"/>
          <w:lang w:eastAsia="en-US"/>
          <w14:textFill>
            <w14:solidFill>
              <w14:schemeClr w14:val="tx1"/>
            </w14:solidFill>
          </w14:textFill>
        </w:rPr>
        <w:t>, nos seguintes termos:</w:t>
      </w:r>
    </w:p>
    <w:p w14:paraId="6FAC5A2B">
      <w:pPr>
        <w:pStyle w:val="88"/>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9.1.39.1 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420C216D">
      <w:pPr>
        <w:pStyle w:val="88"/>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 xml:space="preserve">9.1.39.2 Nos termos dos </w:t>
      </w:r>
      <w:r>
        <w:fldChar w:fldCharType="begin"/>
      </w:r>
      <w:r>
        <w:instrText xml:space="preserve"> HYPERLINK "https://cetesb.sp.gov.br/licenciamento/documentos/2002_Res_CONAMA_307.pdf" </w:instrText>
      </w:r>
      <w:r>
        <w:fldChar w:fldCharType="separate"/>
      </w:r>
      <w:r>
        <w:rPr>
          <w:rStyle w:val="17"/>
          <w:rFonts w:ascii="Times New Roman" w:hAnsi="Times New Roman" w:eastAsia="Calibri" w:cs="Times New Roman"/>
          <w:color w:val="000000" w:themeColor="text1"/>
          <w:sz w:val="24"/>
          <w:szCs w:val="24"/>
          <w:lang w:eastAsia="en-US"/>
          <w14:textFill>
            <w14:solidFill>
              <w14:schemeClr w14:val="tx1"/>
            </w14:solidFill>
          </w14:textFill>
        </w:rPr>
        <w:t>artigos 3° e 10° da Resolução CONAMA n° 307, de 05/07/2002</w:t>
      </w:r>
      <w:r>
        <w:rPr>
          <w:rStyle w:val="17"/>
          <w:rFonts w:ascii="Times New Roman" w:hAnsi="Times New Roman" w:eastAsia="Calibri" w:cs="Times New Roman"/>
          <w:color w:val="000000" w:themeColor="text1"/>
          <w:sz w:val="24"/>
          <w:szCs w:val="24"/>
          <w:lang w:eastAsia="en-US"/>
          <w14:textFill>
            <w14:solidFill>
              <w14:schemeClr w14:val="tx1"/>
            </w14:solidFill>
          </w14:textFill>
        </w:rPr>
        <w:fldChar w:fldCharType="end"/>
      </w:r>
      <w:r>
        <w:rPr>
          <w:rFonts w:ascii="Times New Roman" w:hAnsi="Times New Roman" w:cs="Times New Roman"/>
          <w:color w:val="000000" w:themeColor="text1"/>
          <w:sz w:val="24"/>
          <w:szCs w:val="24"/>
          <w:lang w:eastAsia="en-US"/>
          <w14:textFill>
            <w14:solidFill>
              <w14:schemeClr w14:val="tx1"/>
            </w14:solidFill>
          </w14:textFill>
        </w:rPr>
        <w:t>, o Contratado deverá providenciar a destinação ambientalmente adequada dos resíduos da construção civil originários da contratação, obedecendo, no que couber, aos seguintes procedimentos:</w:t>
      </w:r>
    </w:p>
    <w:p w14:paraId="666B2B89">
      <w:pPr>
        <w:pStyle w:val="89"/>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 xml:space="preserve">a) resíduos Classe A (reutilizáveis ou recicláveis como agregados): deverão ser reutilizados ou reciclados na forma de agregados, ou encaminhados a aterros de resíduos classe A de preservação de material para usos futuros. </w:t>
      </w:r>
    </w:p>
    <w:p w14:paraId="387217E9">
      <w:pPr>
        <w:pStyle w:val="89"/>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b) resíduos Classe B (recicláveis para outras destinações): deverão ser reutilizados, reciclados ou encaminhados a áreas de armazenamento temporário, sendo dispostos de modo a permitir a sua utilização ou reciclagem futura.</w:t>
      </w:r>
    </w:p>
    <w:p w14:paraId="0C0C2A20">
      <w:pPr>
        <w:pStyle w:val="89"/>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c) resíduos Classe C (para os quais não foram desenvolvidas tecnologias ou aplicações economicamente viáveis que permitam a sua reciclagem/recuperação): deverão ser armazenados, transportados e destinados em conformidade com as normas técnicas específicas.</w:t>
      </w:r>
    </w:p>
    <w:p w14:paraId="49B8D75B">
      <w:pPr>
        <w:pStyle w:val="89"/>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d) resíduos Classe D (perigosos, contaminados ou prejudiciais à saúde): deverão ser armazenados, transportados, reutilizados e destinados em conformidade com as normas técnicas específicas.</w:t>
      </w:r>
    </w:p>
    <w:p w14:paraId="532A8DB5">
      <w:pPr>
        <w:pStyle w:val="88"/>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9.1.39.3 Em nenhuma hipótese o Contratado poderá dispor os resíduos originários da contratação em aterros de resíduos sólidos urbanos, áreas de “bota fora”, encostas, corpos d´água, lotes vagos e áreas protegidas por Lei, bem como em áreas não licenciadas.</w:t>
      </w:r>
    </w:p>
    <w:p w14:paraId="228B35D1">
      <w:pPr>
        <w:pStyle w:val="88"/>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9.1.39.4 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519C5D54">
      <w:pPr>
        <w:pStyle w:val="86"/>
        <w:numPr>
          <w:ilvl w:val="2"/>
          <w:numId w:val="39"/>
        </w:numPr>
        <w:spacing w:before="72" w:beforeLines="30" w:after="72" w:afterLines="30" w:line="240" w:lineRule="auto"/>
        <w:rPr>
          <w:rFonts w:ascii="Times New Roman" w:hAnsi="Times New Roman"/>
          <w:color w:val="000000" w:themeColor="text1"/>
          <w:sz w:val="24"/>
          <w:szCs w:val="24"/>
          <w:lang w:eastAsia="en-US"/>
          <w14:textFill>
            <w14:solidFill>
              <w14:schemeClr w14:val="tx1"/>
            </w14:solidFill>
          </w14:textFill>
        </w:rPr>
      </w:pPr>
      <w:r>
        <w:rPr>
          <w:rFonts w:ascii="Times New Roman" w:hAnsi="Times New Roman"/>
          <w:color w:val="000000" w:themeColor="text1"/>
          <w:sz w:val="24"/>
          <w:szCs w:val="24"/>
          <w:lang w:eastAsia="en-US"/>
          <w14:textFill>
            <w14:solidFill>
              <w14:schemeClr w14:val="tx1"/>
            </w14:solidFill>
          </w14:textFill>
        </w:rPr>
        <w:t xml:space="preserve">Observar as </w:t>
      </w:r>
      <w:r>
        <w:rPr>
          <w:rFonts w:ascii="Times New Roman" w:hAnsi="Times New Roman"/>
          <w:color w:val="000000" w:themeColor="text1"/>
          <w:sz w:val="24"/>
          <w:szCs w:val="24"/>
          <w14:textFill>
            <w14:solidFill>
              <w14:schemeClr w14:val="tx1"/>
            </w14:solidFill>
          </w14:textFill>
        </w:rPr>
        <w:t>seguintes</w:t>
      </w:r>
      <w:r>
        <w:rPr>
          <w:rFonts w:ascii="Times New Roman" w:hAnsi="Times New Roman"/>
          <w:color w:val="000000" w:themeColor="text1"/>
          <w:sz w:val="24"/>
          <w:szCs w:val="24"/>
          <w:lang w:eastAsia="en-US"/>
          <w14:textFill>
            <w14:solidFill>
              <w14:schemeClr w14:val="tx1"/>
            </w14:solidFill>
          </w14:textFill>
        </w:rPr>
        <w:t xml:space="preserve"> diretrizes de caráter ambiental:</w:t>
      </w:r>
    </w:p>
    <w:p w14:paraId="76B54783">
      <w:pPr>
        <w:pStyle w:val="88"/>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a) Qualquer</w:t>
      </w:r>
      <w:r>
        <w:rPr>
          <w:rFonts w:ascii="Times New Roman" w:hAnsi="Times New Roman" w:cs="Times New Roman"/>
          <w:color w:val="000000" w:themeColor="text1"/>
          <w:sz w:val="24"/>
          <w:szCs w:val="24"/>
          <w14:textFill>
            <w14:solidFill>
              <w14:schemeClr w14:val="tx1"/>
            </w14:solidFill>
          </w14:textFill>
        </w:rPr>
        <w:t xml:space="preserve"> instalação, equipamento ou processo, situado em local fixo, que</w:t>
      </w:r>
      <w:r>
        <w:rPr>
          <w:rFonts w:ascii="Times New Roman" w:hAnsi="Times New Roman" w:cs="Times New Roman"/>
          <w:color w:val="000000" w:themeColor="text1"/>
          <w:sz w:val="24"/>
          <w:szCs w:val="24"/>
          <w:lang w:eastAsia="en-US"/>
          <w14:textFill>
            <w14:solidFill>
              <w14:schemeClr w14:val="tx1"/>
            </w14:solidFill>
          </w14:textFill>
        </w:rPr>
        <w:t xml:space="preserve"> </w:t>
      </w:r>
      <w:r>
        <w:rPr>
          <w:rFonts w:ascii="Times New Roman" w:hAnsi="Times New Roman" w:cs="Times New Roman"/>
          <w:color w:val="000000" w:themeColor="text1"/>
          <w:sz w:val="24"/>
          <w:szCs w:val="24"/>
          <w14:textFill>
            <w14:solidFill>
              <w14:schemeClr w14:val="tx1"/>
            </w14:solidFill>
          </w14:textFill>
        </w:rPr>
        <w:t>libere</w:t>
      </w:r>
      <w:r>
        <w:rPr>
          <w:rFonts w:ascii="Times New Roman" w:hAnsi="Times New Roman" w:cs="Times New Roman"/>
          <w:color w:val="000000" w:themeColor="text1"/>
          <w:sz w:val="24"/>
          <w:szCs w:val="24"/>
          <w:lang w:eastAsia="en-US"/>
          <w14:textFill>
            <w14:solidFill>
              <w14:schemeClr w14:val="tx1"/>
            </w14:solidFill>
          </w14:textFill>
        </w:rPr>
        <w:t xml:space="preserve"> ou emita matéria para a atmosfera, por emissão pontual ou fugitiva, </w:t>
      </w:r>
      <w:r>
        <w:rPr>
          <w:rFonts w:ascii="Times New Roman" w:hAnsi="Times New Roman" w:cs="Times New Roman"/>
          <w:color w:val="000000" w:themeColor="text1"/>
          <w:sz w:val="24"/>
          <w:szCs w:val="24"/>
          <w14:textFill>
            <w14:solidFill>
              <w14:schemeClr w14:val="tx1"/>
            </w14:solidFill>
          </w14:textFill>
        </w:rPr>
        <w:t>utilizado</w:t>
      </w:r>
      <w:r>
        <w:rPr>
          <w:rFonts w:ascii="Times New Roman" w:hAnsi="Times New Roman" w:cs="Times New Roman"/>
          <w:color w:val="000000" w:themeColor="text1"/>
          <w:sz w:val="24"/>
          <w:szCs w:val="24"/>
          <w:lang w:eastAsia="en-US"/>
          <w14:textFill>
            <w14:solidFill>
              <w14:schemeClr w14:val="tx1"/>
            </w14:solidFill>
          </w14:textFill>
        </w:rPr>
        <w:t xml:space="preserve"> na execução contratual, deverá respeitar os limites máximos de emissão de poluentes admitidos na </w:t>
      </w:r>
      <w:r>
        <w:fldChar w:fldCharType="begin"/>
      </w:r>
      <w:r>
        <w:instrText xml:space="preserve"> HYPERLINK "http://www.ipaam.am.gov.br/wp-content/uploads/2021/01/Conama-382-Poluentes-atmosfericos.pdf" </w:instrText>
      </w:r>
      <w:r>
        <w:fldChar w:fldCharType="separate"/>
      </w:r>
      <w:r>
        <w:rPr>
          <w:rStyle w:val="17"/>
          <w:rFonts w:ascii="Times New Roman" w:hAnsi="Times New Roman" w:eastAsia="Calibri" w:cs="Times New Roman"/>
          <w:color w:val="000000" w:themeColor="text1"/>
          <w:sz w:val="24"/>
          <w:szCs w:val="24"/>
          <w:lang w:eastAsia="en-US"/>
          <w14:textFill>
            <w14:solidFill>
              <w14:schemeClr w14:val="tx1"/>
            </w14:solidFill>
          </w14:textFill>
        </w:rPr>
        <w:t>Resolução CONAMA n° 382, de 26/12/2006</w:t>
      </w:r>
      <w:r>
        <w:rPr>
          <w:rStyle w:val="17"/>
          <w:rFonts w:ascii="Times New Roman" w:hAnsi="Times New Roman" w:eastAsia="Calibri" w:cs="Times New Roman"/>
          <w:color w:val="000000" w:themeColor="text1"/>
          <w:sz w:val="24"/>
          <w:szCs w:val="24"/>
          <w:lang w:eastAsia="en-US"/>
          <w14:textFill>
            <w14:solidFill>
              <w14:schemeClr w14:val="tx1"/>
            </w14:solidFill>
          </w14:textFill>
        </w:rPr>
        <w:fldChar w:fldCharType="end"/>
      </w:r>
      <w:r>
        <w:rPr>
          <w:rFonts w:ascii="Times New Roman" w:hAnsi="Times New Roman" w:cs="Times New Roman"/>
          <w:color w:val="000000" w:themeColor="text1"/>
          <w:sz w:val="24"/>
          <w:szCs w:val="24"/>
          <w:lang w:eastAsia="en-US"/>
          <w14:textFill>
            <w14:solidFill>
              <w14:schemeClr w14:val="tx1"/>
            </w14:solidFill>
          </w14:textFill>
        </w:rPr>
        <w:t>, e legislação correlata, de acordo com o poluente e o tipo de fonte.</w:t>
      </w:r>
    </w:p>
    <w:p w14:paraId="2385714A">
      <w:pPr>
        <w:pStyle w:val="88"/>
        <w:numPr>
          <w:ilvl w:val="0"/>
          <w:numId w:val="0"/>
        </w:numPr>
        <w:spacing w:before="72" w:beforeLines="30" w:after="72" w:afterLines="30" w:line="240" w:lineRule="auto"/>
        <w:rPr>
          <w:rFonts w:ascii="Times New Roman" w:hAnsi="Times New Roman" w:cs="Times New Roman"/>
          <w:color w:val="000000" w:themeColor="text1"/>
          <w:sz w:val="24"/>
          <w:szCs w:val="24"/>
          <w:lang w:eastAsia="en-US"/>
          <w14:textFill>
            <w14:solidFill>
              <w14:schemeClr w14:val="tx1"/>
            </w14:solidFill>
          </w14:textFill>
        </w:rPr>
      </w:pPr>
      <w:r>
        <w:rPr>
          <w:rFonts w:ascii="Times New Roman" w:hAnsi="Times New Roman" w:cs="Times New Roman"/>
          <w:color w:val="000000" w:themeColor="text1"/>
          <w:sz w:val="24"/>
          <w:szCs w:val="24"/>
          <w:lang w:eastAsia="en-US"/>
          <w14:textFill>
            <w14:solidFill>
              <w14:schemeClr w14:val="tx1"/>
            </w14:solidFill>
          </w14:textFill>
        </w:rPr>
        <w:t xml:space="preserve">b) Na execução contratual, conforme o caso, a emissão de ruídos não poderá ultrapassar os níveis </w:t>
      </w:r>
      <w:r>
        <w:rPr>
          <w:rFonts w:ascii="Times New Roman" w:hAnsi="Times New Roman" w:cs="Times New Roman"/>
          <w:color w:val="000000" w:themeColor="text1"/>
          <w:sz w:val="24"/>
          <w:szCs w:val="24"/>
          <w14:textFill>
            <w14:solidFill>
              <w14:schemeClr w14:val="tx1"/>
            </w14:solidFill>
          </w14:textFill>
        </w:rPr>
        <w:t>considerados</w:t>
      </w:r>
      <w:r>
        <w:rPr>
          <w:rFonts w:ascii="Times New Roman" w:hAnsi="Times New Roman" w:cs="Times New Roman"/>
          <w:color w:val="000000" w:themeColor="text1"/>
          <w:sz w:val="24"/>
          <w:szCs w:val="24"/>
          <w:lang w:eastAsia="en-US"/>
          <w14:textFill>
            <w14:solidFill>
              <w14:schemeClr w14:val="tx1"/>
            </w14:solidFill>
          </w14:textFill>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r>
        <w:fldChar w:fldCharType="begin"/>
      </w:r>
      <w:r>
        <w:instrText xml:space="preserve"> HYPERLINK "http://www.ibama.gov.br/sophia/cnia/legislacao/MMA/RE0001-080390.PDF"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Resolução CONAMA n° 01, de 08/03/90</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lang w:eastAsia="en-US"/>
          <w14:textFill>
            <w14:solidFill>
              <w14:schemeClr w14:val="tx1"/>
            </w14:solidFill>
          </w14:textFill>
        </w:rPr>
        <w:t>, e legislação correlata.</w:t>
      </w:r>
    </w:p>
    <w:p w14:paraId="5157F1BC">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c) Nos termos do </w:t>
      </w:r>
      <w:r>
        <w:fldChar w:fldCharType="begin"/>
      </w:r>
      <w:r>
        <w:instrText xml:space="preserve"> HYPERLINK "https://www.gov.br/compras/pt-br/acesso-a-informacao/legislacao/instrucoes-normativas/instrucao-normativa-no-01-de-19-de-janeiro-de-2010" </w:instrText>
      </w:r>
      <w:r>
        <w:fldChar w:fldCharType="separate"/>
      </w:r>
      <w:r>
        <w:rPr>
          <w:rStyle w:val="17"/>
          <w:rFonts w:ascii="Times New Roman" w:hAnsi="Times New Roman"/>
          <w:color w:val="000000" w:themeColor="text1"/>
          <w:sz w:val="24"/>
          <w:szCs w:val="24"/>
          <w14:textFill>
            <w14:solidFill>
              <w14:schemeClr w14:val="tx1"/>
            </w14:solidFill>
          </w14:textFill>
        </w:rPr>
        <w:t>artigo 4°, § 3°, da Instrução Normativa SLTI/MP n° 1, de 19/01/2010</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35E1889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9.1.41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284129A0">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9.1.42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66E697C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9.1.43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75946B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76F9E43E">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DÉCIMA- OBRIGAÇÕES PERTINENTES À LGPD</w:t>
      </w:r>
    </w:p>
    <w:p w14:paraId="6BB60699">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10.1 As partes deverão cumprir a </w:t>
      </w:r>
      <w:r>
        <w:fldChar w:fldCharType="begin"/>
      </w:r>
      <w:r>
        <w:instrText xml:space="preserve"> HYPERLINK "https://www.planalto.gov.br/ccivil_03/_ato2015-2018/2018/lei/l13709.htm" </w:instrText>
      </w:r>
      <w:r>
        <w:fldChar w:fldCharType="separate"/>
      </w:r>
      <w:r>
        <w:rPr>
          <w:rStyle w:val="17"/>
          <w:rFonts w:ascii="Times New Roman" w:hAnsi="Times New Roman" w:cs="Times New Roman"/>
          <w:i w:val="0"/>
          <w:iCs w:val="0"/>
          <w:color w:val="000000" w:themeColor="text1"/>
          <w:sz w:val="24"/>
          <w:szCs w:val="24"/>
          <w14:textFill>
            <w14:solidFill>
              <w14:schemeClr w14:val="tx1"/>
            </w14:solidFill>
          </w14:textFill>
        </w:rPr>
        <w:t>Lei nº 13.709, de 14 de agosto de 2018 (LGPD)</w:t>
      </w:r>
      <w:r>
        <w:rPr>
          <w:rStyle w:val="17"/>
          <w:rFonts w:ascii="Times New Roman" w:hAnsi="Times New Roman" w:cs="Times New Roman"/>
          <w:i w:val="0"/>
          <w:iCs w:val="0"/>
          <w:color w:val="000000" w:themeColor="text1"/>
          <w:sz w:val="24"/>
          <w:szCs w:val="24"/>
          <w14:textFill>
            <w14:solidFill>
              <w14:schemeClr w14:val="tx1"/>
            </w14:solidFill>
          </w14:textFill>
        </w:rPr>
        <w:fldChar w:fldCharType="end"/>
      </w:r>
      <w:r>
        <w:rPr>
          <w:rFonts w:ascii="Times New Roman" w:hAnsi="Times New Roman" w:cs="Times New Roman"/>
          <w:i w:val="0"/>
          <w:iCs w:val="0"/>
          <w:color w:val="000000" w:themeColor="text1"/>
          <w:sz w:val="24"/>
          <w:szCs w:val="24"/>
          <w14:textFill>
            <w14:solidFill>
              <w14:schemeClr w14:val="tx1"/>
            </w14:solidFill>
          </w14:textFill>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12800F6">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10.2 Os dados obtidos somente poderão ser utilizados para as finalidades que justificaram seu acesso e de acordo com a boa-fé e com os princípios do </w:t>
      </w:r>
      <w:r>
        <w:fldChar w:fldCharType="begin"/>
      </w:r>
      <w:r>
        <w:instrText xml:space="preserve"> HYPERLINK "https://www.planalto.gov.br/ccivil_03/_ato2015-2018/2018/lei/l13709.htm" \l "art6" </w:instrText>
      </w:r>
      <w:r>
        <w:fldChar w:fldCharType="separate"/>
      </w:r>
      <w:r>
        <w:rPr>
          <w:rStyle w:val="17"/>
          <w:rFonts w:ascii="Times New Roman" w:hAnsi="Times New Roman" w:cs="Times New Roman"/>
          <w:i w:val="0"/>
          <w:iCs w:val="0"/>
          <w:color w:val="000000" w:themeColor="text1"/>
          <w:sz w:val="24"/>
          <w:szCs w:val="24"/>
          <w14:textFill>
            <w14:solidFill>
              <w14:schemeClr w14:val="tx1"/>
            </w14:solidFill>
          </w14:textFill>
        </w:rPr>
        <w:t>art. 6º da LGPD</w:t>
      </w:r>
      <w:r>
        <w:rPr>
          <w:rStyle w:val="17"/>
          <w:rFonts w:ascii="Times New Roman" w:hAnsi="Times New Roman" w:cs="Times New Roman"/>
          <w:i w:val="0"/>
          <w:iCs w:val="0"/>
          <w:color w:val="000000" w:themeColor="text1"/>
          <w:sz w:val="24"/>
          <w:szCs w:val="24"/>
          <w14:textFill>
            <w14:solidFill>
              <w14:schemeClr w14:val="tx1"/>
            </w14:solidFill>
          </w14:textFill>
        </w:rPr>
        <w:fldChar w:fldCharType="end"/>
      </w:r>
      <w:r>
        <w:rPr>
          <w:rFonts w:ascii="Times New Roman" w:hAnsi="Times New Roman" w:cs="Times New Roman"/>
          <w:i w:val="0"/>
          <w:iCs w:val="0"/>
          <w:color w:val="000000" w:themeColor="text1"/>
          <w:sz w:val="24"/>
          <w:szCs w:val="24"/>
          <w14:textFill>
            <w14:solidFill>
              <w14:schemeClr w14:val="tx1"/>
            </w14:solidFill>
          </w14:textFill>
        </w:rPr>
        <w:t xml:space="preserve">. </w:t>
      </w:r>
    </w:p>
    <w:p w14:paraId="36B9AE11">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10.3 É vedado o compartilhamento com terceiros dos dados obtidos fora das hipóteses permitidas em Lei.</w:t>
      </w:r>
    </w:p>
    <w:p w14:paraId="0C578DB5">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10.4 A Administração deverá ser informada no prazo de 5 (cinco) dias úteis sobre todos os contratos de suboperação firmados ou que venham a ser celebrados pelo Contratado. </w:t>
      </w:r>
    </w:p>
    <w:p w14:paraId="15E40FD4">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10.5 Terminado o tratamento dos dados nos termos do </w:t>
      </w:r>
      <w:r>
        <w:fldChar w:fldCharType="begin"/>
      </w:r>
      <w:r>
        <w:instrText xml:space="preserve"> HYPERLINK "https://www.planalto.gov.br/ccivil_03/_ato2015-2018/2018/lei/l13709.htm" \l "art15" </w:instrText>
      </w:r>
      <w:r>
        <w:fldChar w:fldCharType="separate"/>
      </w:r>
      <w:r>
        <w:rPr>
          <w:rStyle w:val="17"/>
          <w:rFonts w:ascii="Times New Roman" w:hAnsi="Times New Roman" w:cs="Times New Roman"/>
          <w:i w:val="0"/>
          <w:iCs w:val="0"/>
          <w:color w:val="000000" w:themeColor="text1"/>
          <w:sz w:val="24"/>
          <w:szCs w:val="24"/>
          <w14:textFill>
            <w14:solidFill>
              <w14:schemeClr w14:val="tx1"/>
            </w14:solidFill>
          </w14:textFill>
        </w:rPr>
        <w:t>art. 15 da LGPD</w:t>
      </w:r>
      <w:r>
        <w:rPr>
          <w:rStyle w:val="17"/>
          <w:rFonts w:ascii="Times New Roman" w:hAnsi="Times New Roman" w:cs="Times New Roman"/>
          <w:i w:val="0"/>
          <w:iCs w:val="0"/>
          <w:color w:val="000000" w:themeColor="text1"/>
          <w:sz w:val="24"/>
          <w:szCs w:val="24"/>
          <w14:textFill>
            <w14:solidFill>
              <w14:schemeClr w14:val="tx1"/>
            </w14:solidFill>
          </w14:textFill>
        </w:rPr>
        <w:fldChar w:fldCharType="end"/>
      </w:r>
      <w:r>
        <w:rPr>
          <w:rFonts w:ascii="Times New Roman" w:hAnsi="Times New Roman" w:cs="Times New Roman"/>
          <w:i w:val="0"/>
          <w:iCs w:val="0"/>
          <w:color w:val="000000" w:themeColor="text1"/>
          <w:sz w:val="24"/>
          <w:szCs w:val="24"/>
          <w14:textFill>
            <w14:solidFill>
              <w14:schemeClr w14:val="tx1"/>
            </w14:solidFill>
          </w14:textFill>
        </w:rPr>
        <w:t xml:space="preserve">, é dever do contratado eliminá-los, com exceção das hipóteses do </w:t>
      </w:r>
      <w:r>
        <w:fldChar w:fldCharType="begin"/>
      </w:r>
      <w:r>
        <w:instrText xml:space="preserve"> HYPERLINK "https://www.planalto.gov.br/ccivil_03/_ato2015-2018/2018/lei/l13709.htm" \l "art16" </w:instrText>
      </w:r>
      <w:r>
        <w:fldChar w:fldCharType="separate"/>
      </w:r>
      <w:r>
        <w:rPr>
          <w:rStyle w:val="17"/>
          <w:rFonts w:ascii="Times New Roman" w:hAnsi="Times New Roman" w:cs="Times New Roman"/>
          <w:i w:val="0"/>
          <w:iCs w:val="0"/>
          <w:color w:val="000000" w:themeColor="text1"/>
          <w:sz w:val="24"/>
          <w:szCs w:val="24"/>
          <w14:textFill>
            <w14:solidFill>
              <w14:schemeClr w14:val="tx1"/>
            </w14:solidFill>
          </w14:textFill>
        </w:rPr>
        <w:t>art. 16 da LGPD</w:t>
      </w:r>
      <w:r>
        <w:rPr>
          <w:rStyle w:val="17"/>
          <w:rFonts w:ascii="Times New Roman" w:hAnsi="Times New Roman" w:cs="Times New Roman"/>
          <w:i w:val="0"/>
          <w:iCs w:val="0"/>
          <w:color w:val="000000" w:themeColor="text1"/>
          <w:sz w:val="24"/>
          <w:szCs w:val="24"/>
          <w14:textFill>
            <w14:solidFill>
              <w14:schemeClr w14:val="tx1"/>
            </w14:solidFill>
          </w14:textFill>
        </w:rPr>
        <w:fldChar w:fldCharType="end"/>
      </w:r>
      <w:r>
        <w:rPr>
          <w:rFonts w:ascii="Times New Roman" w:hAnsi="Times New Roman" w:cs="Times New Roman"/>
          <w:i w:val="0"/>
          <w:iCs w:val="0"/>
          <w:color w:val="000000" w:themeColor="text1"/>
          <w:sz w:val="24"/>
          <w:szCs w:val="24"/>
          <w14:textFill>
            <w14:solidFill>
              <w14:schemeClr w14:val="tx1"/>
            </w14:solidFill>
          </w14:textFill>
        </w:rPr>
        <w:t xml:space="preserve">, incluindo aquelas em que houver necessidade de guarda de documentação para fins de comprovação do cumprimento de obrigações legais ou contratuais e somente enquanto não prescritas essas obrigações. </w:t>
      </w:r>
    </w:p>
    <w:p w14:paraId="693FFEE5">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10.6 É dever do contratado orientar e treinar seus empregados sobre os deveres, requisitos e responsabilidades decorrentes da LGPD. </w:t>
      </w:r>
    </w:p>
    <w:p w14:paraId="572290F3">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10.7 O Contratado deverá exigir de suboperadores e subcontratados o cumprimento dos deveres da presente cláusula, permanecendo integralmente responsável por garantir sua observância.</w:t>
      </w:r>
    </w:p>
    <w:p w14:paraId="641F9A7C">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10.8 O Contratante poderá realizar diligência para aferir o cumprimento dessa cláusula, devendo o Contratado atender prontamente eventuais pedidos de comprovação formulados. </w:t>
      </w:r>
    </w:p>
    <w:p w14:paraId="2B766994">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10.9 O Contratado deverá prestar, no prazo fixado pelo Contratante, prorrogável justificadamente, quaisquer informações acerca dos dados pessoais para cumprimento da LGPD, inclusive quanto a eventual descarte realizado. </w:t>
      </w:r>
    </w:p>
    <w:p w14:paraId="78BD2722">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10.10 Bancos de dados formados a partir de contratos administrativos, notadamente aqueles que se proponham a armazenar dados pessoais, devem ser mantidos em ambiente virtual controlado, com registro individual rastreável de tratamentos realizados (</w:t>
      </w:r>
      <w:r>
        <w:fldChar w:fldCharType="begin"/>
      </w:r>
      <w:r>
        <w:instrText xml:space="preserve"> HYPERLINK "https://www.planalto.gov.br/ccivil_03/_ato2015-2018/2018/lei/l13709.htm" </w:instrText>
      </w:r>
      <w:r>
        <w:fldChar w:fldCharType="separate"/>
      </w:r>
      <w:r>
        <w:rPr>
          <w:rStyle w:val="17"/>
          <w:rFonts w:ascii="Times New Roman" w:hAnsi="Times New Roman" w:cs="Times New Roman"/>
          <w:i w:val="0"/>
          <w:iCs w:val="0"/>
          <w:color w:val="000000" w:themeColor="text1"/>
          <w:sz w:val="24"/>
          <w:szCs w:val="24"/>
          <w14:textFill>
            <w14:solidFill>
              <w14:schemeClr w14:val="tx1"/>
            </w14:solidFill>
          </w14:textFill>
        </w:rPr>
        <w:t>LGPD, art. 37</w:t>
      </w:r>
      <w:r>
        <w:rPr>
          <w:rStyle w:val="17"/>
          <w:rFonts w:ascii="Times New Roman" w:hAnsi="Times New Roman" w:cs="Times New Roman"/>
          <w:i w:val="0"/>
          <w:iCs w:val="0"/>
          <w:color w:val="000000" w:themeColor="text1"/>
          <w:sz w:val="24"/>
          <w:szCs w:val="24"/>
          <w14:textFill>
            <w14:solidFill>
              <w14:schemeClr w14:val="tx1"/>
            </w14:solidFill>
          </w14:textFill>
        </w:rPr>
        <w:fldChar w:fldCharType="end"/>
      </w:r>
      <w:r>
        <w:rPr>
          <w:rFonts w:ascii="Times New Roman" w:hAnsi="Times New Roman" w:cs="Times New Roman"/>
          <w:i w:val="0"/>
          <w:iCs w:val="0"/>
          <w:color w:val="000000" w:themeColor="text1"/>
          <w:sz w:val="24"/>
          <w:szCs w:val="24"/>
          <w14:textFill>
            <w14:solidFill>
              <w14:schemeClr w14:val="tx1"/>
            </w14:solidFill>
          </w14:textFill>
        </w:rPr>
        <w:t>), com cada acesso, data, horário e registro da finalidade, para efeito de responsabilização, em caso de eventuais omissões, desvios ou abusos.</w:t>
      </w:r>
    </w:p>
    <w:p w14:paraId="0B93316D">
      <w:pPr>
        <w:pStyle w:val="224"/>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10.10.1 Os referidos bancos de dados devem ser desenvolvidos em formato interoperável, a fim de garantir a reutilização desses dados pela Administração nas hipóteses previstas na LGPD.</w:t>
      </w:r>
    </w:p>
    <w:p w14:paraId="28DBCFA2">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10.11 O contrato está sujeito a ser alterado nos procedimentos pertinentes ao tratamento de dados pessoais, quando indicado pela autoridade competente, em especial a ANPD por meio de opiniões técnicas ou recomendações, editadas na forma da LGPD.</w:t>
      </w:r>
    </w:p>
    <w:p w14:paraId="13B933B3">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p>
    <w:p w14:paraId="43011632">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DÉCIMA PRIMEIRA – GARANTIA DE EXECUÇÃO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XII</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1BBD5089">
      <w:pPr>
        <w:pStyle w:val="86"/>
        <w:numPr>
          <w:ilvl w:val="0"/>
          <w:numId w:val="0"/>
        </w:numPr>
        <w:spacing w:before="30" w:after="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11.1. O contratado está ciente</w:t>
      </w:r>
      <w:r>
        <w:rPr>
          <w:rFonts w:ascii="Times New Roman" w:hAnsi="Times New Roman"/>
          <w:bCs/>
          <w:color w:val="000000" w:themeColor="text1"/>
          <w:sz w:val="24"/>
          <w:szCs w:val="24"/>
          <w14:textFill>
            <w14:solidFill>
              <w14:schemeClr w14:val="tx1"/>
            </w14:solidFill>
          </w14:textFill>
        </w:rPr>
        <w:t>,</w:t>
      </w:r>
      <w:r>
        <w:rPr>
          <w:rFonts w:ascii="Times New Roman" w:hAnsi="Times New Roman"/>
          <w:color w:val="000000" w:themeColor="text1"/>
          <w:sz w:val="24"/>
          <w:szCs w:val="24"/>
          <w14:textFill>
            <w14:solidFill>
              <w14:schemeClr w14:val="tx1"/>
            </w14:solidFill>
          </w14:textFill>
        </w:rPr>
        <w:t xml:space="preserve"> </w:t>
      </w:r>
      <w:r>
        <w:rPr>
          <w:rFonts w:ascii="Times New Roman" w:hAnsi="Times New Roman"/>
          <w:color w:val="000000" w:themeColor="text1"/>
          <w:w w:val="95"/>
          <w:sz w:val="24"/>
          <w:szCs w:val="24"/>
          <w14:textFill>
            <w14:solidFill>
              <w14:schemeClr w14:val="tx1"/>
            </w14:solidFill>
          </w14:textFill>
        </w:rPr>
        <w:t>que</w:t>
      </w:r>
      <w:r>
        <w:rPr>
          <w:rFonts w:ascii="Times New Roman" w:hAnsi="Times New Roman"/>
          <w:color w:val="000000" w:themeColor="text1"/>
          <w:sz w:val="24"/>
          <w:szCs w:val="24"/>
          <w14:textFill>
            <w14:solidFill>
              <w14:schemeClr w14:val="tx1"/>
            </w14:solidFill>
          </w14:textFill>
        </w:rPr>
        <w:t xml:space="preserve"> será exigida a garantia da contratação de que tratam os artigos 96 e seguintes da Lei nº 14.133, de 2021, no percentual e condições descritos abaixo:</w:t>
      </w:r>
    </w:p>
    <w:p w14:paraId="48C75F7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a) </w:t>
      </w:r>
      <w:r>
        <w:rPr>
          <w:rFonts w:ascii="Times New Roman" w:hAnsi="Times New Roman"/>
          <w:b/>
          <w:bCs/>
          <w:color w:val="000000" w:themeColor="text1"/>
          <w:sz w:val="24"/>
          <w:szCs w:val="24"/>
          <w14:textFill>
            <w14:solidFill>
              <w14:schemeClr w14:val="tx1"/>
            </w14:solidFill>
          </w14:textFill>
        </w:rPr>
        <w:t>5% (cinco por cento) do valor inicial do contrato</w:t>
      </w:r>
      <w:r>
        <w:rPr>
          <w:rFonts w:ascii="Times New Roman" w:hAnsi="Times New Roman"/>
          <w:color w:val="000000" w:themeColor="text1"/>
          <w:sz w:val="24"/>
          <w:szCs w:val="24"/>
          <w14:textFill>
            <w14:solidFill>
              <w14:schemeClr w14:val="tx1"/>
            </w14:solidFill>
          </w14:textFill>
        </w:rPr>
        <w:t>, conforme Art. 98 da Lei nº 14.133, de 2021;</w:t>
      </w:r>
    </w:p>
    <w:p w14:paraId="23A69EA5">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b) deverá ser acrescido do valor equivalente à diferença entre 85% do valor orçado pela Administração e o valor da proposta vencedora, nos termos do art. 59, § 5º, da lei nº 14.133, de 2021.</w:t>
      </w:r>
    </w:p>
    <w:p w14:paraId="4A20D2D1">
      <w:pPr>
        <w:pStyle w:val="376"/>
        <w:spacing w:before="30" w:after="30" w:line="240" w:lineRule="auto"/>
        <w:rPr>
          <w:rFonts w:ascii="Times New Roman" w:hAnsi="Times New Roman" w:cs="Times New Roman" w:eastAsiaTheme="minorEastAsia"/>
          <w:b w:val="0"/>
          <w:bCs w:val="0"/>
          <w:color w:val="000000" w:themeColor="text1"/>
          <w:sz w:val="24"/>
          <w:szCs w:val="24"/>
          <w:lang w:eastAsia="en-US"/>
          <w14:textFill>
            <w14:solidFill>
              <w14:schemeClr w14:val="tx1"/>
            </w14:solidFill>
          </w14:textFill>
        </w:rPr>
      </w:pPr>
      <w:r>
        <w:rPr>
          <w:rFonts w:ascii="Times New Roman" w:hAnsi="Times New Roman" w:cs="Times New Roman" w:eastAsiaTheme="minorEastAsia"/>
          <w:b w:val="0"/>
          <w:bCs w:val="0"/>
          <w:color w:val="000000" w:themeColor="text1"/>
          <w:sz w:val="24"/>
          <w:szCs w:val="24"/>
          <w:lang w:eastAsia="en-US"/>
          <w14:textFill>
            <w14:solidFill>
              <w14:schemeClr w14:val="tx1"/>
            </w14:solidFill>
          </w14:textFill>
        </w:rPr>
        <w:t xml:space="preserve">11.2 </w:t>
      </w:r>
      <w:r>
        <w:rPr>
          <w:rFonts w:ascii="Times New Roman" w:hAnsi="Times New Roman" w:cs="Times New Roman"/>
          <w:b w:val="0"/>
          <w:bCs w:val="0"/>
          <w:color w:val="000000" w:themeColor="text1"/>
          <w:sz w:val="24"/>
          <w:szCs w:val="24"/>
          <w14:textFill>
            <w14:solidFill>
              <w14:schemeClr w14:val="tx1"/>
            </w14:solidFill>
          </w14:textFill>
        </w:rPr>
        <w:t>Caberá ao contratado optar por uma das seguintes modalidades de garantia:</w:t>
      </w:r>
    </w:p>
    <w:p w14:paraId="68448293">
      <w:pPr>
        <w:pStyle w:val="28"/>
        <w:spacing w:before="30" w:beforeAutospacing="0" w:after="30" w:afterAutospacing="0"/>
        <w:jc w:val="both"/>
        <w:rPr>
          <w:color w:val="000000" w:themeColor="text1"/>
          <w14:textFill>
            <w14:solidFill>
              <w14:schemeClr w14:val="tx1"/>
            </w14:solidFill>
          </w14:textFill>
        </w:rPr>
      </w:pPr>
      <w:r>
        <w:rPr>
          <w:color w:val="000000" w:themeColor="text1"/>
          <w14:textFill>
            <w14:solidFill>
              <w14:schemeClr w14:val="tx1"/>
            </w14:solidFill>
          </w14:textFill>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7523BC3">
      <w:pPr>
        <w:pStyle w:val="28"/>
        <w:spacing w:before="30" w:beforeAutospacing="0" w:after="30" w:afterAutospacing="0"/>
        <w:jc w:val="both"/>
        <w:rPr>
          <w:color w:val="000000" w:themeColor="text1"/>
          <w14:textFill>
            <w14:solidFill>
              <w14:schemeClr w14:val="tx1"/>
            </w14:solidFill>
          </w14:textFill>
        </w:rPr>
      </w:pPr>
      <w:r>
        <w:rPr>
          <w:color w:val="000000" w:themeColor="text1"/>
          <w14:textFill>
            <w14:solidFill>
              <w14:schemeClr w14:val="tx1"/>
            </w14:solidFill>
          </w14:textFill>
        </w:rPr>
        <w:t>II - Seguro-garantia;</w:t>
      </w:r>
    </w:p>
    <w:p w14:paraId="18CB7312">
      <w:pPr>
        <w:pStyle w:val="28"/>
        <w:spacing w:before="30" w:beforeAutospacing="0" w:after="30" w:afterAutospacing="0"/>
        <w:jc w:val="both"/>
        <w:rPr>
          <w:color w:val="000000" w:themeColor="text1"/>
          <w14:textFill>
            <w14:solidFill>
              <w14:schemeClr w14:val="tx1"/>
            </w14:solidFill>
          </w14:textFill>
        </w:rPr>
      </w:pPr>
      <w:r>
        <w:rPr>
          <w:color w:val="000000" w:themeColor="text1"/>
          <w14:textFill>
            <w14:solidFill>
              <w14:schemeClr w14:val="tx1"/>
            </w14:solidFill>
          </w14:textFill>
        </w:rPr>
        <w:t>III - Fiança bancária emitida por banco ou instituição financeira devidamente autorizada a operar no País pelo Banco Central do Brasil;</w:t>
      </w:r>
    </w:p>
    <w:p w14:paraId="500A3B1A">
      <w:pPr>
        <w:pStyle w:val="28"/>
        <w:spacing w:before="30" w:beforeAutospacing="0" w:after="30" w:afterAutospacing="0"/>
        <w:jc w:val="both"/>
        <w:rPr>
          <w:color w:val="000000" w:themeColor="text1"/>
          <w14:textFill>
            <w14:solidFill>
              <w14:schemeClr w14:val="tx1"/>
            </w14:solidFill>
          </w14:textFill>
        </w:rPr>
      </w:pPr>
      <w:r>
        <w:rPr>
          <w:color w:val="000000" w:themeColor="text1"/>
          <w14:textFill>
            <w14:solidFill>
              <w14:schemeClr w14:val="tx1"/>
            </w14:solidFill>
          </w14:textFill>
        </w:rPr>
        <w:t xml:space="preserve">IV - Título de capitalização custeado por pagamento único, com resgate pelo valor total. </w:t>
      </w:r>
      <w:r>
        <w:fldChar w:fldCharType="begin"/>
      </w:r>
      <w:r>
        <w:instrText xml:space="preserve"> HYPERLINK "https://www.planalto.gov.br/ccivil_03/_Ato2023-2026/2023/Lei/L14770.htm" \l "art1" </w:instrText>
      </w:r>
      <w:r>
        <w:fldChar w:fldCharType="separate"/>
      </w:r>
      <w:r>
        <w:rPr>
          <w:rStyle w:val="17"/>
          <w:color w:val="000000" w:themeColor="text1"/>
          <w14:textFill>
            <w14:solidFill>
              <w14:schemeClr w14:val="tx1"/>
            </w14:solidFill>
          </w14:textFill>
        </w:rPr>
        <w:t>(Incluído pela Lei nº 14.770, de 2023)</w:t>
      </w:r>
      <w:r>
        <w:rPr>
          <w:rStyle w:val="17"/>
          <w:color w:val="000000" w:themeColor="text1"/>
          <w14:textFill>
            <w14:solidFill>
              <w14:schemeClr w14:val="tx1"/>
            </w14:solidFill>
          </w14:textFill>
        </w:rPr>
        <w:fldChar w:fldCharType="end"/>
      </w:r>
      <w:r>
        <w:rPr>
          <w:color w:val="000000" w:themeColor="text1"/>
          <w14:textFill>
            <w14:solidFill>
              <w14:schemeClr w14:val="tx1"/>
            </w14:solidFill>
          </w14:textFill>
        </w:rPr>
        <w:t>.</w:t>
      </w:r>
    </w:p>
    <w:p w14:paraId="338A2BD0">
      <w:pPr>
        <w:pStyle w:val="376"/>
        <w:spacing w:before="30" w:after="30" w:line="240" w:lineRule="auto"/>
        <w:rPr>
          <w:rFonts w:ascii="Times New Roman" w:hAnsi="Times New Roman" w:cs="Times New Roman" w:eastAsiaTheme="minorEastAsia"/>
          <w:b w:val="0"/>
          <w:bCs w:val="0"/>
          <w:color w:val="000000" w:themeColor="text1"/>
          <w:sz w:val="24"/>
          <w:szCs w:val="24"/>
          <w:lang w:eastAsia="en-US"/>
          <w14:textFill>
            <w14:solidFill>
              <w14:schemeClr w14:val="tx1"/>
            </w14:solidFill>
          </w14:textFill>
        </w:rPr>
      </w:pPr>
      <w:r>
        <w:rPr>
          <w:rFonts w:ascii="Times New Roman" w:hAnsi="Times New Roman" w:cs="Times New Roman" w:eastAsiaTheme="minorEastAsia"/>
          <w:b w:val="0"/>
          <w:bCs w:val="0"/>
          <w:color w:val="000000" w:themeColor="text1"/>
          <w:sz w:val="24"/>
          <w:szCs w:val="24"/>
          <w:lang w:eastAsia="en-US"/>
          <w14:textFill>
            <w14:solidFill>
              <w14:schemeClr w14:val="tx1"/>
            </w14:solidFill>
          </w14:textFill>
        </w:rPr>
        <w:t>11.2.1 A garantia, nas modalidades caução e fiança bancária, deverá ser prestada em até 10 (dez) dias úteis após a assinatura do contrato.</w:t>
      </w:r>
    </w:p>
    <w:p w14:paraId="56BF9C75">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11.2.3 Em caso opção pelo seguro-garantia, a parte adjudicatária deverá apresentá-la, no máximo, até a data de assinatura do contrato, no prazo máximo de 30 dias após a publicação da homologação.</w:t>
      </w:r>
    </w:p>
    <w:p w14:paraId="0FE222CD">
      <w:pPr>
        <w:pStyle w:val="55"/>
        <w:widowControl w:val="0"/>
        <w:suppressAutoHyphens w:val="0"/>
        <w:autoSpaceDE w:val="0"/>
        <w:autoSpaceDN w:val="0"/>
        <w:ind w:left="0" w:right="-1"/>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11.2.4  Caso utilizada a modalidade</w:t>
      </w:r>
      <w:r>
        <w:rPr>
          <w:color w:val="000000" w:themeColor="text1"/>
          <w:spacing w:val="1"/>
          <w:szCs w:val="24"/>
          <w14:textFill>
            <w14:solidFill>
              <w14:schemeClr w14:val="tx1"/>
            </w14:solidFill>
          </w14:textFill>
        </w:rPr>
        <w:t xml:space="preserve"> </w:t>
      </w:r>
      <w:r>
        <w:rPr>
          <w:color w:val="000000" w:themeColor="text1"/>
          <w:szCs w:val="24"/>
          <w14:textFill>
            <w14:solidFill>
              <w14:schemeClr w14:val="tx1"/>
            </w14:solidFill>
          </w14:textFill>
        </w:rPr>
        <w:t>de</w:t>
      </w:r>
      <w:r>
        <w:rPr>
          <w:color w:val="000000" w:themeColor="text1"/>
          <w:spacing w:val="1"/>
          <w:szCs w:val="24"/>
          <w14:textFill>
            <w14:solidFill>
              <w14:schemeClr w14:val="tx1"/>
            </w14:solidFill>
          </w14:textFill>
        </w:rPr>
        <w:t xml:space="preserve"> </w:t>
      </w:r>
      <w:r>
        <w:rPr>
          <w:color w:val="000000" w:themeColor="text1"/>
          <w:szCs w:val="24"/>
          <w14:textFill>
            <w14:solidFill>
              <w14:schemeClr w14:val="tx1"/>
            </w14:solidFill>
          </w14:textFill>
        </w:rPr>
        <w:t>seguro-garantia, a apólice</w:t>
      </w:r>
      <w:r>
        <w:rPr>
          <w:color w:val="000000" w:themeColor="text1"/>
          <w:spacing w:val="1"/>
          <w:szCs w:val="24"/>
          <w14:textFill>
            <w14:solidFill>
              <w14:schemeClr w14:val="tx1"/>
            </w14:solidFill>
          </w14:textFill>
        </w:rPr>
        <w:t xml:space="preserve"> </w:t>
      </w:r>
      <w:r>
        <w:rPr>
          <w:color w:val="000000" w:themeColor="text1"/>
          <w:szCs w:val="24"/>
          <w14:textFill>
            <w14:solidFill>
              <w14:schemeClr w14:val="tx1"/>
            </w14:solidFill>
          </w14:textFill>
        </w:rPr>
        <w:t>deverá ter</w:t>
      </w:r>
      <w:r>
        <w:rPr>
          <w:color w:val="000000" w:themeColor="text1"/>
          <w:spacing w:val="1"/>
          <w:szCs w:val="24"/>
          <w14:textFill>
            <w14:solidFill>
              <w14:schemeClr w14:val="tx1"/>
            </w14:solidFill>
          </w14:textFill>
        </w:rPr>
        <w:t xml:space="preserve"> </w:t>
      </w:r>
      <w:r>
        <w:rPr>
          <w:color w:val="000000" w:themeColor="text1"/>
          <w:szCs w:val="24"/>
          <w14:textFill>
            <w14:solidFill>
              <w14:schemeClr w14:val="tx1"/>
            </w14:solidFill>
          </w14:textFill>
        </w:rPr>
        <w:t>validade</w:t>
      </w:r>
      <w:r>
        <w:rPr>
          <w:color w:val="000000" w:themeColor="text1"/>
          <w:spacing w:val="-14"/>
          <w:szCs w:val="24"/>
          <w14:textFill>
            <w14:solidFill>
              <w14:schemeClr w14:val="tx1"/>
            </w14:solidFill>
          </w14:textFill>
        </w:rPr>
        <w:t xml:space="preserve"> </w:t>
      </w:r>
      <w:r>
        <w:rPr>
          <w:color w:val="000000" w:themeColor="text1"/>
          <w:szCs w:val="24"/>
          <w14:textFill>
            <w14:solidFill>
              <w14:schemeClr w14:val="tx1"/>
            </w14:solidFill>
          </w14:textFill>
        </w:rPr>
        <w:t>durante</w:t>
      </w:r>
      <w:r>
        <w:rPr>
          <w:color w:val="000000" w:themeColor="text1"/>
          <w:spacing w:val="-17"/>
          <w:szCs w:val="24"/>
          <w14:textFill>
            <w14:solidFill>
              <w14:schemeClr w14:val="tx1"/>
            </w14:solidFill>
          </w14:textFill>
        </w:rPr>
        <w:t xml:space="preserve"> </w:t>
      </w:r>
      <w:r>
        <w:rPr>
          <w:color w:val="000000" w:themeColor="text1"/>
          <w:szCs w:val="24"/>
          <w14:textFill>
            <w14:solidFill>
              <w14:schemeClr w14:val="tx1"/>
            </w14:solidFill>
          </w14:textFill>
        </w:rPr>
        <w:t>a</w:t>
      </w:r>
      <w:r>
        <w:rPr>
          <w:color w:val="000000" w:themeColor="text1"/>
          <w:spacing w:val="-15"/>
          <w:szCs w:val="24"/>
          <w14:textFill>
            <w14:solidFill>
              <w14:schemeClr w14:val="tx1"/>
            </w14:solidFill>
          </w14:textFill>
        </w:rPr>
        <w:t xml:space="preserve"> </w:t>
      </w:r>
      <w:r>
        <w:rPr>
          <w:color w:val="000000" w:themeColor="text1"/>
          <w:szCs w:val="24"/>
          <w14:textFill>
            <w14:solidFill>
              <w14:schemeClr w14:val="tx1"/>
            </w14:solidFill>
          </w14:textFill>
        </w:rPr>
        <w:t>vigência</w:t>
      </w:r>
      <w:r>
        <w:rPr>
          <w:color w:val="000000" w:themeColor="text1"/>
          <w:spacing w:val="-15"/>
          <w:szCs w:val="24"/>
          <w14:textFill>
            <w14:solidFill>
              <w14:schemeClr w14:val="tx1"/>
            </w14:solidFill>
          </w14:textFill>
        </w:rPr>
        <w:t xml:space="preserve"> </w:t>
      </w:r>
      <w:r>
        <w:rPr>
          <w:color w:val="000000" w:themeColor="text1"/>
          <w:szCs w:val="24"/>
          <w14:textFill>
            <w14:solidFill>
              <w14:schemeClr w14:val="tx1"/>
            </w14:solidFill>
          </w14:textFill>
        </w:rPr>
        <w:t>do</w:t>
      </w:r>
      <w:r>
        <w:rPr>
          <w:color w:val="000000" w:themeColor="text1"/>
          <w:spacing w:val="-12"/>
          <w:szCs w:val="24"/>
          <w14:textFill>
            <w14:solidFill>
              <w14:schemeClr w14:val="tx1"/>
            </w14:solidFill>
          </w14:textFill>
        </w:rPr>
        <w:t xml:space="preserve"> </w:t>
      </w:r>
      <w:r>
        <w:rPr>
          <w:color w:val="000000" w:themeColor="text1"/>
          <w:szCs w:val="24"/>
          <w14:textFill>
            <w14:solidFill>
              <w14:schemeClr w14:val="tx1"/>
            </w14:solidFill>
          </w14:textFill>
        </w:rPr>
        <w:t>contrato</w:t>
      </w:r>
      <w:r>
        <w:rPr>
          <w:color w:val="000000" w:themeColor="text1"/>
          <w:spacing w:val="-13"/>
          <w:szCs w:val="24"/>
          <w14:textFill>
            <w14:solidFill>
              <w14:schemeClr w14:val="tx1"/>
            </w14:solidFill>
          </w14:textFill>
        </w:rPr>
        <w:t xml:space="preserve"> </w:t>
      </w:r>
      <w:r>
        <w:rPr>
          <w:color w:val="000000" w:themeColor="text1"/>
          <w:szCs w:val="24"/>
          <w14:textFill>
            <w14:solidFill>
              <w14:schemeClr w14:val="tx1"/>
            </w14:solidFill>
          </w14:textFill>
        </w:rPr>
        <w:t>e</w:t>
      </w:r>
      <w:r>
        <w:rPr>
          <w:color w:val="000000" w:themeColor="text1"/>
          <w:spacing w:val="-17"/>
          <w:szCs w:val="24"/>
          <w14:textFill>
            <w14:solidFill>
              <w14:schemeClr w14:val="tx1"/>
            </w14:solidFill>
          </w14:textFill>
        </w:rPr>
        <w:t xml:space="preserve"> </w:t>
      </w:r>
      <w:r>
        <w:rPr>
          <w:color w:val="000000" w:themeColor="text1"/>
          <w:szCs w:val="24"/>
          <w14:textFill>
            <w14:solidFill>
              <w14:schemeClr w14:val="tx1"/>
            </w14:solidFill>
          </w14:textFill>
        </w:rPr>
        <w:t>por</w:t>
      </w:r>
      <w:r>
        <w:rPr>
          <w:color w:val="000000" w:themeColor="text1"/>
          <w:spacing w:val="-16"/>
          <w:szCs w:val="24"/>
          <w14:textFill>
            <w14:solidFill>
              <w14:schemeClr w14:val="tx1"/>
            </w14:solidFill>
          </w14:textFill>
        </w:rPr>
        <w:t xml:space="preserve"> </w:t>
      </w:r>
      <w:r>
        <w:rPr>
          <w:color w:val="000000" w:themeColor="text1"/>
          <w:szCs w:val="24"/>
          <w14:textFill>
            <w14:solidFill>
              <w14:schemeClr w14:val="tx1"/>
            </w14:solidFill>
          </w14:textFill>
        </w:rPr>
        <w:t>mais</w:t>
      </w:r>
      <w:r>
        <w:rPr>
          <w:color w:val="000000" w:themeColor="text1"/>
          <w:spacing w:val="-15"/>
          <w:szCs w:val="24"/>
          <w14:textFill>
            <w14:solidFill>
              <w14:schemeClr w14:val="tx1"/>
            </w14:solidFill>
          </w14:textFill>
        </w:rPr>
        <w:t xml:space="preserve"> </w:t>
      </w:r>
      <w:r>
        <w:rPr>
          <w:color w:val="000000" w:themeColor="text1"/>
          <w:szCs w:val="24"/>
          <w14:textFill>
            <w14:solidFill>
              <w14:schemeClr w14:val="tx1"/>
            </w14:solidFill>
          </w14:textFill>
        </w:rPr>
        <w:t>90</w:t>
      </w:r>
      <w:r>
        <w:rPr>
          <w:color w:val="000000" w:themeColor="text1"/>
          <w:spacing w:val="-17"/>
          <w:szCs w:val="24"/>
          <w14:textFill>
            <w14:solidFill>
              <w14:schemeClr w14:val="tx1"/>
            </w14:solidFill>
          </w14:textFill>
        </w:rPr>
        <w:t xml:space="preserve"> </w:t>
      </w:r>
      <w:r>
        <w:rPr>
          <w:color w:val="000000" w:themeColor="text1"/>
          <w:szCs w:val="24"/>
          <w14:textFill>
            <w14:solidFill>
              <w14:schemeClr w14:val="tx1"/>
            </w14:solidFill>
          </w14:textFill>
        </w:rPr>
        <w:t>(noventa)</w:t>
      </w:r>
      <w:r>
        <w:rPr>
          <w:color w:val="000000" w:themeColor="text1"/>
          <w:spacing w:val="-15"/>
          <w:szCs w:val="24"/>
          <w14:textFill>
            <w14:solidFill>
              <w14:schemeClr w14:val="tx1"/>
            </w14:solidFill>
          </w14:textFill>
        </w:rPr>
        <w:t xml:space="preserve"> </w:t>
      </w:r>
      <w:r>
        <w:rPr>
          <w:color w:val="000000" w:themeColor="text1"/>
          <w:szCs w:val="24"/>
          <w14:textFill>
            <w14:solidFill>
              <w14:schemeClr w14:val="tx1"/>
            </w14:solidFill>
          </w14:textFill>
        </w:rPr>
        <w:t>dias</w:t>
      </w:r>
      <w:r>
        <w:rPr>
          <w:color w:val="000000" w:themeColor="text1"/>
          <w:spacing w:val="-17"/>
          <w:szCs w:val="24"/>
          <w14:textFill>
            <w14:solidFill>
              <w14:schemeClr w14:val="tx1"/>
            </w14:solidFill>
          </w14:textFill>
        </w:rPr>
        <w:t xml:space="preserve"> </w:t>
      </w:r>
      <w:r>
        <w:rPr>
          <w:color w:val="000000" w:themeColor="text1"/>
          <w:szCs w:val="24"/>
          <w14:textFill>
            <w14:solidFill>
              <w14:schemeClr w14:val="tx1"/>
            </w14:solidFill>
          </w14:textFill>
        </w:rPr>
        <w:t>após</w:t>
      </w:r>
      <w:r>
        <w:rPr>
          <w:color w:val="000000" w:themeColor="text1"/>
          <w:spacing w:val="-16"/>
          <w:szCs w:val="24"/>
          <w14:textFill>
            <w14:solidFill>
              <w14:schemeClr w14:val="tx1"/>
            </w14:solidFill>
          </w14:textFill>
        </w:rPr>
        <w:t xml:space="preserve"> </w:t>
      </w:r>
      <w:r>
        <w:rPr>
          <w:color w:val="000000" w:themeColor="text1"/>
          <w:szCs w:val="24"/>
          <w14:textFill>
            <w14:solidFill>
              <w14:schemeClr w14:val="tx1"/>
            </w14:solidFill>
          </w14:textFill>
        </w:rPr>
        <w:t>término</w:t>
      </w:r>
      <w:r>
        <w:rPr>
          <w:color w:val="000000" w:themeColor="text1"/>
          <w:spacing w:val="-71"/>
          <w:szCs w:val="24"/>
          <w14:textFill>
            <w14:solidFill>
              <w14:schemeClr w14:val="tx1"/>
            </w14:solidFill>
          </w14:textFill>
        </w:rPr>
        <w:t xml:space="preserve">         </w:t>
      </w:r>
      <w:r>
        <w:rPr>
          <w:color w:val="000000" w:themeColor="text1"/>
          <w:szCs w:val="24"/>
          <w14:textFill>
            <w14:solidFill>
              <w14:schemeClr w14:val="tx1"/>
            </w14:solidFill>
          </w14:textFill>
        </w:rPr>
        <w:t xml:space="preserve"> deste prazo de vigência, permanecendo em vigor</w:t>
      </w:r>
      <w:r>
        <w:rPr>
          <w:color w:val="000000" w:themeColor="text1"/>
          <w:spacing w:val="1"/>
          <w:szCs w:val="24"/>
          <w14:textFill>
            <w14:solidFill>
              <w14:schemeClr w14:val="tx1"/>
            </w14:solidFill>
          </w14:textFill>
        </w:rPr>
        <w:t xml:space="preserve"> </w:t>
      </w:r>
      <w:r>
        <w:rPr>
          <w:color w:val="000000" w:themeColor="text1"/>
          <w:szCs w:val="24"/>
          <w14:textFill>
            <w14:solidFill>
              <w14:schemeClr w14:val="tx1"/>
            </w14:solidFill>
          </w14:textFill>
        </w:rPr>
        <w:t>mesmo que o contratado não</w:t>
      </w:r>
      <w:r>
        <w:rPr>
          <w:color w:val="000000" w:themeColor="text1"/>
          <w:spacing w:val="1"/>
          <w:szCs w:val="24"/>
          <w14:textFill>
            <w14:solidFill>
              <w14:schemeClr w14:val="tx1"/>
            </w14:solidFill>
          </w14:textFill>
        </w:rPr>
        <w:t xml:space="preserve"> </w:t>
      </w:r>
      <w:r>
        <w:rPr>
          <w:color w:val="000000" w:themeColor="text1"/>
          <w:szCs w:val="24"/>
          <w14:textFill>
            <w14:solidFill>
              <w14:schemeClr w14:val="tx1"/>
            </w14:solidFill>
          </w14:textFill>
        </w:rPr>
        <w:t>pague</w:t>
      </w:r>
      <w:r>
        <w:rPr>
          <w:color w:val="000000" w:themeColor="text1"/>
          <w:spacing w:val="-17"/>
          <w:szCs w:val="24"/>
          <w14:textFill>
            <w14:solidFill>
              <w14:schemeClr w14:val="tx1"/>
            </w14:solidFill>
          </w14:textFill>
        </w:rPr>
        <w:t xml:space="preserve"> </w:t>
      </w:r>
      <w:r>
        <w:rPr>
          <w:color w:val="000000" w:themeColor="text1"/>
          <w:szCs w:val="24"/>
          <w14:textFill>
            <w14:solidFill>
              <w14:schemeClr w14:val="tx1"/>
            </w14:solidFill>
          </w14:textFill>
        </w:rPr>
        <w:t>o</w:t>
      </w:r>
      <w:r>
        <w:rPr>
          <w:color w:val="000000" w:themeColor="text1"/>
          <w:spacing w:val="-15"/>
          <w:szCs w:val="24"/>
          <w14:textFill>
            <w14:solidFill>
              <w14:schemeClr w14:val="tx1"/>
            </w14:solidFill>
          </w14:textFill>
        </w:rPr>
        <w:t xml:space="preserve"> </w:t>
      </w:r>
      <w:r>
        <w:rPr>
          <w:color w:val="000000" w:themeColor="text1"/>
          <w:szCs w:val="24"/>
          <w14:textFill>
            <w14:solidFill>
              <w14:schemeClr w14:val="tx1"/>
            </w14:solidFill>
          </w14:textFill>
        </w:rPr>
        <w:t>prêmio</w:t>
      </w:r>
      <w:r>
        <w:rPr>
          <w:color w:val="000000" w:themeColor="text1"/>
          <w:spacing w:val="-15"/>
          <w:szCs w:val="24"/>
          <w14:textFill>
            <w14:solidFill>
              <w14:schemeClr w14:val="tx1"/>
            </w14:solidFill>
          </w14:textFill>
        </w:rPr>
        <w:t xml:space="preserve"> </w:t>
      </w:r>
      <w:r>
        <w:rPr>
          <w:color w:val="000000" w:themeColor="text1"/>
          <w:szCs w:val="24"/>
          <w14:textFill>
            <w14:solidFill>
              <w14:schemeClr w14:val="tx1"/>
            </w14:solidFill>
          </w14:textFill>
        </w:rPr>
        <w:t>nas</w:t>
      </w:r>
      <w:r>
        <w:rPr>
          <w:color w:val="000000" w:themeColor="text1"/>
          <w:spacing w:val="-15"/>
          <w:szCs w:val="24"/>
          <w14:textFill>
            <w14:solidFill>
              <w14:schemeClr w14:val="tx1"/>
            </w14:solidFill>
          </w14:textFill>
        </w:rPr>
        <w:t xml:space="preserve"> </w:t>
      </w:r>
      <w:r>
        <w:rPr>
          <w:color w:val="000000" w:themeColor="text1"/>
          <w:szCs w:val="24"/>
          <w14:textFill>
            <w14:solidFill>
              <w14:schemeClr w14:val="tx1"/>
            </w14:solidFill>
          </w14:textFill>
        </w:rPr>
        <w:t>datas</w:t>
      </w:r>
      <w:r>
        <w:rPr>
          <w:color w:val="000000" w:themeColor="text1"/>
          <w:spacing w:val="-18"/>
          <w:szCs w:val="24"/>
          <w14:textFill>
            <w14:solidFill>
              <w14:schemeClr w14:val="tx1"/>
            </w14:solidFill>
          </w14:textFill>
        </w:rPr>
        <w:t xml:space="preserve"> </w:t>
      </w:r>
      <w:r>
        <w:rPr>
          <w:color w:val="000000" w:themeColor="text1"/>
          <w:szCs w:val="24"/>
          <w14:textFill>
            <w14:solidFill>
              <w14:schemeClr w14:val="tx1"/>
            </w14:solidFill>
          </w14:textFill>
        </w:rPr>
        <w:t>convencionadas.</w:t>
      </w:r>
    </w:p>
    <w:p w14:paraId="715DD455">
      <w:pPr>
        <w:pStyle w:val="55"/>
        <w:widowControl w:val="0"/>
        <w:suppressAutoHyphens w:val="0"/>
        <w:autoSpaceDE w:val="0"/>
        <w:autoSpaceDN w:val="0"/>
        <w:ind w:left="0" w:right="-1"/>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11.2.5 A</w:t>
      </w:r>
      <w:r>
        <w:rPr>
          <w:color w:val="000000" w:themeColor="text1"/>
          <w:spacing w:val="-23"/>
          <w:szCs w:val="24"/>
          <w14:textFill>
            <w14:solidFill>
              <w14:schemeClr w14:val="tx1"/>
            </w14:solidFill>
          </w14:textFill>
        </w:rPr>
        <w:t xml:space="preserve"> </w:t>
      </w:r>
      <w:r>
        <w:rPr>
          <w:color w:val="000000" w:themeColor="text1"/>
          <w:szCs w:val="24"/>
          <w14:textFill>
            <w14:solidFill>
              <w14:schemeClr w14:val="tx1"/>
            </w14:solidFill>
          </w14:textFill>
        </w:rPr>
        <w:t>apólice</w:t>
      </w:r>
      <w:r>
        <w:rPr>
          <w:color w:val="000000" w:themeColor="text1"/>
          <w:spacing w:val="-20"/>
          <w:szCs w:val="24"/>
          <w14:textFill>
            <w14:solidFill>
              <w14:schemeClr w14:val="tx1"/>
            </w14:solidFill>
          </w14:textFill>
        </w:rPr>
        <w:t xml:space="preserve"> </w:t>
      </w:r>
      <w:r>
        <w:rPr>
          <w:color w:val="000000" w:themeColor="text1"/>
          <w:szCs w:val="24"/>
          <w14:textFill>
            <w14:solidFill>
              <w14:schemeClr w14:val="tx1"/>
            </w14:solidFill>
          </w14:textFill>
        </w:rPr>
        <w:t>do</w:t>
      </w:r>
      <w:r>
        <w:rPr>
          <w:color w:val="000000" w:themeColor="text1"/>
          <w:spacing w:val="-21"/>
          <w:szCs w:val="24"/>
          <w14:textFill>
            <w14:solidFill>
              <w14:schemeClr w14:val="tx1"/>
            </w14:solidFill>
          </w14:textFill>
        </w:rPr>
        <w:t xml:space="preserve"> </w:t>
      </w:r>
      <w:r>
        <w:rPr>
          <w:color w:val="000000" w:themeColor="text1"/>
          <w:szCs w:val="24"/>
          <w14:textFill>
            <w14:solidFill>
              <w14:schemeClr w14:val="tx1"/>
            </w14:solidFill>
          </w14:textFill>
        </w:rPr>
        <w:t>seguro</w:t>
      </w:r>
      <w:r>
        <w:rPr>
          <w:color w:val="000000" w:themeColor="text1"/>
          <w:spacing w:val="-22"/>
          <w:szCs w:val="24"/>
          <w14:textFill>
            <w14:solidFill>
              <w14:schemeClr w14:val="tx1"/>
            </w14:solidFill>
          </w14:textFill>
        </w:rPr>
        <w:t xml:space="preserve"> </w:t>
      </w:r>
      <w:r>
        <w:rPr>
          <w:color w:val="000000" w:themeColor="text1"/>
          <w:szCs w:val="24"/>
          <w14:textFill>
            <w14:solidFill>
              <w14:schemeClr w14:val="tx1"/>
            </w14:solidFill>
          </w14:textFill>
        </w:rPr>
        <w:t>garantia</w:t>
      </w:r>
      <w:r>
        <w:rPr>
          <w:color w:val="000000" w:themeColor="text1"/>
          <w:spacing w:val="-21"/>
          <w:szCs w:val="24"/>
          <w14:textFill>
            <w14:solidFill>
              <w14:schemeClr w14:val="tx1"/>
            </w14:solidFill>
          </w14:textFill>
        </w:rPr>
        <w:t xml:space="preserve"> </w:t>
      </w:r>
      <w:r>
        <w:rPr>
          <w:color w:val="000000" w:themeColor="text1"/>
          <w:szCs w:val="24"/>
          <w14:textFill>
            <w14:solidFill>
              <w14:schemeClr w14:val="tx1"/>
            </w14:solidFill>
          </w14:textFill>
        </w:rPr>
        <w:t>deverá</w:t>
      </w:r>
      <w:r>
        <w:rPr>
          <w:color w:val="000000" w:themeColor="text1"/>
          <w:spacing w:val="-21"/>
          <w:szCs w:val="24"/>
          <w14:textFill>
            <w14:solidFill>
              <w14:schemeClr w14:val="tx1"/>
            </w14:solidFill>
          </w14:textFill>
        </w:rPr>
        <w:t xml:space="preserve"> </w:t>
      </w:r>
      <w:r>
        <w:rPr>
          <w:color w:val="000000" w:themeColor="text1"/>
          <w:szCs w:val="24"/>
          <w14:textFill>
            <w14:solidFill>
              <w14:schemeClr w14:val="tx1"/>
            </w14:solidFill>
          </w14:textFill>
        </w:rPr>
        <w:t>acompanhar</w:t>
      </w:r>
      <w:r>
        <w:rPr>
          <w:color w:val="000000" w:themeColor="text1"/>
          <w:spacing w:val="-18"/>
          <w:szCs w:val="24"/>
          <w14:textFill>
            <w14:solidFill>
              <w14:schemeClr w14:val="tx1"/>
            </w14:solidFill>
          </w14:textFill>
        </w:rPr>
        <w:t xml:space="preserve"> </w:t>
      </w:r>
      <w:r>
        <w:rPr>
          <w:color w:val="000000" w:themeColor="text1"/>
          <w:szCs w:val="24"/>
          <w14:textFill>
            <w14:solidFill>
              <w14:schemeClr w14:val="tx1"/>
            </w14:solidFill>
          </w14:textFill>
        </w:rPr>
        <w:t>as</w:t>
      </w:r>
      <w:r>
        <w:rPr>
          <w:color w:val="000000" w:themeColor="text1"/>
          <w:spacing w:val="-25"/>
          <w:szCs w:val="24"/>
          <w14:textFill>
            <w14:solidFill>
              <w14:schemeClr w14:val="tx1"/>
            </w14:solidFill>
          </w14:textFill>
        </w:rPr>
        <w:t xml:space="preserve"> </w:t>
      </w:r>
      <w:r>
        <w:rPr>
          <w:color w:val="000000" w:themeColor="text1"/>
          <w:szCs w:val="24"/>
          <w14:textFill>
            <w14:solidFill>
              <w14:schemeClr w14:val="tx1"/>
            </w14:solidFill>
          </w14:textFill>
        </w:rPr>
        <w:t>modificações</w:t>
      </w:r>
      <w:r>
        <w:rPr>
          <w:color w:val="000000" w:themeColor="text1"/>
          <w:spacing w:val="-24"/>
          <w:szCs w:val="24"/>
          <w14:textFill>
            <w14:solidFill>
              <w14:schemeClr w14:val="tx1"/>
            </w14:solidFill>
          </w14:textFill>
        </w:rPr>
        <w:t xml:space="preserve"> </w:t>
      </w:r>
      <w:r>
        <w:rPr>
          <w:color w:val="000000" w:themeColor="text1"/>
          <w:szCs w:val="24"/>
          <w14:textFill>
            <w14:solidFill>
              <w14:schemeClr w14:val="tx1"/>
            </w14:solidFill>
          </w14:textFill>
        </w:rPr>
        <w:t xml:space="preserve">referentes </w:t>
      </w:r>
      <w:r>
        <w:rPr>
          <w:color w:val="000000" w:themeColor="text1"/>
          <w:spacing w:val="-72"/>
          <w:szCs w:val="24"/>
          <w14:textFill>
            <w14:solidFill>
              <w14:schemeClr w14:val="tx1"/>
            </w14:solidFill>
          </w14:textFill>
        </w:rPr>
        <w:t xml:space="preserve"> </w:t>
      </w:r>
      <w:r>
        <w:rPr>
          <w:color w:val="000000" w:themeColor="text1"/>
          <w:szCs w:val="24"/>
          <w14:textFill>
            <w14:solidFill>
              <w14:schemeClr w14:val="tx1"/>
            </w14:solidFill>
          </w14:textFill>
        </w:rPr>
        <w:t>à vigência do contrato principal mediante a emissão do respectivo endosso pela</w:t>
      </w:r>
      <w:r>
        <w:rPr>
          <w:color w:val="000000" w:themeColor="text1"/>
          <w:spacing w:val="1"/>
          <w:szCs w:val="24"/>
          <w14:textFill>
            <w14:solidFill>
              <w14:schemeClr w14:val="tx1"/>
            </w14:solidFill>
          </w14:textFill>
        </w:rPr>
        <w:t xml:space="preserve"> </w:t>
      </w:r>
      <w:r>
        <w:rPr>
          <w:color w:val="000000" w:themeColor="text1"/>
          <w:szCs w:val="24"/>
          <w14:textFill>
            <w14:solidFill>
              <w14:schemeClr w14:val="tx1"/>
            </w14:solidFill>
          </w14:textFill>
        </w:rPr>
        <w:t>seguradora.</w:t>
      </w:r>
    </w:p>
    <w:p w14:paraId="37A7B41F">
      <w:pPr>
        <w:pStyle w:val="223"/>
        <w:numPr>
          <w:ilvl w:val="0"/>
          <w:numId w:val="0"/>
        </w:numPr>
        <w:spacing w:before="72" w:beforeLines="30" w:after="72" w:afterLines="30" w:line="240" w:lineRule="auto"/>
        <w:ind w:right="-1"/>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11.2.6.</w:t>
      </w:r>
      <w:r>
        <w:rPr>
          <w:rFonts w:ascii="Times New Roman" w:hAnsi="Times New Roman" w:cs="Times New Roman"/>
          <w:i w:val="0"/>
          <w:iCs w:val="0"/>
          <w:color w:val="000000" w:themeColor="text1"/>
          <w:sz w:val="24"/>
          <w:szCs w:val="24"/>
          <w14:textFill>
            <w14:solidFill>
              <w14:schemeClr w14:val="tx1"/>
            </w14:solidFill>
          </w14:textFill>
        </w:rPr>
        <w:tab/>
      </w:r>
      <w:r>
        <w:rPr>
          <w:rFonts w:ascii="Times New Roman" w:hAnsi="Times New Roman" w:cs="Times New Roman"/>
          <w:i w:val="0"/>
          <w:iCs w:val="0"/>
          <w:color w:val="000000" w:themeColor="text1"/>
          <w:sz w:val="24"/>
          <w:szCs w:val="24"/>
          <w14:textFill>
            <w14:solidFill>
              <w14:schemeClr w14:val="tx1"/>
            </w14:solidFill>
          </w14:textFill>
        </w:rPr>
        <w:t>Será permitida a substituição da apólice de seguro-garantia na data de renovação ou de aniversário, desde que mantidas as condições e coberturas da apólice vigente e nenhum período fique descoberto, ressalvado o disposto no item 11.3 deste contrato.</w:t>
      </w:r>
    </w:p>
    <w:p w14:paraId="37B5CAD3">
      <w:pPr>
        <w:pStyle w:val="223"/>
        <w:numPr>
          <w:ilvl w:val="0"/>
          <w:numId w:val="0"/>
        </w:numPr>
        <w:spacing w:before="72" w:beforeLines="30" w:after="72" w:afterLines="30" w:line="240" w:lineRule="auto"/>
        <w:ind w:right="-1"/>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11.3 Na hipótese de suspensão do contrato por ordem ou inadimplemento da Administração, o contratado ficará desobrigado de renovar a garantia ou de endossar a apólice de seguro até a ordem de reinício da execução ou o adimplemento pela Administração.</w:t>
      </w:r>
    </w:p>
    <w:p w14:paraId="5432D805">
      <w:pPr>
        <w:pStyle w:val="223"/>
        <w:numPr>
          <w:ilvl w:val="0"/>
          <w:numId w:val="0"/>
        </w:numPr>
        <w:spacing w:before="72" w:beforeLines="30" w:after="72" w:afterLines="30" w:line="240" w:lineRule="auto"/>
        <w:ind w:right="-1"/>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11.4.</w:t>
      </w:r>
      <w:r>
        <w:rPr>
          <w:rFonts w:ascii="Times New Roman" w:hAnsi="Times New Roman" w:cs="Times New Roman"/>
          <w:i w:val="0"/>
          <w:iCs w:val="0"/>
          <w:color w:val="000000" w:themeColor="text1"/>
          <w:sz w:val="24"/>
          <w:szCs w:val="24"/>
          <w14:textFill>
            <w14:solidFill>
              <w14:schemeClr w14:val="tx1"/>
            </w14:solidFill>
          </w14:textFill>
        </w:rPr>
        <w:tab/>
      </w:r>
      <w:r>
        <w:rPr>
          <w:rFonts w:ascii="Times New Roman" w:hAnsi="Times New Roman" w:cs="Times New Roman"/>
          <w:i w:val="0"/>
          <w:iCs w:val="0"/>
          <w:color w:val="000000" w:themeColor="text1"/>
          <w:sz w:val="24"/>
          <w:szCs w:val="24"/>
          <w14:textFill>
            <w14:solidFill>
              <w14:schemeClr w14:val="tx1"/>
            </w14:solidFill>
          </w14:textFill>
        </w:rPr>
        <w:t>A garantia assegurará, qualquer que seja a modalidade escolhida, o pagamento de:</w:t>
      </w:r>
    </w:p>
    <w:p w14:paraId="3D9609B7">
      <w:pPr>
        <w:pStyle w:val="223"/>
        <w:numPr>
          <w:ilvl w:val="0"/>
          <w:numId w:val="0"/>
        </w:numPr>
        <w:spacing w:before="72" w:beforeLines="30" w:after="72" w:afterLines="30" w:line="240" w:lineRule="auto"/>
        <w:ind w:right="-1"/>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a) Prejuízos advindos do não cumprimento do objeto do contrato e do não adimplemento das demais obrigações nele previstas;</w:t>
      </w:r>
    </w:p>
    <w:p w14:paraId="3FFF7969">
      <w:pPr>
        <w:pStyle w:val="223"/>
        <w:numPr>
          <w:ilvl w:val="0"/>
          <w:numId w:val="0"/>
        </w:numPr>
        <w:spacing w:before="72" w:beforeLines="30" w:after="72" w:afterLines="30" w:line="240" w:lineRule="auto"/>
        <w:ind w:right="-1"/>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b) Multas moratórias e punitivas aplicadas pela Administração à contratada; e</w:t>
      </w:r>
    </w:p>
    <w:p w14:paraId="46E1995F">
      <w:pPr>
        <w:pStyle w:val="223"/>
        <w:numPr>
          <w:ilvl w:val="0"/>
          <w:numId w:val="0"/>
        </w:numPr>
        <w:spacing w:before="72" w:beforeLines="30" w:after="72" w:afterLines="30" w:line="240" w:lineRule="auto"/>
        <w:ind w:right="-1"/>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c) Obrigações trabalhistas e previdenciárias de qualquer natureza e para com o FGTS, não adimplidas pelo contratado, quando couber.</w:t>
      </w:r>
    </w:p>
    <w:p w14:paraId="57C59E63">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11.5</w:t>
      </w:r>
      <w:r>
        <w:rPr>
          <w:rFonts w:ascii="Times New Roman" w:hAnsi="Times New Roman" w:cs="Times New Roman"/>
          <w:i w:val="0"/>
          <w:iCs w:val="0"/>
          <w:color w:val="000000" w:themeColor="text1"/>
          <w:sz w:val="24"/>
          <w:szCs w:val="24"/>
          <w14:textFill>
            <w14:solidFill>
              <w14:schemeClr w14:val="tx1"/>
            </w14:solidFill>
          </w14:textFill>
        </w:rPr>
        <w:tab/>
      </w:r>
      <w:r>
        <w:rPr>
          <w:rFonts w:ascii="Times New Roman" w:hAnsi="Times New Roman" w:cs="Times New Roman"/>
          <w:i w:val="0"/>
          <w:iCs w:val="0"/>
          <w:color w:val="000000" w:themeColor="text1"/>
          <w:sz w:val="24"/>
          <w:szCs w:val="24"/>
          <w14:textFill>
            <w14:solidFill>
              <w14:schemeClr w14:val="tx1"/>
            </w14:solidFill>
          </w14:textFill>
        </w:rPr>
        <w:t>A modalidade seguro-garantia somente será aceita se contemplar todos os eventos indicados no item 11.4, observada a legislação que rege a matéria.</w:t>
      </w:r>
    </w:p>
    <w:p w14:paraId="535A23BD">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11.6</w:t>
      </w:r>
      <w:r>
        <w:rPr>
          <w:rFonts w:ascii="Times New Roman" w:hAnsi="Times New Roman" w:cs="Times New Roman"/>
          <w:i w:val="0"/>
          <w:iCs w:val="0"/>
          <w:color w:val="000000" w:themeColor="text1"/>
          <w:sz w:val="24"/>
          <w:szCs w:val="24"/>
          <w14:textFill>
            <w14:solidFill>
              <w14:schemeClr w14:val="tx1"/>
            </w14:solidFill>
          </w14:textFill>
        </w:rPr>
        <w:tab/>
      </w:r>
      <w:r>
        <w:rPr>
          <w:rFonts w:ascii="Times New Roman" w:hAnsi="Times New Roman" w:cs="Times New Roman"/>
          <w:i w:val="0"/>
          <w:iCs w:val="0"/>
          <w:color w:val="000000" w:themeColor="text1"/>
          <w:sz w:val="24"/>
          <w:szCs w:val="24"/>
          <w14:textFill>
            <w14:solidFill>
              <w14:schemeClr w14:val="tx1"/>
            </w14:solidFill>
          </w14:textFill>
        </w:rPr>
        <w:t>A garantia em dinheiro deverá ser efetuada em favor do contratante, em conta específica, com correção monetária.</w:t>
      </w:r>
    </w:p>
    <w:p w14:paraId="4419F974">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11.8</w:t>
      </w:r>
      <w:r>
        <w:rPr>
          <w:rFonts w:ascii="Times New Roman" w:hAnsi="Times New Roman" w:cs="Times New Roman"/>
          <w:i w:val="0"/>
          <w:iCs w:val="0"/>
          <w:color w:val="000000" w:themeColor="text1"/>
          <w:sz w:val="24"/>
          <w:szCs w:val="24"/>
          <w14:textFill>
            <w14:solidFill>
              <w14:schemeClr w14:val="tx1"/>
            </w14:solidFill>
          </w14:textFill>
        </w:rPr>
        <w:tab/>
      </w:r>
      <w:r>
        <w:rPr>
          <w:rFonts w:ascii="Times New Roman" w:hAnsi="Times New Roman" w:cs="Times New Roman"/>
          <w:i w:val="0"/>
          <w:iCs w:val="0"/>
          <w:color w:val="000000" w:themeColor="text1"/>
          <w:sz w:val="24"/>
          <w:szCs w:val="24"/>
          <w14:textFill>
            <w14:solidFill>
              <w14:schemeClr w14:val="tx1"/>
            </w14:solidFill>
          </w14:textFill>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3383B148">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11.9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5E34DE56">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11.10. No caso de alteração do valor do contrato, ou prorrogação de sua vigência, a garantia deverá ser ajustada ou renovada, seguindo os mesmos parâmetros utilizados quando da contratação.</w:t>
      </w:r>
    </w:p>
    <w:p w14:paraId="2D427883">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11.11. Se o valor da garantia for utilizado total ou parcialmente em pagamento de qualquer obrigação, o Contratado obriga-se a fazer a respectiva reposição no prazo máximo de 10(dez) dias úteis, contados da data em que for notificada.</w:t>
      </w:r>
    </w:p>
    <w:p w14:paraId="6A160950">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11.12. O Contratante executará a garantia na forma prevista na legislação que rege a matéria.</w:t>
      </w:r>
    </w:p>
    <w:p w14:paraId="6A702617">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11.12.1. O emitente da garantia ofertada pelo contratado deverá ser notificado pelo contratante quanto ao início de processo administrativo para apuração de descumprimento de cláusulas contratuais (art. 137, § 4º, da Lei n.º 14.133, de 2021).</w:t>
      </w:r>
    </w:p>
    <w:p w14:paraId="6B722D00">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11.12.2.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16354161">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11.13. 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w:t>
      </w:r>
    </w:p>
    <w:p w14:paraId="1419DAC4">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11.14. A garantia somente será liberada ou restituída após a fiel execução do contrato ou após a sua extinção por culpa exclusiva da Administração e, quando em dinheiro, será atualizada monetariamente.</w:t>
      </w:r>
    </w:p>
    <w:p w14:paraId="3EEA5158">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11.15. O garantidor não é parte para figurar em processo administrativo instaurado pelo contratante com o objetivo de apurar prejuízos e/ou aplicar sanções à contratada.</w:t>
      </w:r>
    </w:p>
    <w:p w14:paraId="3E3F6307">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11.16. O contratado autoriza o contratante a reter, a qualquer tempo, a garantia, na forma prevista no Edital e neste Contrato.</w:t>
      </w:r>
    </w:p>
    <w:p w14:paraId="20C6D704">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11.17. A garantia de execução é independente de eventual garantia do produto ou serviço prevista especificamente no Projeto Básico/Termo de Referência.</w:t>
      </w:r>
    </w:p>
    <w:p w14:paraId="07337545">
      <w:pPr>
        <w:pStyle w:val="86"/>
        <w:numPr>
          <w:ilvl w:val="0"/>
          <w:numId w:val="0"/>
        </w:numPr>
        <w:spacing w:before="30" w:after="30" w:line="240" w:lineRule="auto"/>
        <w:rPr>
          <w:rFonts w:ascii="Times New Roman" w:hAnsi="Times New Roman"/>
          <w:color w:val="000000" w:themeColor="text1"/>
          <w:sz w:val="24"/>
          <w:szCs w:val="24"/>
          <w14:textFill>
            <w14:solidFill>
              <w14:schemeClr w14:val="tx1"/>
            </w14:solidFill>
          </w14:textFill>
        </w:rPr>
      </w:pPr>
    </w:p>
    <w:p w14:paraId="5C26901D">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DÉCIMA SEGUNDA – INFRAÇÕES E SANÇÕES ADMINISTRATIVAS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XIV</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4E737D4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12.1 Comete infração administrativa, nos termos da </w:t>
      </w:r>
      <w:r>
        <w:fldChar w:fldCharType="begin"/>
      </w:r>
      <w:r>
        <w:instrText xml:space="preserve"> HYPERLINK "http://www.planalto.gov.br/ccivil_03/_ato2019-2022/2021/lei/L14133.htm" </w:instrText>
      </w:r>
      <w:r>
        <w:fldChar w:fldCharType="separate"/>
      </w:r>
      <w:r>
        <w:rPr>
          <w:rStyle w:val="17"/>
          <w:rFonts w:ascii="Times New Roman" w:hAnsi="Times New Roman"/>
          <w:color w:val="000000" w:themeColor="text1"/>
          <w:sz w:val="24"/>
          <w:szCs w:val="24"/>
          <w14:textFill>
            <w14:solidFill>
              <w14:schemeClr w14:val="tx1"/>
            </w14:solidFill>
          </w14:textFill>
        </w:rPr>
        <w:t>Lei nº 14.133, de 2021</w:t>
      </w:r>
      <w:r>
        <w:rPr>
          <w:rStyle w:val="17"/>
          <w:rFonts w:ascii="Times New Roman" w:hAnsi="Times New Roman"/>
          <w:color w:val="000000" w:themeColor="text1"/>
          <w:sz w:val="24"/>
          <w:szCs w:val="24"/>
          <w14:textFill>
            <w14:solidFill>
              <w14:schemeClr w14:val="tx1"/>
            </w14:solidFill>
          </w14:textFill>
        </w:rPr>
        <w:fldChar w:fldCharType="end"/>
      </w:r>
      <w:r>
        <w:rPr>
          <w:rStyle w:val="17"/>
          <w:rFonts w:ascii="Times New Roman" w:hAnsi="Times New Roman"/>
          <w:color w:val="000000" w:themeColor="text1"/>
          <w:sz w:val="24"/>
          <w:szCs w:val="24"/>
          <w14:textFill>
            <w14:solidFill>
              <w14:schemeClr w14:val="tx1"/>
            </w14:solidFill>
          </w14:textFill>
        </w:rPr>
        <w:t xml:space="preserve"> e do Decreto Municipal n. 133/2024</w:t>
      </w:r>
      <w:r>
        <w:rPr>
          <w:rFonts w:ascii="Times New Roman" w:hAnsi="Times New Roman"/>
          <w:color w:val="000000" w:themeColor="text1"/>
          <w:sz w:val="24"/>
          <w:szCs w:val="24"/>
          <w14:textFill>
            <w14:solidFill>
              <w14:schemeClr w14:val="tx1"/>
            </w14:solidFill>
          </w14:textFill>
        </w:rPr>
        <w:t>, o contratado que:</w:t>
      </w:r>
    </w:p>
    <w:p w14:paraId="3F99F757">
      <w:pPr>
        <w:spacing w:before="72" w:beforeLines="30" w:after="72" w:afterLines="3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a) der causa à inexecução parcial do contrato;</w:t>
      </w:r>
    </w:p>
    <w:p w14:paraId="10B2A9B0">
      <w:pPr>
        <w:spacing w:before="72" w:beforeLines="30" w:after="72" w:afterLines="3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b) der causa à inexecução parcial do contrato que cause grave dano à Administração ou ao funcionamento dos serviços públicos ou ao interesse coletivo;</w:t>
      </w:r>
    </w:p>
    <w:p w14:paraId="312479B0">
      <w:pPr>
        <w:spacing w:before="72" w:beforeLines="30" w:after="72" w:afterLines="3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c) der causa à inexecução total do contrato;</w:t>
      </w:r>
    </w:p>
    <w:p w14:paraId="5F5D29FB">
      <w:pPr>
        <w:spacing w:before="72" w:beforeLines="30" w:after="72" w:afterLines="3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d) ensejar o retardamento da execução ou da entrega do objeto da contratação sem motivo justificado;</w:t>
      </w:r>
    </w:p>
    <w:p w14:paraId="1420623F">
      <w:pPr>
        <w:spacing w:before="72" w:beforeLines="30" w:after="72" w:afterLines="3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e) apresentar documentação falsa ou prestar declaração falsa durante a execução do contrato;</w:t>
      </w:r>
    </w:p>
    <w:p w14:paraId="3965B91E">
      <w:pPr>
        <w:spacing w:before="72" w:beforeLines="30" w:after="72" w:afterLines="3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f) praticar ato fraudulento na execução do contrato;</w:t>
      </w:r>
    </w:p>
    <w:p w14:paraId="0E7B9083">
      <w:pPr>
        <w:spacing w:before="72" w:beforeLines="30" w:after="72" w:afterLines="3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g) comportar-se de modo inidôneo ou cometer fraude de qualquer natureza;</w:t>
      </w:r>
    </w:p>
    <w:p w14:paraId="3563B88C">
      <w:pPr>
        <w:spacing w:before="72" w:beforeLines="30" w:after="72" w:afterLines="3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 xml:space="preserve">h) praticar ato lesivo previsto no </w:t>
      </w:r>
      <w:r>
        <w:fldChar w:fldCharType="begin"/>
      </w:r>
      <w:r>
        <w:instrText xml:space="preserve"> HYPERLINK "https://www.planalto.gov.br/ccivil_03/_ato2011-2014/2013/lei/l12846.htm" \l "art5" </w:instrText>
      </w:r>
      <w:r>
        <w:fldChar w:fldCharType="separate"/>
      </w:r>
      <w:r>
        <w:rPr>
          <w:rStyle w:val="17"/>
          <w:rFonts w:eastAsia="Arial"/>
          <w:color w:val="000000" w:themeColor="text1"/>
          <w:szCs w:val="24"/>
          <w14:textFill>
            <w14:solidFill>
              <w14:schemeClr w14:val="tx1"/>
            </w14:solidFill>
          </w14:textFill>
        </w:rPr>
        <w:t>art. 5º da Lei nº 12.846, de 1º de agosto de 2013</w:t>
      </w:r>
      <w:r>
        <w:rPr>
          <w:rStyle w:val="17"/>
          <w:rFonts w:eastAsia="Arial"/>
          <w:color w:val="000000" w:themeColor="text1"/>
          <w:szCs w:val="24"/>
          <w14:textFill>
            <w14:solidFill>
              <w14:schemeClr w14:val="tx1"/>
            </w14:solidFill>
          </w14:textFill>
        </w:rPr>
        <w:fldChar w:fldCharType="end"/>
      </w:r>
      <w:r>
        <w:rPr>
          <w:rFonts w:eastAsia="Arial"/>
          <w:color w:val="000000" w:themeColor="text1"/>
          <w:szCs w:val="24"/>
          <w14:textFill>
            <w14:solidFill>
              <w14:schemeClr w14:val="tx1"/>
            </w14:solidFill>
          </w14:textFill>
        </w:rPr>
        <w:t>.</w:t>
      </w:r>
    </w:p>
    <w:p w14:paraId="4DABAD39">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12.2 Serão aplicadas ao contratado que incorrer nas infrações acima descritas as seguintes sanções:</w:t>
      </w:r>
    </w:p>
    <w:p w14:paraId="4E213FCB">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b/>
          <w:bCs/>
          <w:color w:val="000000" w:themeColor="text1"/>
          <w:szCs w:val="24"/>
          <w14:textFill>
            <w14:solidFill>
              <w14:schemeClr w14:val="tx1"/>
            </w14:solidFill>
          </w14:textFill>
        </w:rPr>
        <w:t>i) Advertência</w:t>
      </w:r>
      <w:r>
        <w:rPr>
          <w:rFonts w:eastAsia="Arial"/>
          <w:color w:val="000000" w:themeColor="text1"/>
          <w:szCs w:val="24"/>
          <w14:textFill>
            <w14:solidFill>
              <w14:schemeClr w14:val="tx1"/>
            </w14:solidFill>
          </w14:textFill>
        </w:rPr>
        <w:t>, quando o contratado der causa à inexecução parcial do contrato, sempre que não se justificar a imposição de penalidade mais grave (</w:t>
      </w:r>
      <w:r>
        <w:fldChar w:fldCharType="begin"/>
      </w:r>
      <w:r>
        <w:instrText xml:space="preserve"> HYPERLINK "http://www.planalto.gov.br/ccivil_03/_ato2019-2022/2021/lei/L14133.htm" \l "art156§2" </w:instrText>
      </w:r>
      <w:r>
        <w:fldChar w:fldCharType="separate"/>
      </w:r>
      <w:r>
        <w:rPr>
          <w:rStyle w:val="17"/>
          <w:rFonts w:eastAsia="Arial"/>
          <w:color w:val="000000" w:themeColor="text1"/>
          <w:szCs w:val="24"/>
          <w14:textFill>
            <w14:solidFill>
              <w14:schemeClr w14:val="tx1"/>
            </w14:solidFill>
          </w14:textFill>
        </w:rPr>
        <w:t xml:space="preserve">art. 156, §2º, da </w:t>
      </w:r>
      <w:bookmarkStart w:id="50" w:name="_Hlk114504069"/>
      <w:r>
        <w:rPr>
          <w:rStyle w:val="17"/>
          <w:rFonts w:eastAsia="Arial"/>
          <w:color w:val="000000" w:themeColor="text1"/>
          <w:szCs w:val="24"/>
          <w14:textFill>
            <w14:solidFill>
              <w14:schemeClr w14:val="tx1"/>
            </w14:solidFill>
          </w14:textFill>
        </w:rPr>
        <w:t>Lei nº 14.133, de 2021</w:t>
      </w:r>
      <w:bookmarkEnd w:id="50"/>
      <w:r>
        <w:rPr>
          <w:rStyle w:val="17"/>
          <w:rFonts w:eastAsia="Arial"/>
          <w:color w:val="000000" w:themeColor="text1"/>
          <w:szCs w:val="24"/>
          <w14:textFill>
            <w14:solidFill>
              <w14:schemeClr w14:val="tx1"/>
            </w14:solidFill>
          </w14:textFill>
        </w:rPr>
        <w:fldChar w:fldCharType="end"/>
      </w:r>
      <w:r>
        <w:rPr>
          <w:rFonts w:eastAsia="Arial"/>
          <w:color w:val="000000" w:themeColor="text1"/>
          <w:szCs w:val="24"/>
          <w14:textFill>
            <w14:solidFill>
              <w14:schemeClr w14:val="tx1"/>
            </w14:solidFill>
          </w14:textFill>
        </w:rPr>
        <w:t>);</w:t>
      </w:r>
    </w:p>
    <w:p w14:paraId="6C9931A6">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b/>
          <w:bCs/>
          <w:color w:val="000000" w:themeColor="text1"/>
          <w:szCs w:val="24"/>
          <w14:textFill>
            <w14:solidFill>
              <w14:schemeClr w14:val="tx1"/>
            </w14:solidFill>
          </w14:textFill>
        </w:rPr>
        <w:t>ii) Impedimento de licitar e contratar</w:t>
      </w:r>
      <w:r>
        <w:rPr>
          <w:rFonts w:eastAsia="Arial"/>
          <w:color w:val="000000" w:themeColor="text1"/>
          <w:szCs w:val="24"/>
          <w14:textFill>
            <w14:solidFill>
              <w14:schemeClr w14:val="tx1"/>
            </w14:solidFill>
          </w14:textFill>
        </w:rPr>
        <w:t>, quando praticadas as condutas descritas nas alíneas “b”, “c” e “d” do subitem acima deste Contrato, sempre que não se justificar a imposição de penalidade mais grave (</w:t>
      </w:r>
      <w:r>
        <w:fldChar w:fldCharType="begin"/>
      </w:r>
      <w:r>
        <w:instrText xml:space="preserve"> HYPERLINK "http://www.planalto.gov.br/ccivil_03/_ato2019-2022/2021/lei/L14133.htm" \l "art156§4" </w:instrText>
      </w:r>
      <w:r>
        <w:fldChar w:fldCharType="separate"/>
      </w:r>
      <w:r>
        <w:rPr>
          <w:rStyle w:val="17"/>
          <w:rFonts w:eastAsia="Arial"/>
          <w:color w:val="000000" w:themeColor="text1"/>
          <w:szCs w:val="24"/>
          <w14:textFill>
            <w14:solidFill>
              <w14:schemeClr w14:val="tx1"/>
            </w14:solidFill>
          </w14:textFill>
        </w:rPr>
        <w:t>art. 156, § 4º, da Lei nº 14.133, de 2021</w:t>
      </w:r>
      <w:r>
        <w:rPr>
          <w:rStyle w:val="17"/>
          <w:rFonts w:eastAsia="Arial"/>
          <w:color w:val="000000" w:themeColor="text1"/>
          <w:szCs w:val="24"/>
          <w14:textFill>
            <w14:solidFill>
              <w14:schemeClr w14:val="tx1"/>
            </w14:solidFill>
          </w14:textFill>
        </w:rPr>
        <w:fldChar w:fldCharType="end"/>
      </w:r>
      <w:r>
        <w:rPr>
          <w:rFonts w:eastAsia="Arial"/>
          <w:color w:val="000000" w:themeColor="text1"/>
          <w:szCs w:val="24"/>
          <w14:textFill>
            <w14:solidFill>
              <w14:schemeClr w14:val="tx1"/>
            </w14:solidFill>
          </w14:textFill>
        </w:rPr>
        <w:t>);</w:t>
      </w:r>
    </w:p>
    <w:p w14:paraId="4C12A484">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b/>
          <w:bCs/>
          <w:color w:val="000000" w:themeColor="text1"/>
          <w:szCs w:val="24"/>
          <w14:textFill>
            <w14:solidFill>
              <w14:schemeClr w14:val="tx1"/>
            </w14:solidFill>
          </w14:textFill>
        </w:rPr>
        <w:t>iii) Declaração de inidoneidade para licitar e contratar</w:t>
      </w:r>
      <w:r>
        <w:rPr>
          <w:rFonts w:eastAsia="Arial"/>
          <w:color w:val="000000" w:themeColor="text1"/>
          <w:szCs w:val="24"/>
          <w14:textFill>
            <w14:solidFill>
              <w14:schemeClr w14:val="tx1"/>
            </w14:solidFill>
          </w14:textFill>
        </w:rPr>
        <w:t>, quando praticadas as condutas descritas nas alíneas “e”, “f”, “g” e “h” do subitem acima deste Contrato, bem como nas alíneas “b”, “c” e “d”, que justifiquem a imposição de penalidade mais grave (</w:t>
      </w:r>
      <w:r>
        <w:fldChar w:fldCharType="begin"/>
      </w:r>
      <w:r>
        <w:instrText xml:space="preserve"> HYPERLINK "http://www.planalto.gov.br/ccivil_03/_ato2019-2022/2021/lei/L14133.htm" \l "art156§5" </w:instrText>
      </w:r>
      <w:r>
        <w:fldChar w:fldCharType="separate"/>
      </w:r>
      <w:r>
        <w:rPr>
          <w:rStyle w:val="17"/>
          <w:rFonts w:eastAsia="Arial"/>
          <w:color w:val="000000" w:themeColor="text1"/>
          <w:szCs w:val="24"/>
          <w14:textFill>
            <w14:solidFill>
              <w14:schemeClr w14:val="tx1"/>
            </w14:solidFill>
          </w14:textFill>
        </w:rPr>
        <w:t>art. 156, §5º, da Lei nº 14.133, de 2021</w:t>
      </w:r>
      <w:r>
        <w:rPr>
          <w:rStyle w:val="17"/>
          <w:rFonts w:eastAsia="Arial"/>
          <w:color w:val="000000" w:themeColor="text1"/>
          <w:szCs w:val="24"/>
          <w14:textFill>
            <w14:solidFill>
              <w14:schemeClr w14:val="tx1"/>
            </w14:solidFill>
          </w14:textFill>
        </w:rPr>
        <w:fldChar w:fldCharType="end"/>
      </w:r>
      <w:r>
        <w:rPr>
          <w:rFonts w:eastAsia="Arial"/>
          <w:color w:val="000000" w:themeColor="text1"/>
          <w:szCs w:val="24"/>
          <w14:textFill>
            <w14:solidFill>
              <w14:schemeClr w14:val="tx1"/>
            </w14:solidFill>
          </w14:textFill>
        </w:rPr>
        <w:t>).</w:t>
      </w:r>
    </w:p>
    <w:p w14:paraId="023E357F">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b/>
          <w:bCs/>
          <w:color w:val="000000" w:themeColor="text1"/>
          <w:szCs w:val="24"/>
          <w14:textFill>
            <w14:solidFill>
              <w14:schemeClr w14:val="tx1"/>
            </w14:solidFill>
          </w14:textFill>
        </w:rPr>
        <w:t xml:space="preserve">iv) Multa: </w:t>
      </w:r>
      <w:r>
        <w:rPr>
          <w:rFonts w:eastAsia="Arial"/>
          <w:color w:val="000000" w:themeColor="text1"/>
          <w:szCs w:val="24"/>
          <w14:textFill>
            <w14:solidFill>
              <w14:schemeClr w14:val="tx1"/>
            </w14:solidFill>
          </w14:textFill>
        </w:rPr>
        <w:t>(1) Moratória de 01% (um por cento) por dia de atraso injustificado sobre o valor da parcela inadimplida, até o limite de 30 (trinta) dias;</w:t>
      </w:r>
    </w:p>
    <w:p w14:paraId="2796FEF0">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 xml:space="preserve">(2) Moratória de 0,07% (sete centésimos por cento) do valor total do contrato por dia de atraso injustificado, até o máximo de 2% (dois por cento), pela inobservância do prazo fixado para apresentação, suplementação ou reposição da garantia. </w:t>
      </w:r>
    </w:p>
    <w:p w14:paraId="66BF00B3">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 xml:space="preserve">Observação: O atraso superior a 25 (vinte e cinco) dias autoriza a Administração a promover a extinção do contrato por descumprimento ou cumprimento irregular de suas cláusulas, conforme dispõe o </w:t>
      </w:r>
      <w:r>
        <w:fldChar w:fldCharType="begin"/>
      </w:r>
      <w:r>
        <w:instrText xml:space="preserve"> HYPERLINK "http://www.planalto.gov.br/ccivil_03/_ato2019-2022/2021/lei/L14133.htm" \l "art137" </w:instrText>
      </w:r>
      <w:r>
        <w:fldChar w:fldCharType="separate"/>
      </w:r>
      <w:r>
        <w:rPr>
          <w:rStyle w:val="17"/>
          <w:rFonts w:eastAsia="Arial"/>
          <w:color w:val="000000" w:themeColor="text1"/>
          <w:szCs w:val="24"/>
          <w14:textFill>
            <w14:solidFill>
              <w14:schemeClr w14:val="tx1"/>
            </w14:solidFill>
          </w14:textFill>
        </w:rPr>
        <w:t>inciso I do art. 137 da Lei n. 14.133, de 2021</w:t>
      </w:r>
      <w:r>
        <w:rPr>
          <w:rStyle w:val="17"/>
          <w:rFonts w:eastAsia="Arial"/>
          <w:color w:val="000000" w:themeColor="text1"/>
          <w:szCs w:val="24"/>
          <w14:textFill>
            <w14:solidFill>
              <w14:schemeClr w14:val="tx1"/>
            </w14:solidFill>
          </w14:textFill>
        </w:rPr>
        <w:fldChar w:fldCharType="end"/>
      </w:r>
      <w:r>
        <w:rPr>
          <w:rFonts w:eastAsia="Arial"/>
          <w:color w:val="000000" w:themeColor="text1"/>
          <w:szCs w:val="24"/>
          <w14:textFill>
            <w14:solidFill>
              <w14:schemeClr w14:val="tx1"/>
            </w14:solidFill>
          </w14:textFill>
        </w:rPr>
        <w:t xml:space="preserve">. </w:t>
      </w:r>
    </w:p>
    <w:p w14:paraId="488AB6C2">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(3) Compensatória, para as infrações descritas nas alíneas “e” a “h” do subitem 12.1, de 2% a 10% do valor do Contrato.</w:t>
      </w:r>
    </w:p>
    <w:p w14:paraId="0C920141">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 xml:space="preserve">(4) Compensatória, para a inexecução total do contrato prevista na alínea “c” do subitem 12.1, de 0,5% a 5%  do valor do Contrato. </w:t>
      </w:r>
    </w:p>
    <w:p w14:paraId="5846C6BF">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(5) Para infração descrita na alínea “b” do subitem 12.1, a multa será de 2% a 15%  do valor do Contrato.</w:t>
      </w:r>
    </w:p>
    <w:p w14:paraId="2E4366B4">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(6) Para infrações descritas na alínea “d” do subitem 12.1, a multa será de 0,7% a 5%  do valor do Contrato.</w:t>
      </w:r>
    </w:p>
    <w:p w14:paraId="6AC7CEA5">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(7) Para a infração descrita na alínea “a” do subitem 12.1, a multa será de 0,5% a 5% do valor do Contrato, ressalvadas as seguintes infrações:</w:t>
      </w:r>
    </w:p>
    <w:p w14:paraId="0E4F862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12.3 A aplicação das sanções previstas neste Contrato não exclui, em hipótese alguma, a obrigação de reparação integral do dano causado ao Contratante (</w:t>
      </w:r>
      <w:r>
        <w:fldChar w:fldCharType="begin"/>
      </w:r>
      <w:r>
        <w:instrText xml:space="preserve"> HYPERLINK "http://www.planalto.gov.br/ccivil_03/_ato2019-2022/2021/lei/L14133.htm" \l "art156§9" </w:instrText>
      </w:r>
      <w:r>
        <w:fldChar w:fldCharType="separate"/>
      </w:r>
      <w:r>
        <w:rPr>
          <w:rStyle w:val="17"/>
          <w:rFonts w:ascii="Times New Roman" w:hAnsi="Times New Roman"/>
          <w:color w:val="000000" w:themeColor="text1"/>
          <w:sz w:val="24"/>
          <w:szCs w:val="24"/>
          <w14:textFill>
            <w14:solidFill>
              <w14:schemeClr w14:val="tx1"/>
            </w14:solidFill>
          </w14:textFill>
        </w:rPr>
        <w:t>art. 156, §9º,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1BDB5E7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12.4 Todas as sanções previstas neste Contrato poderão ser aplicadas cumulativamente com a multa (</w:t>
      </w:r>
      <w:r>
        <w:fldChar w:fldCharType="begin"/>
      </w:r>
      <w:r>
        <w:instrText xml:space="preserve"> HYPERLINK "http://www.planalto.gov.br/ccivil_03/_ato2019-2022/2021/lei/L14133.htm" \l "art156§7" </w:instrText>
      </w:r>
      <w:r>
        <w:fldChar w:fldCharType="separate"/>
      </w:r>
      <w:r>
        <w:rPr>
          <w:rStyle w:val="17"/>
          <w:rFonts w:ascii="Times New Roman" w:hAnsi="Times New Roman"/>
          <w:color w:val="000000" w:themeColor="text1"/>
          <w:sz w:val="24"/>
          <w:szCs w:val="24"/>
          <w14:textFill>
            <w14:solidFill>
              <w14:schemeClr w14:val="tx1"/>
            </w14:solidFill>
          </w14:textFill>
        </w:rPr>
        <w:t>art. 156, §7º,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49C3C735">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12.5 Antes da aplicação da multa será facultada a defesa do interessado no prazo de 15 (quinze) dias úteis, contado da data de sua intimação (</w:t>
      </w:r>
      <w:r>
        <w:fldChar w:fldCharType="begin"/>
      </w:r>
      <w:r>
        <w:instrText xml:space="preserve"> HYPERLINK "http://www.planalto.gov.br/ccivil_03/_ato2019-2022/2021/lei/L14133.htm" \l "art157"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art. 157, da Lei nº 14.133, de 2021</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w:t>
      </w:r>
    </w:p>
    <w:p w14:paraId="76BE1D22">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12.6 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instrText xml:space="preserve"> HYPERLINK "http://www.planalto.gov.br/ccivil_03/_ato2019-2022/2021/lei/L14133.htm" \l "art156§8"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art. 156, §8º, da Lei nº 14.133, de 2021</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w:t>
      </w:r>
    </w:p>
    <w:p w14:paraId="76709C3B">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12.7 Previamente ao encaminhamento à cobrança judicial, a multa poderá ser recolhida administrativamente no prazo máximo de 30 (trinta) dias, a contar da data do recebimento da comunicação enviada pela autoridade competente.</w:t>
      </w:r>
      <w:bookmarkStart w:id="51" w:name="_Hlk78351618"/>
      <w:bookmarkEnd w:id="51"/>
    </w:p>
    <w:p w14:paraId="59267F70">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12.8 A aplicação das sanções realizar-se-á em processo administrativo que assegure o contraditório e a ampla defesa ao Contratado, observando-se o procedimento previsto no Decreto Municipal n. 133/2024 </w:t>
      </w:r>
      <w:r>
        <w:rPr>
          <w:rFonts w:ascii="Times New Roman" w:hAnsi="Times New Roman"/>
          <w:b/>
          <w:bCs/>
          <w:color w:val="000000" w:themeColor="text1"/>
          <w:sz w:val="24"/>
          <w:szCs w:val="24"/>
          <w14:textFill>
            <w14:solidFill>
              <w14:schemeClr w14:val="tx1"/>
            </w14:solidFill>
          </w14:textFill>
        </w:rPr>
        <w:t xml:space="preserve">caput </w:t>
      </w:r>
      <w:r>
        <w:rPr>
          <w:rFonts w:ascii="Times New Roman" w:hAnsi="Times New Roman"/>
          <w:color w:val="000000" w:themeColor="text1"/>
          <w:sz w:val="24"/>
          <w:szCs w:val="24"/>
          <w14:textFill>
            <w14:solidFill>
              <w14:schemeClr w14:val="tx1"/>
            </w14:solidFill>
          </w14:textFill>
        </w:rPr>
        <w:t xml:space="preserve">e parágrafos do </w:t>
      </w:r>
      <w:r>
        <w:fldChar w:fldCharType="begin"/>
      </w:r>
      <w:r>
        <w:instrText xml:space="preserve"> HYPERLINK "http://www.planalto.gov.br/ccivil_03/_ato2019-2022/2021/lei/L14133.htm" \l "art158" </w:instrText>
      </w:r>
      <w:r>
        <w:fldChar w:fldCharType="separate"/>
      </w:r>
      <w:r>
        <w:rPr>
          <w:rStyle w:val="17"/>
          <w:rFonts w:ascii="Times New Roman" w:hAnsi="Times New Roman"/>
          <w:color w:val="000000" w:themeColor="text1"/>
          <w:sz w:val="24"/>
          <w:szCs w:val="24"/>
          <w14:textFill>
            <w14:solidFill>
              <w14:schemeClr w14:val="tx1"/>
            </w14:solidFill>
          </w14:textFill>
        </w:rPr>
        <w:t>art. 158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para as penalidades de impedimento de licitar e contratar e de declaração de inidoneidade para licitar ou contratar.</w:t>
      </w:r>
    </w:p>
    <w:p w14:paraId="34F3DD3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12.9 Na aplicação das sanções serão considerados (</w:t>
      </w:r>
      <w:r>
        <w:fldChar w:fldCharType="begin"/>
      </w:r>
      <w:r>
        <w:instrText xml:space="preserve"> HYPERLINK "http://www.planalto.gov.br/ccivil_03/_ato2019-2022/2021/lei/L14133.htm" \l "art156§1" </w:instrText>
      </w:r>
      <w:r>
        <w:fldChar w:fldCharType="separate"/>
      </w:r>
      <w:r>
        <w:rPr>
          <w:rStyle w:val="17"/>
          <w:rFonts w:ascii="Times New Roman" w:hAnsi="Times New Roman"/>
          <w:color w:val="000000" w:themeColor="text1"/>
          <w:sz w:val="24"/>
          <w:szCs w:val="24"/>
          <w14:textFill>
            <w14:solidFill>
              <w14:schemeClr w14:val="tx1"/>
            </w14:solidFill>
          </w14:textFill>
        </w:rPr>
        <w:t>art. 156, §1º,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0A79F4DA">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a) a natureza e a gravidade da infração cometida;</w:t>
      </w:r>
    </w:p>
    <w:p w14:paraId="03B30453">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b) as peculiaridades do caso concreto;</w:t>
      </w:r>
    </w:p>
    <w:p w14:paraId="05B98F51">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c) as circunstâncias agravantes ou atenuantes;</w:t>
      </w:r>
    </w:p>
    <w:p w14:paraId="3ABBBB84">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d) os danos que dela provierem para o Contratante;</w:t>
      </w:r>
    </w:p>
    <w:p w14:paraId="4F158D6B">
      <w:pPr>
        <w:spacing w:before="72" w:beforeLines="30" w:after="72" w:afterLines="30"/>
        <w:contextualSpacing/>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e) a implantação ou o aperfeiçoamento de programa de integridade, conforme normas e orientações dos órgãos de controle.</w:t>
      </w:r>
    </w:p>
    <w:p w14:paraId="08DF333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12.10 Os atos previstos como infrações administrativas na </w:t>
      </w:r>
      <w:r>
        <w:fldChar w:fldCharType="begin"/>
      </w:r>
      <w:r>
        <w:instrText xml:space="preserve"> HYPERLINK "http://www.planalto.gov.br/ccivil_03/_ato2019-2022/2021/lei/L14133.htm" </w:instrText>
      </w:r>
      <w:r>
        <w:fldChar w:fldCharType="separate"/>
      </w:r>
      <w:r>
        <w:rPr>
          <w:rStyle w:val="17"/>
          <w:rFonts w:ascii="Times New Roman" w:hAnsi="Times New Roman"/>
          <w:color w:val="000000" w:themeColor="text1"/>
          <w:sz w:val="24"/>
          <w:szCs w:val="24"/>
          <w14:textFill>
            <w14:solidFill>
              <w14:schemeClr w14:val="tx1"/>
            </w14:solidFill>
          </w14:textFill>
        </w:rPr>
        <w:t>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ou em outras leis de licitações e contratos da Administração Pública que também sejam tipificados como atos lesivos </w:t>
      </w:r>
      <w:r>
        <w:fldChar w:fldCharType="begin"/>
      </w:r>
      <w:r>
        <w:instrText xml:space="preserve"> HYPERLINK "https://www.planalto.gov.br/ccivil_03/_ato2011-2014/2013/lei/l12846.htm" </w:instrText>
      </w:r>
      <w:r>
        <w:fldChar w:fldCharType="separate"/>
      </w:r>
      <w:r>
        <w:rPr>
          <w:rStyle w:val="17"/>
          <w:rFonts w:ascii="Times New Roman" w:hAnsi="Times New Roman"/>
          <w:color w:val="000000" w:themeColor="text1"/>
          <w:sz w:val="24"/>
          <w:szCs w:val="24"/>
          <w14:textFill>
            <w14:solidFill>
              <w14:schemeClr w14:val="tx1"/>
            </w14:solidFill>
          </w14:textFill>
        </w:rPr>
        <w:t>na Lei nº 12.846, de 2013</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serão apurados e julgados conjuntamente, nos mesmos autos, observados o rito procedimental e autoridade competente definidos na referida </w:t>
      </w:r>
      <w:r>
        <w:fldChar w:fldCharType="begin"/>
      </w:r>
      <w:r>
        <w:instrText xml:space="preserve"> HYPERLINK "http://www.planalto.gov.br/ccivil_03/_ato2019-2022/2021/lei/L14133.htm" \l "art159" </w:instrText>
      </w:r>
      <w:r>
        <w:fldChar w:fldCharType="separate"/>
      </w:r>
      <w:r>
        <w:rPr>
          <w:rStyle w:val="17"/>
          <w:rFonts w:ascii="Times New Roman" w:hAnsi="Times New Roman"/>
          <w:color w:val="000000" w:themeColor="text1"/>
          <w:sz w:val="24"/>
          <w:szCs w:val="24"/>
          <w14:textFill>
            <w14:solidFill>
              <w14:schemeClr w14:val="tx1"/>
            </w14:solidFill>
          </w14:textFill>
        </w:rPr>
        <w:t>Lei (art. 159</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75BD7E2E">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12.11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instrText xml:space="preserve"> HYPERLINK "http://www.planalto.gov.br/ccivil_03/_ato2019-2022/2021/lei/L14133.htm" \l "art160" </w:instrText>
      </w:r>
      <w:r>
        <w:fldChar w:fldCharType="separate"/>
      </w:r>
      <w:r>
        <w:rPr>
          <w:rStyle w:val="17"/>
          <w:rFonts w:ascii="Times New Roman" w:hAnsi="Times New Roman"/>
          <w:color w:val="000000" w:themeColor="text1"/>
          <w:sz w:val="24"/>
          <w:szCs w:val="24"/>
          <w14:textFill>
            <w14:solidFill>
              <w14:schemeClr w14:val="tx1"/>
            </w14:solidFill>
          </w14:textFill>
        </w:rPr>
        <w:t>art. 160,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019E8E7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12.12 O Contratante deverá, no prazo máximo de 15 (quinze) dias úteis, contado da data de aplicação da sanção, informar e manter atualizados os dados relativos às sanções por ela aplicadas, para fins de publicidade no Cadastro Municipal de Empresas Punidas (CMEP) e </w:t>
      </w:r>
      <w:r>
        <w:fldChar w:fldCharType="begin"/>
      </w:r>
      <w:r>
        <w:instrText xml:space="preserve"> HYPERLINK "https://ceiscadastro.cgu.gov.br/index.aspx?ReturnUrl=%2f" </w:instrText>
      </w:r>
      <w:r>
        <w:fldChar w:fldCharType="separate"/>
      </w:r>
      <w:r>
        <w:rPr>
          <w:rStyle w:val="17"/>
          <w:rFonts w:ascii="Times New Roman" w:hAnsi="Times New Roman"/>
          <w:color w:val="000000" w:themeColor="text1"/>
          <w:sz w:val="24"/>
          <w:szCs w:val="24"/>
          <w14:textFill>
            <w14:solidFill>
              <w14:schemeClr w14:val="tx1"/>
            </w14:solidFill>
          </w14:textFill>
        </w:rPr>
        <w:t>Cadastro Nacional de Empresas Inidôneas e Suspensas (Ceis)</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e no Cadastro Nacional de Empresas Punidas (Cnep), instituídos no âmbito do Poder Executivo Federal. (</w:t>
      </w:r>
      <w:r>
        <w:fldChar w:fldCharType="begin"/>
      </w:r>
      <w:r>
        <w:instrText xml:space="preserve"> HYPERLINK "http://www.planalto.gov.br/ccivil_03/_ato2019-2022/2021/lei/L14133.htm" \l "art161" </w:instrText>
      </w:r>
      <w:r>
        <w:fldChar w:fldCharType="separate"/>
      </w:r>
      <w:r>
        <w:rPr>
          <w:rStyle w:val="17"/>
          <w:rFonts w:ascii="Times New Roman" w:hAnsi="Times New Roman"/>
          <w:color w:val="000000" w:themeColor="text1"/>
          <w:sz w:val="24"/>
          <w:szCs w:val="24"/>
          <w14:textFill>
            <w14:solidFill>
              <w14:schemeClr w14:val="tx1"/>
            </w14:solidFill>
          </w14:textFill>
        </w:rPr>
        <w:t>Art. 161,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Style w:val="17"/>
          <w:rFonts w:ascii="Times New Roman" w:hAnsi="Times New Roman"/>
          <w:color w:val="000000" w:themeColor="text1"/>
          <w:sz w:val="24"/>
          <w:szCs w:val="24"/>
          <w14:textFill>
            <w14:solidFill>
              <w14:schemeClr w14:val="tx1"/>
            </w14:solidFill>
          </w14:textFill>
        </w:rPr>
        <w:t>, Decreto Municipal n. 133/2024</w:t>
      </w:r>
      <w:r>
        <w:rPr>
          <w:rFonts w:ascii="Times New Roman" w:hAnsi="Times New Roman"/>
          <w:color w:val="000000" w:themeColor="text1"/>
          <w:sz w:val="24"/>
          <w:szCs w:val="24"/>
          <w14:textFill>
            <w14:solidFill>
              <w14:schemeClr w14:val="tx1"/>
            </w14:solidFill>
          </w14:textFill>
        </w:rPr>
        <w:t>)</w:t>
      </w:r>
    </w:p>
    <w:p w14:paraId="3ACB55E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12.13 As sanções de impedimento de licitar e contratar e declaração de inidoneidade para licitar ou contratar são passíveis de reabilitação na forma do </w:t>
      </w:r>
      <w:r>
        <w:fldChar w:fldCharType="begin"/>
      </w:r>
      <w:r>
        <w:instrText xml:space="preserve"> HYPERLINK "http://www.planalto.gov.br/ccivil_03/_ato2019-2022/2021/lei/L14133.htm" \l "art163" </w:instrText>
      </w:r>
      <w:r>
        <w:fldChar w:fldCharType="separate"/>
      </w:r>
      <w:r>
        <w:rPr>
          <w:rStyle w:val="17"/>
          <w:rFonts w:ascii="Times New Roman" w:hAnsi="Times New Roman"/>
          <w:color w:val="000000" w:themeColor="text1"/>
          <w:sz w:val="24"/>
          <w:szCs w:val="24"/>
          <w14:textFill>
            <w14:solidFill>
              <w14:schemeClr w14:val="tx1"/>
            </w14:solidFill>
          </w14:textFill>
        </w:rPr>
        <w:t>art. 163 da Lei nº 14.133/21.</w:t>
      </w:r>
      <w:r>
        <w:rPr>
          <w:rStyle w:val="17"/>
          <w:rFonts w:ascii="Times New Roman" w:hAnsi="Times New Roman"/>
          <w:color w:val="000000" w:themeColor="text1"/>
          <w:sz w:val="24"/>
          <w:szCs w:val="24"/>
          <w14:textFill>
            <w14:solidFill>
              <w14:schemeClr w14:val="tx1"/>
            </w14:solidFill>
          </w14:textFill>
        </w:rPr>
        <w:fldChar w:fldCharType="end"/>
      </w:r>
    </w:p>
    <w:p w14:paraId="25AB320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12.14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33AACA7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3A2669EF">
      <w:pPr>
        <w:pStyle w:val="70"/>
        <w:numPr>
          <w:ilvl w:val="0"/>
          <w:numId w:val="0"/>
        </w:numPr>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DÉCIMA TERCEIRA – DA EXTINÇÃO CONTRATUAL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XIX</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6EBAD7D4">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13.1 O contrato será extinto quando cumpridas as obrigações de ambas as partes, ainda que isso ocorra antes do prazo estipulado para tanto.</w:t>
      </w:r>
    </w:p>
    <w:p w14:paraId="10F6D056">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13.2 Se as obrigações não forem cumpridas no prazo estipulado, a vigência ficará prorrogada até a conclusão do objeto, caso em que deverá a Administração providenciar a readequação do cronograma fixado para o contrato.</w:t>
      </w:r>
    </w:p>
    <w:p w14:paraId="67A33181">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13.3 Quando a não conclusão do contrato referida no item anterior decorrer de culpa do contratado:</w:t>
      </w:r>
    </w:p>
    <w:p w14:paraId="7AAF1FE4">
      <w:pPr>
        <w:pStyle w:val="55"/>
        <w:numPr>
          <w:ilvl w:val="0"/>
          <w:numId w:val="40"/>
        </w:numPr>
        <w:spacing w:before="72" w:beforeLines="30" w:after="72" w:afterLines="30"/>
        <w:ind w:left="0" w:firstLine="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ficará ele constituído em mora, sendo-lhe aplicáveis as respectivas sanções administrativas; e</w:t>
      </w:r>
    </w:p>
    <w:p w14:paraId="2B675B9A">
      <w:pPr>
        <w:pStyle w:val="55"/>
        <w:numPr>
          <w:ilvl w:val="0"/>
          <w:numId w:val="40"/>
        </w:numPr>
        <w:spacing w:before="72" w:beforeLines="30" w:after="72" w:afterLines="30"/>
        <w:ind w:left="0" w:firstLine="0"/>
        <w:jc w:val="both"/>
        <w:rPr>
          <w:rFonts w:eastAsia="Arial"/>
          <w:color w:val="000000" w:themeColor="text1"/>
          <w:szCs w:val="24"/>
          <w14:textFill>
            <w14:solidFill>
              <w14:schemeClr w14:val="tx1"/>
            </w14:solidFill>
          </w14:textFill>
        </w:rPr>
      </w:pPr>
      <w:r>
        <w:rPr>
          <w:rFonts w:eastAsia="Arial"/>
          <w:color w:val="000000" w:themeColor="text1"/>
          <w:szCs w:val="24"/>
          <w14:textFill>
            <w14:solidFill>
              <w14:schemeClr w14:val="tx1"/>
            </w14:solidFill>
          </w14:textFill>
        </w:rPr>
        <w:t>poderá a Administração optar pela extinção do contrato e, nesse caso, adotará as medidas admitidas em lei para a continuidade da execução contratual.</w:t>
      </w:r>
    </w:p>
    <w:p w14:paraId="3731DA78">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13.4 O contrato poderá ser extinto antes de cumpridas as obrigações nele estipuladas, ou antes do prazo nele fixado, por algum dos motivos previstos no </w:t>
      </w:r>
      <w:r>
        <w:fldChar w:fldCharType="begin"/>
      </w:r>
      <w:r>
        <w:instrText xml:space="preserve"> HYPERLINK "http://www.planalto.gov.br/ccivil_03/_ato2019-2022/2021/lei/L14133.htm" \l "art137" </w:instrText>
      </w:r>
      <w:r>
        <w:fldChar w:fldCharType="separate"/>
      </w:r>
      <w:r>
        <w:rPr>
          <w:rStyle w:val="17"/>
          <w:rFonts w:ascii="Times New Roman" w:hAnsi="Times New Roman"/>
          <w:color w:val="000000" w:themeColor="text1"/>
          <w:sz w:val="24"/>
          <w:szCs w:val="24"/>
          <w14:textFill>
            <w14:solidFill>
              <w14:schemeClr w14:val="tx1"/>
            </w14:solidFill>
          </w14:textFill>
        </w:rPr>
        <w:t>artigo 137 da Lei nº 14.133/21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bem como amigavelmente, assegurados o contraditório e a ampla defesa.</w:t>
      </w:r>
    </w:p>
    <w:p w14:paraId="0E96F7ED">
      <w:pPr>
        <w:pStyle w:val="88"/>
        <w:numPr>
          <w:ilvl w:val="2"/>
          <w:numId w:val="41"/>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Nesta hipótese, aplicam-se também os </w:t>
      </w:r>
      <w:r>
        <w:fldChar w:fldCharType="begin"/>
      </w:r>
      <w:r>
        <w:instrText xml:space="preserve"> HYPERLINK "http://www.planalto.gov.br/ccivil_03/_ato2019-2022/2021/lei/L14133.htm" \l "art138"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artigos 138 e 139</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 xml:space="preserve"> da mesma Lei.</w:t>
      </w:r>
    </w:p>
    <w:p w14:paraId="50B1F9C4">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13.4.2 A alteração social ou a modificação da finalidade ou da estrutura da empresa não ensejará a extinção se não restringir sua capacidade de concluir o contrato.</w:t>
      </w:r>
    </w:p>
    <w:p w14:paraId="56C7B6A8">
      <w:pPr>
        <w:pStyle w:val="89"/>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13.4.2.1 Se a operação implicar mudança da pessoa jurídica contratada, deverá ser formalizado termo aditivo para alteração subjetiva.</w:t>
      </w:r>
    </w:p>
    <w:p w14:paraId="46B73ECC">
      <w:pPr>
        <w:pStyle w:val="86"/>
        <w:numPr>
          <w:ilvl w:val="1"/>
          <w:numId w:val="41"/>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termo de extinção, sempre que possível, será precedido:</w:t>
      </w:r>
    </w:p>
    <w:p w14:paraId="7EF0E3EF">
      <w:pPr>
        <w:pStyle w:val="88"/>
        <w:numPr>
          <w:ilvl w:val="2"/>
          <w:numId w:val="41"/>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Balanço dos eventos contratuais já cumpridos ou parcialmente cumpridos;</w:t>
      </w:r>
    </w:p>
    <w:p w14:paraId="7A654121">
      <w:pPr>
        <w:pStyle w:val="88"/>
        <w:numPr>
          <w:ilvl w:val="2"/>
          <w:numId w:val="41"/>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Relação dos pagamentos já efetuados e ainda devidos;</w:t>
      </w:r>
    </w:p>
    <w:p w14:paraId="19809231">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13.5.3 Indenizações e multas.</w:t>
      </w:r>
    </w:p>
    <w:p w14:paraId="7475175F">
      <w:pPr>
        <w:pStyle w:val="86"/>
        <w:numPr>
          <w:ilvl w:val="1"/>
          <w:numId w:val="41"/>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A extinção do contrato não configura óbice para o reconhecimento do desequilíbrio econômico-financeiro, hipótese em que será concedida indenização por meio de termo indenizatório (</w:t>
      </w:r>
      <w:r>
        <w:fldChar w:fldCharType="begin"/>
      </w:r>
      <w:r>
        <w:instrText xml:space="preserve"> HYPERLINK "http://www.planalto.gov.br/ccivil_03/_ato2019-2022/2021/lei/L14133.htm" \l "art131" \h </w:instrText>
      </w:r>
      <w:r>
        <w:fldChar w:fldCharType="separate"/>
      </w:r>
      <w:r>
        <w:rPr>
          <w:rStyle w:val="17"/>
          <w:rFonts w:ascii="Times New Roman" w:hAnsi="Times New Roman"/>
          <w:color w:val="000000" w:themeColor="text1"/>
          <w:sz w:val="24"/>
          <w:szCs w:val="24"/>
          <w14:textFill>
            <w14:solidFill>
              <w14:schemeClr w14:val="tx1"/>
            </w14:solidFill>
          </w14:textFill>
        </w:rPr>
        <w:t>art. 131, caput,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w:t>
      </w:r>
    </w:p>
    <w:p w14:paraId="4B0E92D8">
      <w:pPr>
        <w:pStyle w:val="86"/>
        <w:numPr>
          <w:ilvl w:val="1"/>
          <w:numId w:val="41"/>
        </w:numPr>
        <w:spacing w:before="72" w:beforeLines="30" w:after="72" w:afterLines="30" w:line="240" w:lineRule="auto"/>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92441B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4EF9A368">
      <w:pPr>
        <w:pStyle w:val="70"/>
        <w:numPr>
          <w:ilvl w:val="0"/>
          <w:numId w:val="41"/>
        </w:numPr>
        <w:tabs>
          <w:tab w:val="left" w:pos="720"/>
        </w:tabs>
        <w:spacing w:before="72" w:beforeLines="30" w:after="72" w:afterLines="30"/>
        <w:ind w:left="0" w:firstLine="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DÉCIMA QUARTA – DOTAÇÃO ORÇAMENTÁRIA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VIII</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59FEA0C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14.1 As despesas decorrentes da presente contratação correrão à conta de recursos específicos consignados no Orçamento do Município deste exercício, na dotação abaixo discriminada:</w:t>
      </w:r>
    </w:p>
    <w:tbl>
      <w:tblPr>
        <w:tblStyle w:val="12"/>
        <w:tblW w:w="8931"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fixed"/>
        <w:tblCellMar>
          <w:top w:w="0" w:type="dxa"/>
          <w:left w:w="15" w:type="dxa"/>
          <w:bottom w:w="0" w:type="dxa"/>
          <w:right w:w="15" w:type="dxa"/>
        </w:tblCellMar>
      </w:tblPr>
      <w:tblGrid>
        <w:gridCol w:w="2248"/>
        <w:gridCol w:w="1843"/>
        <w:gridCol w:w="4840"/>
      </w:tblGrid>
      <w:tr w14:paraId="24FA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53" w:hRule="exact"/>
        </w:trPr>
        <w:tc>
          <w:tcPr>
            <w:tcW w:w="2248" w:type="dxa"/>
            <w:shd w:val="clear" w:color="auto" w:fill="FFFFFF" w:themeFill="background1"/>
            <w:vAlign w:val="center"/>
          </w:tcPr>
          <w:p w14:paraId="742C6EB5">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Cód Reduzido.:</w:t>
            </w:r>
          </w:p>
        </w:tc>
        <w:tc>
          <w:tcPr>
            <w:tcW w:w="6683" w:type="dxa"/>
            <w:gridSpan w:val="2"/>
            <w:shd w:val="clear" w:color="auto" w:fill="FFFFFF" w:themeFill="background1"/>
            <w:vAlign w:val="center"/>
          </w:tcPr>
          <w:p w14:paraId="67A01DF9">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646</w:t>
            </w:r>
          </w:p>
          <w:p w14:paraId="04AABBFE">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p>
        </w:tc>
      </w:tr>
      <w:tr w14:paraId="030E1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335" w:hRule="exact"/>
        </w:trPr>
        <w:tc>
          <w:tcPr>
            <w:tcW w:w="2248" w:type="dxa"/>
            <w:shd w:val="clear" w:color="auto" w:fill="FFFFFF" w:themeFill="background1"/>
          </w:tcPr>
          <w:p w14:paraId="3FD66ADD">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Órgão unidade</w:t>
            </w:r>
          </w:p>
        </w:tc>
        <w:tc>
          <w:tcPr>
            <w:tcW w:w="1843" w:type="dxa"/>
            <w:shd w:val="clear" w:color="auto" w:fill="FFFFFF" w:themeFill="background1"/>
          </w:tcPr>
          <w:p w14:paraId="1FCE739C">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05.001</w:t>
            </w:r>
          </w:p>
        </w:tc>
        <w:tc>
          <w:tcPr>
            <w:tcW w:w="4840" w:type="dxa"/>
            <w:shd w:val="clear" w:color="auto" w:fill="FFFFFF" w:themeFill="background1"/>
          </w:tcPr>
          <w:p w14:paraId="4E35DA8C">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Departamento de Educação</w:t>
            </w:r>
          </w:p>
        </w:tc>
      </w:tr>
      <w:tr w14:paraId="2C3C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18" w:hRule="exact"/>
        </w:trPr>
        <w:tc>
          <w:tcPr>
            <w:tcW w:w="2248" w:type="dxa"/>
            <w:shd w:val="clear" w:color="auto" w:fill="FFFFFF" w:themeFill="background1"/>
          </w:tcPr>
          <w:p w14:paraId="4E0F5C95">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Função</w:t>
            </w:r>
          </w:p>
        </w:tc>
        <w:tc>
          <w:tcPr>
            <w:tcW w:w="1843" w:type="dxa"/>
            <w:shd w:val="clear" w:color="auto" w:fill="FFFFFF" w:themeFill="background1"/>
          </w:tcPr>
          <w:p w14:paraId="3E5FB1B9">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12</w:t>
            </w:r>
          </w:p>
        </w:tc>
        <w:tc>
          <w:tcPr>
            <w:tcW w:w="4840" w:type="dxa"/>
            <w:shd w:val="clear" w:color="auto" w:fill="FFFFFF" w:themeFill="background1"/>
          </w:tcPr>
          <w:p w14:paraId="7831DEC5">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Educação</w:t>
            </w:r>
          </w:p>
        </w:tc>
      </w:tr>
      <w:tr w14:paraId="4CBB0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28" w:hRule="exact"/>
        </w:trPr>
        <w:tc>
          <w:tcPr>
            <w:tcW w:w="2248" w:type="dxa"/>
            <w:shd w:val="clear" w:color="auto" w:fill="FFFFFF" w:themeFill="background1"/>
          </w:tcPr>
          <w:p w14:paraId="19AD4A3B">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Sub-função</w:t>
            </w:r>
          </w:p>
        </w:tc>
        <w:tc>
          <w:tcPr>
            <w:tcW w:w="1843" w:type="dxa"/>
            <w:shd w:val="clear" w:color="auto" w:fill="FFFFFF" w:themeFill="background1"/>
          </w:tcPr>
          <w:p w14:paraId="28058843">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361</w:t>
            </w:r>
          </w:p>
        </w:tc>
        <w:tc>
          <w:tcPr>
            <w:tcW w:w="4840" w:type="dxa"/>
            <w:shd w:val="clear" w:color="auto" w:fill="FFFFFF" w:themeFill="background1"/>
          </w:tcPr>
          <w:p w14:paraId="7749291C">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Ensino Fundamental </w:t>
            </w:r>
          </w:p>
        </w:tc>
      </w:tr>
      <w:tr w14:paraId="4113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40" w:hRule="exact"/>
        </w:trPr>
        <w:tc>
          <w:tcPr>
            <w:tcW w:w="2248" w:type="dxa"/>
            <w:shd w:val="clear" w:color="auto" w:fill="FFFFFF" w:themeFill="background1"/>
          </w:tcPr>
          <w:p w14:paraId="3F37BE50">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Programa</w:t>
            </w:r>
          </w:p>
        </w:tc>
        <w:tc>
          <w:tcPr>
            <w:tcW w:w="1843" w:type="dxa"/>
            <w:shd w:val="clear" w:color="auto" w:fill="FFFFFF" w:themeFill="background1"/>
          </w:tcPr>
          <w:p w14:paraId="588CC958">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0600</w:t>
            </w:r>
          </w:p>
        </w:tc>
        <w:tc>
          <w:tcPr>
            <w:tcW w:w="4840" w:type="dxa"/>
            <w:shd w:val="clear" w:color="auto" w:fill="FFFFFF" w:themeFill="background1"/>
          </w:tcPr>
          <w:p w14:paraId="2C151D58">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Educação, Cultura, Esporte e Lazer para todos </w:t>
            </w:r>
          </w:p>
        </w:tc>
      </w:tr>
      <w:tr w14:paraId="20EB6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614" w:hRule="exact"/>
        </w:trPr>
        <w:tc>
          <w:tcPr>
            <w:tcW w:w="2248" w:type="dxa"/>
            <w:shd w:val="clear" w:color="auto" w:fill="FFFFFF" w:themeFill="background1"/>
          </w:tcPr>
          <w:p w14:paraId="27193F31">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Proj/ativ</w:t>
            </w:r>
          </w:p>
        </w:tc>
        <w:tc>
          <w:tcPr>
            <w:tcW w:w="1843" w:type="dxa"/>
            <w:shd w:val="clear" w:color="auto" w:fill="FFFFFF" w:themeFill="background1"/>
          </w:tcPr>
          <w:p w14:paraId="0E9A04FC">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1010</w:t>
            </w:r>
          </w:p>
        </w:tc>
        <w:tc>
          <w:tcPr>
            <w:tcW w:w="4840" w:type="dxa"/>
            <w:shd w:val="clear" w:color="auto" w:fill="FFFFFF" w:themeFill="background1"/>
          </w:tcPr>
          <w:p w14:paraId="45BDE447">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Construção/Reforma e ampliação de Unidades Escolares </w:t>
            </w:r>
          </w:p>
        </w:tc>
      </w:tr>
      <w:tr w14:paraId="36E7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578" w:hRule="exact"/>
        </w:trPr>
        <w:tc>
          <w:tcPr>
            <w:tcW w:w="2248" w:type="dxa"/>
            <w:shd w:val="clear" w:color="auto" w:fill="FFFFFF" w:themeFill="background1"/>
          </w:tcPr>
          <w:p w14:paraId="012E486E">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Elemento de despesa</w:t>
            </w:r>
          </w:p>
        </w:tc>
        <w:tc>
          <w:tcPr>
            <w:tcW w:w="1843" w:type="dxa"/>
            <w:shd w:val="clear" w:color="auto" w:fill="FFFFFF" w:themeFill="background1"/>
          </w:tcPr>
          <w:p w14:paraId="679D5077">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4.4.90.51.00.00</w:t>
            </w:r>
          </w:p>
        </w:tc>
        <w:tc>
          <w:tcPr>
            <w:tcW w:w="4840" w:type="dxa"/>
            <w:shd w:val="clear" w:color="auto" w:fill="FFFFFF" w:themeFill="background1"/>
          </w:tcPr>
          <w:p w14:paraId="1924E164">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Obras e Instalações </w:t>
            </w:r>
          </w:p>
        </w:tc>
      </w:tr>
      <w:tr w14:paraId="0E027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31" w:hRule="exact"/>
        </w:trPr>
        <w:tc>
          <w:tcPr>
            <w:tcW w:w="2248" w:type="dxa"/>
            <w:shd w:val="clear" w:color="auto" w:fill="FFFFFF" w:themeFill="background1"/>
          </w:tcPr>
          <w:p w14:paraId="68DE1A24">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Sub elemento</w:t>
            </w:r>
          </w:p>
        </w:tc>
        <w:tc>
          <w:tcPr>
            <w:tcW w:w="1843" w:type="dxa"/>
            <w:shd w:val="clear" w:color="auto" w:fill="FFFFFF" w:themeFill="background1"/>
          </w:tcPr>
          <w:p w14:paraId="2B9DCD17">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99</w:t>
            </w:r>
          </w:p>
        </w:tc>
        <w:tc>
          <w:tcPr>
            <w:tcW w:w="4840" w:type="dxa"/>
            <w:shd w:val="clear" w:color="auto" w:fill="FFFFFF" w:themeFill="background1"/>
          </w:tcPr>
          <w:p w14:paraId="5FD1C86A">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OUTRAS OBRAS E INSTALAÇÕES</w:t>
            </w:r>
          </w:p>
        </w:tc>
      </w:tr>
      <w:tr w14:paraId="6EFE3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30" w:hRule="exact"/>
        </w:trPr>
        <w:tc>
          <w:tcPr>
            <w:tcW w:w="2248" w:type="dxa"/>
            <w:shd w:val="clear" w:color="auto" w:fill="FFFFFF" w:themeFill="background1"/>
          </w:tcPr>
          <w:p w14:paraId="1040146F">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f. de recurso</w:t>
            </w:r>
          </w:p>
        </w:tc>
        <w:tc>
          <w:tcPr>
            <w:tcW w:w="1843" w:type="dxa"/>
            <w:shd w:val="clear" w:color="auto" w:fill="FFFFFF" w:themeFill="background1"/>
          </w:tcPr>
          <w:p w14:paraId="055C9E4D">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1550</w:t>
            </w:r>
          </w:p>
        </w:tc>
        <w:tc>
          <w:tcPr>
            <w:tcW w:w="4840" w:type="dxa"/>
            <w:shd w:val="clear" w:color="auto" w:fill="FFFFFF" w:themeFill="background1"/>
          </w:tcPr>
          <w:p w14:paraId="4D319762">
            <w:pPr>
              <w:pStyle w:val="223"/>
              <w:numPr>
                <w:ilvl w:val="0"/>
                <w:numId w:val="0"/>
              </w:numPr>
              <w:spacing w:before="72" w:beforeLines="30" w:after="72" w:afterLines="30"/>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 xml:space="preserve">Transferência do salário-educação </w:t>
            </w:r>
          </w:p>
          <w:p w14:paraId="02897946">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p>
        </w:tc>
      </w:tr>
      <w:tr w14:paraId="6F9C9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20" w:hRule="exact"/>
        </w:trPr>
        <w:tc>
          <w:tcPr>
            <w:tcW w:w="2248" w:type="dxa"/>
            <w:shd w:val="clear" w:color="auto" w:fill="FFFFFF" w:themeFill="background1"/>
          </w:tcPr>
          <w:p w14:paraId="28A1D434">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Desdobramento</w:t>
            </w:r>
          </w:p>
        </w:tc>
        <w:tc>
          <w:tcPr>
            <w:tcW w:w="1843" w:type="dxa"/>
            <w:shd w:val="clear" w:color="auto" w:fill="FFFFFF" w:themeFill="background1"/>
          </w:tcPr>
          <w:p w14:paraId="6356A92D">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0007000</w:t>
            </w:r>
          </w:p>
        </w:tc>
        <w:tc>
          <w:tcPr>
            <w:tcW w:w="4840" w:type="dxa"/>
            <w:shd w:val="clear" w:color="auto" w:fill="FFFFFF" w:themeFill="background1"/>
          </w:tcPr>
          <w:p w14:paraId="0EA51ED5">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Sem código de acompanhamento </w:t>
            </w:r>
          </w:p>
        </w:tc>
      </w:tr>
    </w:tbl>
    <w:p w14:paraId="649B8078">
      <w:pPr>
        <w:pStyle w:val="70"/>
        <w:numPr>
          <w:ilvl w:val="0"/>
          <w:numId w:val="0"/>
        </w:numPr>
        <w:spacing w:before="72" w:beforeLines="30" w:after="72" w:afterLines="30"/>
        <w:rPr>
          <w:rFonts w:ascii="Times New Roman" w:hAnsi="Times New Roman"/>
          <w:b w:val="0"/>
          <w:color w:val="000000" w:themeColor="text1"/>
          <w:sz w:val="24"/>
          <w:szCs w:val="24"/>
          <w14:textFill>
            <w14:solidFill>
              <w14:schemeClr w14:val="tx1"/>
            </w14:solidFill>
          </w14:textFill>
        </w:rPr>
      </w:pPr>
    </w:p>
    <w:tbl>
      <w:tblPr>
        <w:tblStyle w:val="12"/>
        <w:tblW w:w="8931"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Layout w:type="fixed"/>
        <w:tblCellMar>
          <w:top w:w="0" w:type="dxa"/>
          <w:left w:w="15" w:type="dxa"/>
          <w:bottom w:w="0" w:type="dxa"/>
          <w:right w:w="15" w:type="dxa"/>
        </w:tblCellMar>
      </w:tblPr>
      <w:tblGrid>
        <w:gridCol w:w="2248"/>
        <w:gridCol w:w="1843"/>
        <w:gridCol w:w="4840"/>
      </w:tblGrid>
      <w:tr w14:paraId="3491C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53" w:hRule="exact"/>
        </w:trPr>
        <w:tc>
          <w:tcPr>
            <w:tcW w:w="2248" w:type="dxa"/>
            <w:shd w:val="clear" w:color="auto" w:fill="FFFFFF" w:themeFill="background1"/>
            <w:vAlign w:val="center"/>
          </w:tcPr>
          <w:p w14:paraId="3C9C58BB">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Cód Reduzido.:</w:t>
            </w:r>
          </w:p>
        </w:tc>
        <w:tc>
          <w:tcPr>
            <w:tcW w:w="6683" w:type="dxa"/>
            <w:gridSpan w:val="2"/>
            <w:shd w:val="clear" w:color="auto" w:fill="FFFFFF" w:themeFill="background1"/>
            <w:vAlign w:val="center"/>
          </w:tcPr>
          <w:p w14:paraId="5504CF4E">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704</w:t>
            </w:r>
          </w:p>
        </w:tc>
      </w:tr>
      <w:tr w14:paraId="1ABD9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335" w:hRule="exact"/>
        </w:trPr>
        <w:tc>
          <w:tcPr>
            <w:tcW w:w="2248" w:type="dxa"/>
            <w:shd w:val="clear" w:color="auto" w:fill="FFFFFF" w:themeFill="background1"/>
          </w:tcPr>
          <w:p w14:paraId="579467B0">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Órgão unidade</w:t>
            </w:r>
          </w:p>
        </w:tc>
        <w:tc>
          <w:tcPr>
            <w:tcW w:w="1843" w:type="dxa"/>
            <w:shd w:val="clear" w:color="auto" w:fill="FFFFFF" w:themeFill="background1"/>
          </w:tcPr>
          <w:p w14:paraId="735ABB8D">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05.001</w:t>
            </w:r>
          </w:p>
        </w:tc>
        <w:tc>
          <w:tcPr>
            <w:tcW w:w="4840" w:type="dxa"/>
            <w:shd w:val="clear" w:color="auto" w:fill="FFFFFF" w:themeFill="background1"/>
          </w:tcPr>
          <w:p w14:paraId="7ADA10A6">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Departamento de Educação </w:t>
            </w:r>
          </w:p>
        </w:tc>
      </w:tr>
      <w:tr w14:paraId="7E29B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18" w:hRule="exact"/>
        </w:trPr>
        <w:tc>
          <w:tcPr>
            <w:tcW w:w="2248" w:type="dxa"/>
            <w:shd w:val="clear" w:color="auto" w:fill="FFFFFF" w:themeFill="background1"/>
          </w:tcPr>
          <w:p w14:paraId="7657E8F1">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Funçao</w:t>
            </w:r>
          </w:p>
        </w:tc>
        <w:tc>
          <w:tcPr>
            <w:tcW w:w="1843" w:type="dxa"/>
            <w:shd w:val="clear" w:color="auto" w:fill="FFFFFF" w:themeFill="background1"/>
          </w:tcPr>
          <w:p w14:paraId="259059FE">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12</w:t>
            </w:r>
          </w:p>
        </w:tc>
        <w:tc>
          <w:tcPr>
            <w:tcW w:w="4840" w:type="dxa"/>
            <w:shd w:val="clear" w:color="auto" w:fill="FFFFFF" w:themeFill="background1"/>
          </w:tcPr>
          <w:p w14:paraId="2DD9233E">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Educação </w:t>
            </w:r>
          </w:p>
        </w:tc>
      </w:tr>
      <w:tr w14:paraId="5637D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28" w:hRule="exact"/>
        </w:trPr>
        <w:tc>
          <w:tcPr>
            <w:tcW w:w="2248" w:type="dxa"/>
            <w:shd w:val="clear" w:color="auto" w:fill="FFFFFF" w:themeFill="background1"/>
          </w:tcPr>
          <w:p w14:paraId="2250A452">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Sub-função</w:t>
            </w:r>
          </w:p>
        </w:tc>
        <w:tc>
          <w:tcPr>
            <w:tcW w:w="1843" w:type="dxa"/>
            <w:shd w:val="clear" w:color="auto" w:fill="FFFFFF" w:themeFill="background1"/>
          </w:tcPr>
          <w:p w14:paraId="0ABC93D1">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361</w:t>
            </w:r>
          </w:p>
        </w:tc>
        <w:tc>
          <w:tcPr>
            <w:tcW w:w="4840" w:type="dxa"/>
            <w:shd w:val="clear" w:color="auto" w:fill="FFFFFF" w:themeFill="background1"/>
          </w:tcPr>
          <w:p w14:paraId="7F7F6AF9">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Ensino fundamental </w:t>
            </w:r>
          </w:p>
        </w:tc>
      </w:tr>
      <w:tr w14:paraId="72A64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29" w:hRule="exact"/>
        </w:trPr>
        <w:tc>
          <w:tcPr>
            <w:tcW w:w="2248" w:type="dxa"/>
            <w:shd w:val="clear" w:color="auto" w:fill="FFFFFF" w:themeFill="background1"/>
          </w:tcPr>
          <w:p w14:paraId="3887D8E6">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Programa</w:t>
            </w:r>
          </w:p>
        </w:tc>
        <w:tc>
          <w:tcPr>
            <w:tcW w:w="1843" w:type="dxa"/>
            <w:shd w:val="clear" w:color="auto" w:fill="FFFFFF" w:themeFill="background1"/>
          </w:tcPr>
          <w:p w14:paraId="4E98BDA1">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0600</w:t>
            </w:r>
          </w:p>
        </w:tc>
        <w:tc>
          <w:tcPr>
            <w:tcW w:w="4840" w:type="dxa"/>
            <w:shd w:val="clear" w:color="auto" w:fill="FFFFFF" w:themeFill="background1"/>
          </w:tcPr>
          <w:p w14:paraId="54AFADAB">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Educação, Cultura, Esporte e lazer para todos </w:t>
            </w:r>
          </w:p>
        </w:tc>
      </w:tr>
      <w:tr w14:paraId="0C693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614" w:hRule="exact"/>
        </w:trPr>
        <w:tc>
          <w:tcPr>
            <w:tcW w:w="2248" w:type="dxa"/>
            <w:shd w:val="clear" w:color="auto" w:fill="FFFFFF" w:themeFill="background1"/>
          </w:tcPr>
          <w:p w14:paraId="70F1E2BC">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Proj/ativ</w:t>
            </w:r>
          </w:p>
        </w:tc>
        <w:tc>
          <w:tcPr>
            <w:tcW w:w="1843" w:type="dxa"/>
            <w:shd w:val="clear" w:color="auto" w:fill="FFFFFF" w:themeFill="background1"/>
          </w:tcPr>
          <w:p w14:paraId="0A94484D">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1010</w:t>
            </w:r>
          </w:p>
        </w:tc>
        <w:tc>
          <w:tcPr>
            <w:tcW w:w="4840" w:type="dxa"/>
            <w:shd w:val="clear" w:color="auto" w:fill="FFFFFF" w:themeFill="background1"/>
          </w:tcPr>
          <w:p w14:paraId="75A66B24">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Construção/Reforma e Ampliação de Unidades Escolares </w:t>
            </w:r>
          </w:p>
        </w:tc>
      </w:tr>
      <w:tr w14:paraId="2706D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578" w:hRule="exact"/>
        </w:trPr>
        <w:tc>
          <w:tcPr>
            <w:tcW w:w="2248" w:type="dxa"/>
            <w:shd w:val="clear" w:color="auto" w:fill="FFFFFF" w:themeFill="background1"/>
          </w:tcPr>
          <w:p w14:paraId="3B148B02">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Elemento de despesa</w:t>
            </w:r>
          </w:p>
        </w:tc>
        <w:tc>
          <w:tcPr>
            <w:tcW w:w="1843" w:type="dxa"/>
            <w:shd w:val="clear" w:color="auto" w:fill="FFFFFF" w:themeFill="background1"/>
          </w:tcPr>
          <w:p w14:paraId="1E259E00">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4.4.90.51.00.00</w:t>
            </w:r>
          </w:p>
        </w:tc>
        <w:tc>
          <w:tcPr>
            <w:tcW w:w="4840" w:type="dxa"/>
            <w:shd w:val="clear" w:color="auto" w:fill="FFFFFF" w:themeFill="background1"/>
          </w:tcPr>
          <w:p w14:paraId="242B2A69">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Obras e instalações </w:t>
            </w:r>
          </w:p>
        </w:tc>
      </w:tr>
      <w:tr w14:paraId="352B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431" w:hRule="exact"/>
        </w:trPr>
        <w:tc>
          <w:tcPr>
            <w:tcW w:w="2248" w:type="dxa"/>
            <w:shd w:val="clear" w:color="auto" w:fill="FFFFFF" w:themeFill="background1"/>
          </w:tcPr>
          <w:p w14:paraId="4BAA1AF4">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Sub elemento</w:t>
            </w:r>
          </w:p>
        </w:tc>
        <w:tc>
          <w:tcPr>
            <w:tcW w:w="1843" w:type="dxa"/>
            <w:shd w:val="clear" w:color="auto" w:fill="FFFFFF" w:themeFill="background1"/>
          </w:tcPr>
          <w:p w14:paraId="57D8D8CF">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99</w:t>
            </w:r>
          </w:p>
        </w:tc>
        <w:tc>
          <w:tcPr>
            <w:tcW w:w="4840" w:type="dxa"/>
            <w:shd w:val="clear" w:color="auto" w:fill="FFFFFF" w:themeFill="background1"/>
          </w:tcPr>
          <w:p w14:paraId="350252B2">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OUTRAS OBRAS E INSTALAÇÕES </w:t>
            </w:r>
          </w:p>
        </w:tc>
      </w:tr>
      <w:tr w14:paraId="0D441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707" w:hRule="exact"/>
        </w:trPr>
        <w:tc>
          <w:tcPr>
            <w:tcW w:w="2248" w:type="dxa"/>
            <w:shd w:val="clear" w:color="auto" w:fill="FFFFFF" w:themeFill="background1"/>
          </w:tcPr>
          <w:p w14:paraId="556F4811">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f. de recurso</w:t>
            </w:r>
          </w:p>
        </w:tc>
        <w:tc>
          <w:tcPr>
            <w:tcW w:w="1843" w:type="dxa"/>
            <w:shd w:val="clear" w:color="auto" w:fill="FFFFFF" w:themeFill="background1"/>
          </w:tcPr>
          <w:p w14:paraId="292C9309">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2550</w:t>
            </w:r>
          </w:p>
        </w:tc>
        <w:tc>
          <w:tcPr>
            <w:tcW w:w="4840" w:type="dxa"/>
            <w:shd w:val="clear" w:color="auto" w:fill="FFFFFF" w:themeFill="background1"/>
          </w:tcPr>
          <w:p w14:paraId="2E119876">
            <w:pPr>
              <w:rPr>
                <w:color w:val="000000" w:themeColor="text1"/>
                <w:szCs w:val="24"/>
                <w14:textFill>
                  <w14:solidFill>
                    <w14:schemeClr w14:val="tx1"/>
                  </w14:solidFill>
                </w14:textFill>
              </w:rPr>
            </w:pPr>
            <w:r>
              <w:rPr>
                <w:color w:val="000000" w:themeColor="text1"/>
                <w:szCs w:val="24"/>
                <w14:textFill>
                  <w14:solidFill>
                    <w14:schemeClr w14:val="tx1"/>
                  </w14:solidFill>
                </w14:textFill>
              </w:rPr>
              <w:t>Transferência do salário-Educação</w:t>
            </w:r>
          </w:p>
          <w:p w14:paraId="7412B8B0">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p>
        </w:tc>
      </w:tr>
      <w:tr w14:paraId="48D1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00"/>
          <w:tblCellMar>
            <w:top w:w="0" w:type="dxa"/>
            <w:left w:w="15" w:type="dxa"/>
            <w:bottom w:w="0" w:type="dxa"/>
            <w:right w:w="15" w:type="dxa"/>
          </w:tblCellMar>
        </w:tblPrEx>
        <w:trPr>
          <w:trHeight w:val="420" w:hRule="exact"/>
        </w:trPr>
        <w:tc>
          <w:tcPr>
            <w:tcW w:w="2248" w:type="dxa"/>
            <w:shd w:val="clear" w:color="auto" w:fill="FFFFFF" w:themeFill="background1"/>
          </w:tcPr>
          <w:p w14:paraId="097039C4">
            <w:pPr>
              <w:widowControl w:val="0"/>
              <w:autoSpaceDE w:val="0"/>
              <w:autoSpaceDN w:val="0"/>
              <w:adjustRightInd w:val="0"/>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Desdobramento</w:t>
            </w:r>
          </w:p>
        </w:tc>
        <w:tc>
          <w:tcPr>
            <w:tcW w:w="1843" w:type="dxa"/>
            <w:shd w:val="clear" w:color="auto" w:fill="FFFFFF" w:themeFill="background1"/>
          </w:tcPr>
          <w:p w14:paraId="3164C150">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0007000</w:t>
            </w:r>
          </w:p>
        </w:tc>
        <w:tc>
          <w:tcPr>
            <w:tcW w:w="4840" w:type="dxa"/>
            <w:shd w:val="clear" w:color="auto" w:fill="FFFFFF" w:themeFill="background1"/>
          </w:tcPr>
          <w:p w14:paraId="0158DAE1">
            <w:pPr>
              <w:widowControl w:val="0"/>
              <w:autoSpaceDE w:val="0"/>
              <w:autoSpaceDN w:val="0"/>
              <w:adjustRightInd w:val="0"/>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 xml:space="preserve">Sem código de acompanhamento </w:t>
            </w:r>
          </w:p>
        </w:tc>
      </w:tr>
    </w:tbl>
    <w:p w14:paraId="3274A02B">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14.2 A dotação relativa aos exercícios financeiros subsequentes será indicada após aprovação da Lei Orçamentária respectiva e liberação dos créditos correspondentes, mediante apostilamento.</w:t>
      </w:r>
    </w:p>
    <w:p w14:paraId="3F315F06">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64173501">
      <w:pPr>
        <w:pStyle w:val="70"/>
        <w:numPr>
          <w:ilvl w:val="0"/>
          <w:numId w:val="0"/>
        </w:numPr>
        <w:tabs>
          <w:tab w:val="left" w:pos="720"/>
        </w:tabs>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DÉCIMA QUINTA – DOS CASOS OMISSOS (</w:t>
      </w:r>
      <w:r>
        <w:fldChar w:fldCharType="begin"/>
      </w:r>
      <w:r>
        <w:instrText xml:space="preserve"> HYPERLINK "http://www.planalto.gov.br/ccivil_03/_ato2019-2022/2021/lei/L14133.htm" \l "art92" </w:instrText>
      </w:r>
      <w:r>
        <w:fldChar w:fldCharType="separate"/>
      </w:r>
      <w:r>
        <w:rPr>
          <w:rStyle w:val="17"/>
          <w:rFonts w:ascii="Times New Roman" w:hAnsi="Times New Roman"/>
          <w:color w:val="000000" w:themeColor="text1"/>
          <w:sz w:val="24"/>
          <w:szCs w:val="24"/>
          <w14:textFill>
            <w14:solidFill>
              <w14:schemeClr w14:val="tx1"/>
            </w14:solidFill>
          </w14:textFill>
        </w:rPr>
        <w:t>art. 92, III</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695960AC">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15.1 Os casos omissos serão decididos pelo contratante, segundo as disposições contidas na </w:t>
      </w:r>
      <w:r>
        <w:fldChar w:fldCharType="begin"/>
      </w:r>
      <w:r>
        <w:instrText xml:space="preserve"> HYPERLINK "http://www.planalto.gov.br/ccivil_03/_ato2019-2022/2021/lei/L14133.htm" </w:instrText>
      </w:r>
      <w:r>
        <w:fldChar w:fldCharType="separate"/>
      </w:r>
      <w:r>
        <w:rPr>
          <w:rFonts w:ascii="Times New Roman" w:hAnsi="Times New Roman"/>
          <w:color w:val="000000" w:themeColor="text1"/>
          <w:sz w:val="24"/>
          <w:szCs w:val="24"/>
          <w14:textFill>
            <w14:solidFill>
              <w14:schemeClr w14:val="tx1"/>
            </w14:solidFill>
          </w14:textFill>
        </w:rPr>
        <w:t>Lei nº 14.133, de 2021</w:t>
      </w:r>
      <w:r>
        <w:rPr>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e demais normas federais aplicáveis e, subsidiariamente, segundo as disposições contidas na </w:t>
      </w:r>
      <w:r>
        <w:fldChar w:fldCharType="begin"/>
      </w:r>
      <w:r>
        <w:instrText xml:space="preserve"> HYPERLINK "https://www.planalto.gov.br/ccivil_03/leis/l8078compilado.htm" </w:instrText>
      </w:r>
      <w:r>
        <w:fldChar w:fldCharType="separate"/>
      </w:r>
      <w:r>
        <w:rPr>
          <w:rStyle w:val="17"/>
          <w:rFonts w:ascii="Times New Roman" w:hAnsi="Times New Roman"/>
          <w:color w:val="000000" w:themeColor="text1"/>
          <w:sz w:val="24"/>
          <w:szCs w:val="24"/>
          <w14:textFill>
            <w14:solidFill>
              <w14:schemeClr w14:val="tx1"/>
            </w14:solidFill>
          </w14:textFill>
        </w:rPr>
        <w:t>Lei nº 8.078, de 1990 – Código de Defesa do Consumidor</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 e normas e princípios gerais dos contratos.</w:t>
      </w:r>
    </w:p>
    <w:p w14:paraId="24DE833F">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075DDCC9">
      <w:pPr>
        <w:pStyle w:val="70"/>
        <w:numPr>
          <w:ilvl w:val="0"/>
          <w:numId w:val="0"/>
        </w:numPr>
        <w:tabs>
          <w:tab w:val="left" w:pos="720"/>
        </w:tabs>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DÉCIMA SEXTA – ALTERAÇÕES</w:t>
      </w:r>
    </w:p>
    <w:p w14:paraId="36EBB6C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16.1 Eventuais alterações contratuais reger-se-ão pela disciplina dos </w:t>
      </w:r>
      <w:r>
        <w:fldChar w:fldCharType="begin"/>
      </w:r>
      <w:r>
        <w:instrText xml:space="preserve"> HYPERLINK "http://www.planalto.gov.br/ccivil_03/_ato2019-2022/2021/lei/L14133.htm" \l "art124" </w:instrText>
      </w:r>
      <w:r>
        <w:fldChar w:fldCharType="separate"/>
      </w:r>
      <w:r>
        <w:rPr>
          <w:rStyle w:val="17"/>
          <w:rFonts w:ascii="Times New Roman" w:hAnsi="Times New Roman"/>
          <w:color w:val="000000" w:themeColor="text1"/>
          <w:sz w:val="24"/>
          <w:szCs w:val="24"/>
          <w14:textFill>
            <w14:solidFill>
              <w14:schemeClr w14:val="tx1"/>
            </w14:solidFill>
          </w14:textFill>
        </w:rPr>
        <w:t>arts. 124 e seguintes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0BCFCD2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16.2 O contratado é obrigado a aceitar, nas mesmas condições contratuais, os acréscimos ou supressões que se fizerem necessários, até o limite de 25% (vinte e cinco por cento) do valor inicial atualizado do contrato.</w:t>
      </w:r>
    </w:p>
    <w:p w14:paraId="3DFD46DA">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893E73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16.4 Registros que não caracterizam alteração do contrato podem ser realizados por simples apostila, dispensada a celebração de termo aditivo, na forma do </w:t>
      </w:r>
      <w:r>
        <w:fldChar w:fldCharType="begin"/>
      </w:r>
      <w:r>
        <w:instrText xml:space="preserve"> HYPERLINK "http://www.planalto.gov.br/ccivil_03/_ato2019-2022/2021/lei/L14133.htm" \l "art136" </w:instrText>
      </w:r>
      <w:r>
        <w:fldChar w:fldCharType="separate"/>
      </w:r>
      <w:r>
        <w:rPr>
          <w:rStyle w:val="17"/>
          <w:rFonts w:ascii="Times New Roman" w:hAnsi="Times New Roman"/>
          <w:color w:val="000000" w:themeColor="text1"/>
          <w:sz w:val="24"/>
          <w:szCs w:val="24"/>
          <w14:textFill>
            <w14:solidFill>
              <w14:schemeClr w14:val="tx1"/>
            </w14:solidFill>
          </w14:textFill>
        </w:rPr>
        <w:t>art. 136 da Lei nº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1D194661">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6DADA937">
      <w:pPr>
        <w:pStyle w:val="70"/>
        <w:numPr>
          <w:ilvl w:val="0"/>
          <w:numId w:val="0"/>
        </w:numPr>
        <w:tabs>
          <w:tab w:val="left" w:pos="720"/>
        </w:tabs>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DÉCIMA SÉTIMA – PUBLICAÇÃO</w:t>
      </w:r>
    </w:p>
    <w:p w14:paraId="3A4182BD">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17.1 Incumbirá ao contratante divulgar o presente instrumento no Portal Nacional de Contratações Públicas (PNCP), na forma prevista no </w:t>
      </w:r>
      <w:r>
        <w:fldChar w:fldCharType="begin"/>
      </w:r>
      <w:r>
        <w:instrText xml:space="preserve"> HYPERLINK "http://www.planalto.gov.br/ccivil_03/_ato2019-2022/2021/lei/L14133.htm" \l "art94" </w:instrText>
      </w:r>
      <w:r>
        <w:fldChar w:fldCharType="separate"/>
      </w:r>
      <w:r>
        <w:rPr>
          <w:rStyle w:val="17"/>
          <w:rFonts w:ascii="Times New Roman" w:hAnsi="Times New Roman"/>
          <w:color w:val="000000" w:themeColor="text1"/>
          <w:sz w:val="24"/>
          <w:szCs w:val="24"/>
          <w14:textFill>
            <w14:solidFill>
              <w14:schemeClr w14:val="tx1"/>
            </w14:solidFill>
          </w14:textFill>
        </w:rPr>
        <w:t>art. 94 da Lei 14.133, de 2021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bem como no respectivo sítio oficial na Internet, em atenção ao art. 91, caput, da Lei n.º 14.133, de 2021, e ao  </w:t>
      </w:r>
      <w:r>
        <w:fldChar w:fldCharType="begin"/>
      </w:r>
      <w:r>
        <w:instrText xml:space="preserve"> HYPERLINK "https://www.planalto.gov.br/ccivil_03/_ato2011-2014/2011/lei/l12527.htm" \l "art8§2" </w:instrText>
      </w:r>
      <w:r>
        <w:fldChar w:fldCharType="separate"/>
      </w:r>
      <w:r>
        <w:rPr>
          <w:rStyle w:val="17"/>
          <w:rFonts w:ascii="Times New Roman" w:hAnsi="Times New Roman"/>
          <w:color w:val="000000" w:themeColor="text1"/>
          <w:sz w:val="24"/>
          <w:szCs w:val="24"/>
          <w14:textFill>
            <w14:solidFill>
              <w14:schemeClr w14:val="tx1"/>
            </w14:solidFill>
          </w14:textFill>
        </w:rPr>
        <w:t>art. 8º, §2º, da Lei n. 12.527, de 2011</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c/c </w:t>
      </w:r>
      <w:r>
        <w:fldChar w:fldCharType="begin"/>
      </w:r>
      <w:r>
        <w:instrText xml:space="preserve"> HYPERLINK "https://www.planalto.gov.br/ccivil_03/_ato2011-2014/2012/decreto/d7724.htm" \l "art7§3" </w:instrText>
      </w:r>
      <w:r>
        <w:fldChar w:fldCharType="separate"/>
      </w:r>
      <w:r>
        <w:rPr>
          <w:rStyle w:val="17"/>
          <w:rFonts w:ascii="Times New Roman" w:hAnsi="Times New Roman"/>
          <w:color w:val="000000" w:themeColor="text1"/>
          <w:sz w:val="24"/>
          <w:szCs w:val="24"/>
          <w14:textFill>
            <w14:solidFill>
              <w14:schemeClr w14:val="tx1"/>
            </w14:solidFill>
          </w14:textFill>
        </w:rPr>
        <w:t>art. 7º, §3º, inciso V, do Decreto n. 7.724, de 2012.</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 xml:space="preserve"> </w:t>
      </w:r>
    </w:p>
    <w:p w14:paraId="7E416BE4">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p>
    <w:p w14:paraId="2ED504DD">
      <w:pPr>
        <w:pStyle w:val="70"/>
        <w:numPr>
          <w:ilvl w:val="0"/>
          <w:numId w:val="0"/>
        </w:numPr>
        <w:tabs>
          <w:tab w:val="left" w:pos="720"/>
        </w:tabs>
        <w:spacing w:before="72" w:beforeLines="30" w:after="72" w:afterLines="30"/>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CLÁUSULA DÉCIMA OITAVA– FORO (</w:t>
      </w:r>
      <w:r>
        <w:fldChar w:fldCharType="begin"/>
      </w:r>
      <w:r>
        <w:instrText xml:space="preserve"> HYPERLINK "http://www.planalto.gov.br/ccivil_03/_ato2019-2022/2021/lei/L14133.htm" \l "art92§1" </w:instrText>
      </w:r>
      <w:r>
        <w:fldChar w:fldCharType="separate"/>
      </w:r>
      <w:r>
        <w:rPr>
          <w:rStyle w:val="17"/>
          <w:rFonts w:ascii="Times New Roman" w:hAnsi="Times New Roman"/>
          <w:color w:val="000000" w:themeColor="text1"/>
          <w:sz w:val="24"/>
          <w:szCs w:val="24"/>
          <w14:textFill>
            <w14:solidFill>
              <w14:schemeClr w14:val="tx1"/>
            </w14:solidFill>
          </w14:textFill>
        </w:rPr>
        <w:t>art. 92, §1º</w:t>
      </w:r>
      <w:r>
        <w:rPr>
          <w:rStyle w:val="17"/>
          <w:rFonts w:ascii="Times New Roman" w:hAnsi="Times New Roman"/>
          <w:color w:val="000000" w:themeColor="text1"/>
          <w:sz w:val="24"/>
          <w:szCs w:val="24"/>
          <w14:textFill>
            <w14:solidFill>
              <w14:schemeClr w14:val="tx1"/>
            </w14:solidFill>
          </w14:textFill>
        </w:rPr>
        <w:fldChar w:fldCharType="end"/>
      </w:r>
      <w:r>
        <w:rPr>
          <w:rFonts w:ascii="Times New Roman" w:hAnsi="Times New Roman"/>
          <w:color w:val="000000" w:themeColor="text1"/>
          <w:sz w:val="24"/>
          <w:szCs w:val="24"/>
          <w14:textFill>
            <w14:solidFill>
              <w14:schemeClr w14:val="tx1"/>
            </w14:solidFill>
          </w14:textFill>
        </w:rPr>
        <w:t>)</w:t>
      </w:r>
    </w:p>
    <w:p w14:paraId="3D284FA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18.1 Fica eleito o Foro da Comarca de Bela Vista/MS para dirimir os litígios que decorrerem da execução deste Termo de Contrato que não puderem ser compostos pela conciliação, conforme </w:t>
      </w:r>
      <w:r>
        <w:fldChar w:fldCharType="begin"/>
      </w:r>
      <w:r>
        <w:instrText xml:space="preserve"> HYPERLINK "http://www.planalto.gov.br/ccivil_03/_ato2019-2022/2021/lei/L14133.htm" \l "art92§1" </w:instrText>
      </w:r>
      <w:r>
        <w:fldChar w:fldCharType="separate"/>
      </w:r>
      <w:r>
        <w:rPr>
          <w:rStyle w:val="17"/>
          <w:rFonts w:ascii="Times New Roman" w:hAnsi="Times New Roman"/>
          <w:color w:val="000000" w:themeColor="text1"/>
          <w:sz w:val="24"/>
          <w:szCs w:val="24"/>
          <w14:textFill>
            <w14:solidFill>
              <w14:schemeClr w14:val="tx1"/>
            </w14:solidFill>
          </w14:textFill>
        </w:rPr>
        <w:t>art. 92, §1º, da Lei nº 14.133/21.</w:t>
      </w:r>
      <w:r>
        <w:rPr>
          <w:rStyle w:val="17"/>
          <w:rFonts w:ascii="Times New Roman" w:hAnsi="Times New Roman"/>
          <w:color w:val="000000" w:themeColor="text1"/>
          <w:sz w:val="24"/>
          <w:szCs w:val="24"/>
          <w14:textFill>
            <w14:solidFill>
              <w14:schemeClr w14:val="tx1"/>
            </w14:solidFill>
          </w14:textFill>
        </w:rPr>
        <w:fldChar w:fldCharType="end"/>
      </w:r>
    </w:p>
    <w:p w14:paraId="4E848A71">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[Local], [dia] de [mês] de [ano].</w:t>
      </w:r>
    </w:p>
    <w:p w14:paraId="4DBFE38C">
      <w:pPr>
        <w:spacing w:before="72" w:beforeLines="30" w:after="72" w:afterLines="30"/>
        <w:jc w:val="both"/>
        <w:rPr>
          <w:bCs/>
          <w:color w:val="000000" w:themeColor="text1"/>
          <w:szCs w:val="24"/>
          <w14:textFill>
            <w14:solidFill>
              <w14:schemeClr w14:val="tx1"/>
            </w14:solidFill>
          </w14:textFill>
        </w:rPr>
      </w:pPr>
      <w:r>
        <w:rPr>
          <w:bCs/>
          <w:color w:val="000000" w:themeColor="text1"/>
          <w:szCs w:val="24"/>
          <w14:textFill>
            <w14:solidFill>
              <w14:schemeClr w14:val="tx1"/>
            </w14:solidFill>
          </w14:textFill>
        </w:rPr>
        <w:t>Representante legal do CONTRATANTE</w:t>
      </w:r>
    </w:p>
    <w:p w14:paraId="55894B2C">
      <w:pPr>
        <w:spacing w:before="72" w:beforeLines="30" w:after="72" w:afterLines="30"/>
        <w:jc w:val="both"/>
        <w:rPr>
          <w:color w:val="000000" w:themeColor="text1"/>
          <w:szCs w:val="24"/>
          <w14:textFill>
            <w14:solidFill>
              <w14:schemeClr w14:val="tx1"/>
            </w14:solidFill>
          </w14:textFill>
        </w:rPr>
      </w:pPr>
      <w:r>
        <w:rPr>
          <w:bCs/>
          <w:color w:val="000000" w:themeColor="text1"/>
          <w:szCs w:val="24"/>
          <w14:textFill>
            <w14:solidFill>
              <w14:schemeClr w14:val="tx1"/>
            </w14:solidFill>
          </w14:textFill>
        </w:rPr>
        <w:t>Representante</w:t>
      </w:r>
      <w:r>
        <w:rPr>
          <w:color w:val="000000" w:themeColor="text1"/>
          <w:szCs w:val="24"/>
          <w14:textFill>
            <w14:solidFill>
              <w14:schemeClr w14:val="tx1"/>
            </w14:solidFill>
          </w14:textFill>
        </w:rPr>
        <w:t xml:space="preserve"> legal do CONTRATADO</w:t>
      </w:r>
    </w:p>
    <w:p w14:paraId="0F15C49C">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TESTEMUNHAS:</w:t>
      </w:r>
    </w:p>
    <w:p w14:paraId="51243E2E">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1-</w:t>
      </w:r>
    </w:p>
    <w:p w14:paraId="76725CAD">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 </w:t>
      </w:r>
    </w:p>
    <w:p w14:paraId="1C5A3D41">
      <w:pPr>
        <w:suppressAutoHyphens w:val="0"/>
        <w:spacing w:before="30" w:after="30"/>
        <w:jc w:val="both"/>
        <w:rPr>
          <w:color w:val="000000" w:themeColor="text1"/>
          <w:szCs w:val="24"/>
          <w14:textFill>
            <w14:solidFill>
              <w14:schemeClr w14:val="tx1"/>
            </w14:solidFill>
          </w14:textFill>
        </w:rPr>
      </w:pPr>
    </w:p>
    <w:p w14:paraId="4CECA960">
      <w:pPr>
        <w:suppressAutoHyphens w:val="0"/>
        <w:rPr>
          <w:b/>
          <w:color w:val="000000" w:themeColor="text1"/>
          <w:szCs w:val="24"/>
          <w14:textFill>
            <w14:solidFill>
              <w14:schemeClr w14:val="tx1"/>
            </w14:solidFill>
          </w14:textFill>
        </w:rPr>
      </w:pPr>
    </w:p>
    <w:p w14:paraId="2E2A9BA5">
      <w:pPr>
        <w:suppressAutoHyphens w:val="0"/>
        <w:rPr>
          <w:b/>
          <w:color w:val="000000" w:themeColor="text1"/>
          <w:szCs w:val="24"/>
          <w14:textFill>
            <w14:solidFill>
              <w14:schemeClr w14:val="tx1"/>
            </w14:solidFill>
          </w14:textFill>
        </w:rPr>
      </w:pPr>
      <w:r>
        <w:rPr>
          <w:b/>
          <w:color w:val="000000" w:themeColor="text1"/>
          <w:szCs w:val="24"/>
          <w14:textFill>
            <w14:solidFill>
              <w14:schemeClr w14:val="tx1"/>
            </w14:solidFill>
          </w14:textFill>
        </w:rPr>
        <w:br w:type="page"/>
      </w:r>
    </w:p>
    <w:p w14:paraId="33A1E5A1">
      <w:pPr>
        <w:spacing w:before="72" w:beforeLines="30" w:after="72" w:afterLines="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ANEXO IV</w:t>
      </w:r>
    </w:p>
    <w:p w14:paraId="64F31F69">
      <w:pPr>
        <w:spacing w:before="72" w:beforeLines="30" w:after="72" w:afterLines="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MEMORIAL DESCRITIVO/PROJETO BÁSICO</w:t>
      </w:r>
    </w:p>
    <w:p w14:paraId="5E08FBC0">
      <w:pPr>
        <w:spacing w:before="72" w:beforeLines="30" w:after="72" w:afterLines="30"/>
        <w:jc w:val="both"/>
        <w:rPr>
          <w:b/>
          <w:color w:val="000000" w:themeColor="text1"/>
          <w:szCs w:val="24"/>
          <w14:textFill>
            <w14:solidFill>
              <w14:schemeClr w14:val="tx1"/>
            </w14:solidFill>
          </w14:textFill>
        </w:rPr>
      </w:pPr>
    </w:p>
    <w:p w14:paraId="19AED137">
      <w:pPr>
        <w:spacing w:before="72" w:beforeLines="30" w:after="72" w:afterLines="30"/>
        <w:jc w:val="both"/>
        <w:rPr>
          <w:b/>
          <w:color w:val="000000" w:themeColor="text1"/>
          <w:szCs w:val="24"/>
          <w14:textFill>
            <w14:solidFill>
              <w14:schemeClr w14:val="tx1"/>
            </w14:solidFill>
          </w14:textFill>
        </w:rPr>
      </w:pPr>
    </w:p>
    <w:p w14:paraId="629CE400">
      <w:pPr>
        <w:spacing w:before="72" w:beforeLines="30" w:after="72" w:afterLines="30"/>
        <w:jc w:val="both"/>
        <w:rPr>
          <w:b/>
          <w:color w:val="000000" w:themeColor="text1"/>
          <w:szCs w:val="24"/>
          <w14:textFill>
            <w14:solidFill>
              <w14:schemeClr w14:val="tx1"/>
            </w14:solidFill>
          </w14:textFill>
        </w:rPr>
      </w:pPr>
    </w:p>
    <w:p w14:paraId="37E3B69B">
      <w:pPr>
        <w:spacing w:before="72" w:beforeLines="30" w:after="72" w:afterLines="30"/>
        <w:jc w:val="both"/>
        <w:rPr>
          <w:b/>
          <w:color w:val="000000" w:themeColor="text1"/>
          <w:szCs w:val="24"/>
          <w14:textFill>
            <w14:solidFill>
              <w14:schemeClr w14:val="tx1"/>
            </w14:solidFill>
          </w14:textFill>
        </w:rPr>
      </w:pPr>
    </w:p>
    <w:p w14:paraId="35E133A6">
      <w:pPr>
        <w:spacing w:before="72" w:beforeLines="30" w:after="72" w:afterLines="30"/>
        <w:jc w:val="both"/>
        <w:rPr>
          <w:b/>
          <w:color w:val="000000" w:themeColor="text1"/>
          <w:szCs w:val="24"/>
          <w14:textFill>
            <w14:solidFill>
              <w14:schemeClr w14:val="tx1"/>
            </w14:solidFill>
          </w14:textFill>
        </w:rPr>
      </w:pPr>
    </w:p>
    <w:p w14:paraId="1B872AE4">
      <w:pPr>
        <w:spacing w:before="72" w:beforeLines="30" w:after="72" w:afterLines="30"/>
        <w:jc w:val="both"/>
        <w:rPr>
          <w:b/>
          <w:color w:val="000000" w:themeColor="text1"/>
          <w:szCs w:val="24"/>
          <w14:textFill>
            <w14:solidFill>
              <w14:schemeClr w14:val="tx1"/>
            </w14:solidFill>
          </w14:textFill>
        </w:rPr>
      </w:pPr>
    </w:p>
    <w:p w14:paraId="2B854086">
      <w:pPr>
        <w:spacing w:before="72" w:beforeLines="30" w:after="72" w:afterLines="30"/>
        <w:jc w:val="both"/>
        <w:rPr>
          <w:b/>
          <w:color w:val="000000" w:themeColor="text1"/>
          <w:szCs w:val="24"/>
          <w14:textFill>
            <w14:solidFill>
              <w14:schemeClr w14:val="tx1"/>
            </w14:solidFill>
          </w14:textFill>
        </w:rPr>
      </w:pPr>
    </w:p>
    <w:p w14:paraId="32092A66">
      <w:pPr>
        <w:spacing w:before="72" w:beforeLines="30" w:after="72" w:afterLines="30"/>
        <w:jc w:val="both"/>
        <w:rPr>
          <w:b/>
          <w:color w:val="000000" w:themeColor="text1"/>
          <w:szCs w:val="24"/>
          <w14:textFill>
            <w14:solidFill>
              <w14:schemeClr w14:val="tx1"/>
            </w14:solidFill>
          </w14:textFill>
        </w:rPr>
      </w:pPr>
    </w:p>
    <w:p w14:paraId="24AC5D1A">
      <w:pPr>
        <w:spacing w:before="72" w:beforeLines="30" w:after="72" w:afterLines="30"/>
        <w:jc w:val="both"/>
        <w:rPr>
          <w:b/>
          <w:color w:val="000000" w:themeColor="text1"/>
          <w:szCs w:val="24"/>
          <w14:textFill>
            <w14:solidFill>
              <w14:schemeClr w14:val="tx1"/>
            </w14:solidFill>
          </w14:textFill>
        </w:rPr>
      </w:pPr>
    </w:p>
    <w:p w14:paraId="037C8451">
      <w:pPr>
        <w:spacing w:before="72" w:beforeLines="30" w:after="72" w:afterLines="30"/>
        <w:jc w:val="both"/>
        <w:rPr>
          <w:b/>
          <w:color w:val="000000" w:themeColor="text1"/>
          <w:szCs w:val="24"/>
          <w14:textFill>
            <w14:solidFill>
              <w14:schemeClr w14:val="tx1"/>
            </w14:solidFill>
          </w14:textFill>
        </w:rPr>
      </w:pPr>
    </w:p>
    <w:p w14:paraId="5AECD10B">
      <w:pPr>
        <w:spacing w:before="72" w:beforeLines="30" w:after="72" w:afterLines="30"/>
        <w:jc w:val="both"/>
        <w:rPr>
          <w:b/>
          <w:color w:val="000000" w:themeColor="text1"/>
          <w:szCs w:val="24"/>
          <w14:textFill>
            <w14:solidFill>
              <w14:schemeClr w14:val="tx1"/>
            </w14:solidFill>
          </w14:textFill>
        </w:rPr>
      </w:pPr>
    </w:p>
    <w:p w14:paraId="4A1C86FC">
      <w:pPr>
        <w:spacing w:before="72" w:beforeLines="30" w:after="72" w:afterLines="30"/>
        <w:jc w:val="both"/>
        <w:rPr>
          <w:b/>
          <w:color w:val="000000" w:themeColor="text1"/>
          <w:szCs w:val="24"/>
          <w14:textFill>
            <w14:solidFill>
              <w14:schemeClr w14:val="tx1"/>
            </w14:solidFill>
          </w14:textFill>
        </w:rPr>
      </w:pPr>
    </w:p>
    <w:p w14:paraId="43735248">
      <w:pPr>
        <w:spacing w:before="72" w:beforeLines="30" w:after="72" w:afterLines="30"/>
        <w:jc w:val="both"/>
        <w:rPr>
          <w:b/>
          <w:color w:val="000000" w:themeColor="text1"/>
          <w:szCs w:val="24"/>
          <w14:textFill>
            <w14:solidFill>
              <w14:schemeClr w14:val="tx1"/>
            </w14:solidFill>
          </w14:textFill>
        </w:rPr>
      </w:pPr>
    </w:p>
    <w:p w14:paraId="3A285ABD">
      <w:pPr>
        <w:spacing w:before="72" w:beforeLines="30" w:after="72" w:afterLines="30"/>
        <w:jc w:val="both"/>
        <w:rPr>
          <w:b/>
          <w:color w:val="000000" w:themeColor="text1"/>
          <w:szCs w:val="24"/>
          <w14:textFill>
            <w14:solidFill>
              <w14:schemeClr w14:val="tx1"/>
            </w14:solidFill>
          </w14:textFill>
        </w:rPr>
      </w:pPr>
    </w:p>
    <w:p w14:paraId="392DE28C">
      <w:pPr>
        <w:spacing w:before="72" w:beforeLines="30" w:after="72" w:afterLines="30"/>
        <w:jc w:val="both"/>
        <w:rPr>
          <w:b/>
          <w:color w:val="000000" w:themeColor="text1"/>
          <w:szCs w:val="24"/>
          <w14:textFill>
            <w14:solidFill>
              <w14:schemeClr w14:val="tx1"/>
            </w14:solidFill>
          </w14:textFill>
        </w:rPr>
      </w:pPr>
    </w:p>
    <w:p w14:paraId="3058DF31">
      <w:pPr>
        <w:spacing w:before="72" w:beforeLines="30" w:after="72" w:afterLines="30"/>
        <w:jc w:val="both"/>
        <w:rPr>
          <w:b/>
          <w:color w:val="000000" w:themeColor="text1"/>
          <w:szCs w:val="24"/>
          <w14:textFill>
            <w14:solidFill>
              <w14:schemeClr w14:val="tx1"/>
            </w14:solidFill>
          </w14:textFill>
        </w:rPr>
      </w:pPr>
    </w:p>
    <w:p w14:paraId="5C771578">
      <w:pPr>
        <w:spacing w:before="72" w:beforeLines="30" w:after="72" w:afterLines="30"/>
        <w:jc w:val="both"/>
        <w:rPr>
          <w:b/>
          <w:color w:val="000000" w:themeColor="text1"/>
          <w:szCs w:val="24"/>
          <w14:textFill>
            <w14:solidFill>
              <w14:schemeClr w14:val="tx1"/>
            </w14:solidFill>
          </w14:textFill>
        </w:rPr>
      </w:pPr>
    </w:p>
    <w:p w14:paraId="5F7F7F0C">
      <w:pPr>
        <w:spacing w:before="72" w:beforeLines="30" w:after="72" w:afterLines="30"/>
        <w:jc w:val="both"/>
        <w:rPr>
          <w:b/>
          <w:color w:val="000000" w:themeColor="text1"/>
          <w:szCs w:val="24"/>
          <w14:textFill>
            <w14:solidFill>
              <w14:schemeClr w14:val="tx1"/>
            </w14:solidFill>
          </w14:textFill>
        </w:rPr>
      </w:pPr>
    </w:p>
    <w:p w14:paraId="3939E320">
      <w:pPr>
        <w:spacing w:before="72" w:beforeLines="30" w:after="72" w:afterLines="30"/>
        <w:jc w:val="both"/>
        <w:rPr>
          <w:b/>
          <w:color w:val="000000" w:themeColor="text1"/>
          <w:szCs w:val="24"/>
          <w14:textFill>
            <w14:solidFill>
              <w14:schemeClr w14:val="tx1"/>
            </w14:solidFill>
          </w14:textFill>
        </w:rPr>
      </w:pPr>
    </w:p>
    <w:p w14:paraId="7CCB0E73">
      <w:pPr>
        <w:spacing w:before="72" w:beforeLines="30" w:after="72" w:afterLines="30"/>
        <w:jc w:val="both"/>
        <w:rPr>
          <w:b/>
          <w:color w:val="000000" w:themeColor="text1"/>
          <w:szCs w:val="24"/>
          <w14:textFill>
            <w14:solidFill>
              <w14:schemeClr w14:val="tx1"/>
            </w14:solidFill>
          </w14:textFill>
        </w:rPr>
      </w:pPr>
    </w:p>
    <w:p w14:paraId="14F64B17">
      <w:pPr>
        <w:spacing w:before="72" w:beforeLines="30" w:after="72" w:afterLines="30"/>
        <w:jc w:val="both"/>
        <w:rPr>
          <w:b/>
          <w:color w:val="000000" w:themeColor="text1"/>
          <w:szCs w:val="24"/>
          <w14:textFill>
            <w14:solidFill>
              <w14:schemeClr w14:val="tx1"/>
            </w14:solidFill>
          </w14:textFill>
        </w:rPr>
      </w:pPr>
    </w:p>
    <w:p w14:paraId="47AB67D4">
      <w:pPr>
        <w:spacing w:before="72" w:beforeLines="30" w:after="72" w:afterLines="30"/>
        <w:jc w:val="both"/>
        <w:rPr>
          <w:b/>
          <w:color w:val="000000" w:themeColor="text1"/>
          <w:szCs w:val="24"/>
          <w14:textFill>
            <w14:solidFill>
              <w14:schemeClr w14:val="tx1"/>
            </w14:solidFill>
          </w14:textFill>
        </w:rPr>
      </w:pPr>
    </w:p>
    <w:p w14:paraId="15BB0BE1">
      <w:pPr>
        <w:spacing w:before="72" w:beforeLines="30" w:after="72" w:afterLines="30"/>
        <w:jc w:val="both"/>
        <w:rPr>
          <w:b/>
          <w:color w:val="000000" w:themeColor="text1"/>
          <w:szCs w:val="24"/>
          <w14:textFill>
            <w14:solidFill>
              <w14:schemeClr w14:val="tx1"/>
            </w14:solidFill>
          </w14:textFill>
        </w:rPr>
      </w:pPr>
    </w:p>
    <w:p w14:paraId="43C384BD">
      <w:pPr>
        <w:spacing w:before="72" w:beforeLines="30" w:after="72" w:afterLines="30"/>
        <w:jc w:val="both"/>
        <w:rPr>
          <w:b/>
          <w:color w:val="000000" w:themeColor="text1"/>
          <w:szCs w:val="24"/>
          <w14:textFill>
            <w14:solidFill>
              <w14:schemeClr w14:val="tx1"/>
            </w14:solidFill>
          </w14:textFill>
        </w:rPr>
      </w:pPr>
    </w:p>
    <w:p w14:paraId="3EC823DF">
      <w:pPr>
        <w:spacing w:before="72" w:beforeLines="30" w:after="72" w:afterLines="30"/>
        <w:jc w:val="both"/>
        <w:rPr>
          <w:b/>
          <w:color w:val="000000" w:themeColor="text1"/>
          <w:szCs w:val="24"/>
          <w14:textFill>
            <w14:solidFill>
              <w14:schemeClr w14:val="tx1"/>
            </w14:solidFill>
          </w14:textFill>
        </w:rPr>
      </w:pPr>
    </w:p>
    <w:p w14:paraId="1F14FA5B">
      <w:pPr>
        <w:spacing w:before="72" w:beforeLines="30" w:after="72" w:afterLines="30"/>
        <w:jc w:val="both"/>
        <w:rPr>
          <w:b/>
          <w:color w:val="000000" w:themeColor="text1"/>
          <w:szCs w:val="24"/>
          <w14:textFill>
            <w14:solidFill>
              <w14:schemeClr w14:val="tx1"/>
            </w14:solidFill>
          </w14:textFill>
        </w:rPr>
      </w:pPr>
    </w:p>
    <w:p w14:paraId="02D52E75">
      <w:pPr>
        <w:spacing w:before="72" w:beforeLines="30" w:after="72" w:afterLines="30"/>
        <w:jc w:val="both"/>
        <w:rPr>
          <w:b/>
          <w:color w:val="000000" w:themeColor="text1"/>
          <w:szCs w:val="24"/>
          <w14:textFill>
            <w14:solidFill>
              <w14:schemeClr w14:val="tx1"/>
            </w14:solidFill>
          </w14:textFill>
        </w:rPr>
      </w:pPr>
    </w:p>
    <w:p w14:paraId="4763F739">
      <w:pPr>
        <w:spacing w:before="72" w:beforeLines="30" w:after="72" w:afterLines="30"/>
        <w:jc w:val="both"/>
        <w:rPr>
          <w:b/>
          <w:color w:val="000000" w:themeColor="text1"/>
          <w:szCs w:val="24"/>
          <w14:textFill>
            <w14:solidFill>
              <w14:schemeClr w14:val="tx1"/>
            </w14:solidFill>
          </w14:textFill>
        </w:rPr>
      </w:pPr>
    </w:p>
    <w:p w14:paraId="611032CE">
      <w:pPr>
        <w:spacing w:before="72" w:beforeLines="30" w:after="72" w:afterLines="30"/>
        <w:jc w:val="both"/>
        <w:rPr>
          <w:b/>
          <w:color w:val="000000" w:themeColor="text1"/>
          <w:szCs w:val="24"/>
          <w14:textFill>
            <w14:solidFill>
              <w14:schemeClr w14:val="tx1"/>
            </w14:solidFill>
          </w14:textFill>
        </w:rPr>
      </w:pPr>
    </w:p>
    <w:p w14:paraId="4579E54C">
      <w:pPr>
        <w:spacing w:before="72" w:beforeLines="30" w:after="72" w:afterLines="30"/>
        <w:jc w:val="both"/>
        <w:rPr>
          <w:b/>
          <w:color w:val="000000" w:themeColor="text1"/>
          <w:szCs w:val="24"/>
          <w14:textFill>
            <w14:solidFill>
              <w14:schemeClr w14:val="tx1"/>
            </w14:solidFill>
          </w14:textFill>
        </w:rPr>
      </w:pPr>
    </w:p>
    <w:p w14:paraId="705E73FE">
      <w:pPr>
        <w:spacing w:before="72" w:beforeLines="30" w:after="72" w:afterLines="30"/>
        <w:jc w:val="both"/>
        <w:rPr>
          <w:b/>
          <w:color w:val="000000" w:themeColor="text1"/>
          <w:szCs w:val="24"/>
          <w14:textFill>
            <w14:solidFill>
              <w14:schemeClr w14:val="tx1"/>
            </w14:solidFill>
          </w14:textFill>
        </w:rPr>
      </w:pPr>
    </w:p>
    <w:p w14:paraId="7294B9E0">
      <w:pPr>
        <w:spacing w:before="72" w:beforeLines="30" w:after="72" w:afterLines="30"/>
        <w:jc w:val="both"/>
        <w:rPr>
          <w:b/>
          <w:color w:val="000000" w:themeColor="text1"/>
          <w:szCs w:val="24"/>
          <w14:textFill>
            <w14:solidFill>
              <w14:schemeClr w14:val="tx1"/>
            </w14:solidFill>
          </w14:textFill>
        </w:rPr>
      </w:pPr>
    </w:p>
    <w:p w14:paraId="4EABC813">
      <w:pPr>
        <w:spacing w:before="72" w:beforeLines="30" w:after="72" w:afterLines="30"/>
        <w:jc w:val="both"/>
        <w:rPr>
          <w:b/>
          <w:color w:val="000000" w:themeColor="text1"/>
          <w:szCs w:val="24"/>
          <w14:textFill>
            <w14:solidFill>
              <w14:schemeClr w14:val="tx1"/>
            </w14:solidFill>
          </w14:textFill>
        </w:rPr>
      </w:pPr>
    </w:p>
    <w:p w14:paraId="2F276AED">
      <w:pPr>
        <w:spacing w:before="72" w:beforeLines="30" w:after="72" w:afterLines="30"/>
        <w:jc w:val="both"/>
        <w:rPr>
          <w:b/>
          <w:color w:val="000000" w:themeColor="text1"/>
          <w:szCs w:val="24"/>
          <w14:textFill>
            <w14:solidFill>
              <w14:schemeClr w14:val="tx1"/>
            </w14:solidFill>
          </w14:textFill>
        </w:rPr>
      </w:pPr>
    </w:p>
    <w:p w14:paraId="163DE0C4">
      <w:pPr>
        <w:spacing w:before="72" w:beforeLines="30" w:after="72" w:afterLines="30"/>
        <w:jc w:val="both"/>
        <w:rPr>
          <w:b/>
          <w:color w:val="000000" w:themeColor="text1"/>
          <w:szCs w:val="24"/>
          <w14:textFill>
            <w14:solidFill>
              <w14:schemeClr w14:val="tx1"/>
            </w14:solidFill>
          </w14:textFill>
        </w:rPr>
      </w:pPr>
    </w:p>
    <w:p w14:paraId="5EE46A6F">
      <w:pPr>
        <w:spacing w:before="72" w:beforeLines="30" w:after="72" w:afterLines="30"/>
        <w:jc w:val="both"/>
        <w:rPr>
          <w:b/>
          <w:color w:val="000000" w:themeColor="text1"/>
          <w:szCs w:val="24"/>
          <w14:textFill>
            <w14:solidFill>
              <w14:schemeClr w14:val="tx1"/>
            </w14:solidFill>
          </w14:textFill>
        </w:rPr>
      </w:pPr>
    </w:p>
    <w:p w14:paraId="3D50DC06">
      <w:pPr>
        <w:spacing w:before="72" w:beforeLines="30" w:after="72" w:afterLines="30"/>
        <w:jc w:val="both"/>
        <w:rPr>
          <w:b/>
          <w:color w:val="000000" w:themeColor="text1"/>
          <w:szCs w:val="24"/>
          <w14:textFill>
            <w14:solidFill>
              <w14:schemeClr w14:val="tx1"/>
            </w14:solidFill>
          </w14:textFill>
        </w:rPr>
      </w:pPr>
    </w:p>
    <w:p w14:paraId="7BD41D1B">
      <w:pPr>
        <w:spacing w:before="72" w:beforeLines="30" w:after="72" w:afterLines="30"/>
        <w:jc w:val="both"/>
        <w:rPr>
          <w:b/>
          <w:color w:val="000000" w:themeColor="text1"/>
          <w:szCs w:val="24"/>
          <w14:textFill>
            <w14:solidFill>
              <w14:schemeClr w14:val="tx1"/>
            </w14:solidFill>
          </w14:textFill>
        </w:rPr>
      </w:pPr>
    </w:p>
    <w:p w14:paraId="136D8D85">
      <w:pPr>
        <w:spacing w:before="72" w:beforeLines="30" w:after="72" w:afterLines="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ANEXO V</w:t>
      </w:r>
    </w:p>
    <w:p w14:paraId="6CDAF2C4">
      <w:pPr>
        <w:spacing w:before="72" w:beforeLines="30" w:after="72" w:afterLines="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PLANILHA ORÇAMENTÁRIA</w:t>
      </w:r>
    </w:p>
    <w:p w14:paraId="26A04609">
      <w:pPr>
        <w:spacing w:before="72" w:beforeLines="30" w:after="72" w:afterLines="30"/>
        <w:jc w:val="both"/>
        <w:rPr>
          <w:b/>
          <w:color w:val="000000" w:themeColor="text1"/>
          <w:szCs w:val="24"/>
          <w14:textFill>
            <w14:solidFill>
              <w14:schemeClr w14:val="tx1"/>
            </w14:solidFill>
          </w14:textFill>
        </w:rPr>
      </w:pPr>
    </w:p>
    <w:p w14:paraId="6DAB926C">
      <w:pPr>
        <w:spacing w:before="72" w:beforeLines="30" w:after="72" w:afterLines="30"/>
        <w:jc w:val="both"/>
        <w:rPr>
          <w:b/>
          <w:color w:val="000000" w:themeColor="text1"/>
          <w:szCs w:val="24"/>
          <w14:textFill>
            <w14:solidFill>
              <w14:schemeClr w14:val="tx1"/>
            </w14:solidFill>
          </w14:textFill>
        </w:rPr>
      </w:pPr>
    </w:p>
    <w:p w14:paraId="6A1D1A30">
      <w:pPr>
        <w:spacing w:before="72" w:beforeLines="30" w:after="72" w:afterLines="30"/>
        <w:jc w:val="both"/>
        <w:rPr>
          <w:b/>
          <w:color w:val="000000" w:themeColor="text1"/>
          <w:szCs w:val="24"/>
          <w14:textFill>
            <w14:solidFill>
              <w14:schemeClr w14:val="tx1"/>
            </w14:solidFill>
          </w14:textFill>
        </w:rPr>
      </w:pPr>
    </w:p>
    <w:p w14:paraId="7982A56F">
      <w:pPr>
        <w:spacing w:before="72" w:beforeLines="30" w:after="72" w:afterLines="30"/>
        <w:jc w:val="both"/>
        <w:rPr>
          <w:b/>
          <w:color w:val="000000" w:themeColor="text1"/>
          <w:szCs w:val="24"/>
          <w14:textFill>
            <w14:solidFill>
              <w14:schemeClr w14:val="tx1"/>
            </w14:solidFill>
          </w14:textFill>
        </w:rPr>
      </w:pPr>
    </w:p>
    <w:p w14:paraId="24119926">
      <w:pPr>
        <w:spacing w:before="72" w:beforeLines="30" w:after="72" w:afterLines="30"/>
        <w:jc w:val="both"/>
        <w:rPr>
          <w:b/>
          <w:color w:val="000000" w:themeColor="text1"/>
          <w:szCs w:val="24"/>
          <w14:textFill>
            <w14:solidFill>
              <w14:schemeClr w14:val="tx1"/>
            </w14:solidFill>
          </w14:textFill>
        </w:rPr>
      </w:pPr>
    </w:p>
    <w:p w14:paraId="522D0A2A">
      <w:pPr>
        <w:spacing w:before="72" w:beforeLines="30" w:after="72" w:afterLines="30"/>
        <w:jc w:val="both"/>
        <w:rPr>
          <w:b/>
          <w:color w:val="000000" w:themeColor="text1"/>
          <w:szCs w:val="24"/>
          <w14:textFill>
            <w14:solidFill>
              <w14:schemeClr w14:val="tx1"/>
            </w14:solidFill>
          </w14:textFill>
        </w:rPr>
      </w:pPr>
    </w:p>
    <w:p w14:paraId="24EBD26A">
      <w:pPr>
        <w:spacing w:before="72" w:beforeLines="30" w:after="72" w:afterLines="30"/>
        <w:jc w:val="both"/>
        <w:rPr>
          <w:b/>
          <w:color w:val="000000" w:themeColor="text1"/>
          <w:szCs w:val="24"/>
          <w14:textFill>
            <w14:solidFill>
              <w14:schemeClr w14:val="tx1"/>
            </w14:solidFill>
          </w14:textFill>
        </w:rPr>
      </w:pPr>
    </w:p>
    <w:p w14:paraId="05F3E83B">
      <w:pPr>
        <w:spacing w:before="72" w:beforeLines="30" w:after="72" w:afterLines="30"/>
        <w:jc w:val="both"/>
        <w:rPr>
          <w:b/>
          <w:color w:val="000000" w:themeColor="text1"/>
          <w:szCs w:val="24"/>
          <w14:textFill>
            <w14:solidFill>
              <w14:schemeClr w14:val="tx1"/>
            </w14:solidFill>
          </w14:textFill>
        </w:rPr>
      </w:pPr>
    </w:p>
    <w:p w14:paraId="7920C9FD">
      <w:pPr>
        <w:spacing w:before="72" w:beforeLines="30" w:after="72" w:afterLines="30"/>
        <w:jc w:val="both"/>
        <w:rPr>
          <w:b/>
          <w:color w:val="000000" w:themeColor="text1"/>
          <w:szCs w:val="24"/>
          <w14:textFill>
            <w14:solidFill>
              <w14:schemeClr w14:val="tx1"/>
            </w14:solidFill>
          </w14:textFill>
        </w:rPr>
      </w:pPr>
    </w:p>
    <w:p w14:paraId="79F1F5B4">
      <w:pPr>
        <w:spacing w:before="72" w:beforeLines="30" w:after="72" w:afterLines="30"/>
        <w:jc w:val="both"/>
        <w:rPr>
          <w:b/>
          <w:color w:val="000000" w:themeColor="text1"/>
          <w:szCs w:val="24"/>
          <w14:textFill>
            <w14:solidFill>
              <w14:schemeClr w14:val="tx1"/>
            </w14:solidFill>
          </w14:textFill>
        </w:rPr>
      </w:pPr>
    </w:p>
    <w:p w14:paraId="526BF1E7">
      <w:pPr>
        <w:spacing w:before="72" w:beforeLines="30" w:after="72" w:afterLines="30"/>
        <w:jc w:val="both"/>
        <w:rPr>
          <w:b/>
          <w:color w:val="000000" w:themeColor="text1"/>
          <w:szCs w:val="24"/>
          <w14:textFill>
            <w14:solidFill>
              <w14:schemeClr w14:val="tx1"/>
            </w14:solidFill>
          </w14:textFill>
        </w:rPr>
      </w:pPr>
    </w:p>
    <w:p w14:paraId="122BF9F8">
      <w:pPr>
        <w:spacing w:before="72" w:beforeLines="30" w:after="72" w:afterLines="30"/>
        <w:jc w:val="both"/>
        <w:rPr>
          <w:b/>
          <w:color w:val="000000" w:themeColor="text1"/>
          <w:szCs w:val="24"/>
          <w14:textFill>
            <w14:solidFill>
              <w14:schemeClr w14:val="tx1"/>
            </w14:solidFill>
          </w14:textFill>
        </w:rPr>
      </w:pPr>
    </w:p>
    <w:p w14:paraId="3C216AC6">
      <w:pPr>
        <w:spacing w:before="72" w:beforeLines="30" w:after="72" w:afterLines="30"/>
        <w:jc w:val="both"/>
        <w:rPr>
          <w:b/>
          <w:color w:val="000000" w:themeColor="text1"/>
          <w:szCs w:val="24"/>
          <w14:textFill>
            <w14:solidFill>
              <w14:schemeClr w14:val="tx1"/>
            </w14:solidFill>
          </w14:textFill>
        </w:rPr>
      </w:pPr>
    </w:p>
    <w:p w14:paraId="6909F2F0">
      <w:pPr>
        <w:spacing w:before="72" w:beforeLines="30" w:after="72" w:afterLines="30"/>
        <w:jc w:val="both"/>
        <w:rPr>
          <w:b/>
          <w:color w:val="000000" w:themeColor="text1"/>
          <w:szCs w:val="24"/>
          <w14:textFill>
            <w14:solidFill>
              <w14:schemeClr w14:val="tx1"/>
            </w14:solidFill>
          </w14:textFill>
        </w:rPr>
      </w:pPr>
    </w:p>
    <w:p w14:paraId="3DB9C631">
      <w:pPr>
        <w:spacing w:before="72" w:beforeLines="30" w:after="72" w:afterLines="30"/>
        <w:jc w:val="both"/>
        <w:rPr>
          <w:b/>
          <w:color w:val="000000" w:themeColor="text1"/>
          <w:szCs w:val="24"/>
          <w14:textFill>
            <w14:solidFill>
              <w14:schemeClr w14:val="tx1"/>
            </w14:solidFill>
          </w14:textFill>
        </w:rPr>
      </w:pPr>
    </w:p>
    <w:p w14:paraId="1AF519F3">
      <w:pPr>
        <w:spacing w:before="72" w:beforeLines="30" w:after="72" w:afterLines="30"/>
        <w:jc w:val="both"/>
        <w:rPr>
          <w:b/>
          <w:color w:val="000000" w:themeColor="text1"/>
          <w:szCs w:val="24"/>
          <w14:textFill>
            <w14:solidFill>
              <w14:schemeClr w14:val="tx1"/>
            </w14:solidFill>
          </w14:textFill>
        </w:rPr>
      </w:pPr>
    </w:p>
    <w:p w14:paraId="47F13214">
      <w:pPr>
        <w:spacing w:before="72" w:beforeLines="30" w:after="72" w:afterLines="30"/>
        <w:jc w:val="both"/>
        <w:rPr>
          <w:b/>
          <w:color w:val="000000" w:themeColor="text1"/>
          <w:szCs w:val="24"/>
          <w14:textFill>
            <w14:solidFill>
              <w14:schemeClr w14:val="tx1"/>
            </w14:solidFill>
          </w14:textFill>
        </w:rPr>
      </w:pPr>
    </w:p>
    <w:p w14:paraId="0B1B08F4">
      <w:pPr>
        <w:spacing w:before="72" w:beforeLines="30" w:after="72" w:afterLines="30"/>
        <w:jc w:val="both"/>
        <w:rPr>
          <w:b/>
          <w:color w:val="000000" w:themeColor="text1"/>
          <w:szCs w:val="24"/>
          <w14:textFill>
            <w14:solidFill>
              <w14:schemeClr w14:val="tx1"/>
            </w14:solidFill>
          </w14:textFill>
        </w:rPr>
      </w:pPr>
    </w:p>
    <w:p w14:paraId="27332A65">
      <w:pPr>
        <w:spacing w:before="72" w:beforeLines="30" w:after="72" w:afterLines="30"/>
        <w:jc w:val="both"/>
        <w:rPr>
          <w:b/>
          <w:color w:val="000000" w:themeColor="text1"/>
          <w:szCs w:val="24"/>
          <w14:textFill>
            <w14:solidFill>
              <w14:schemeClr w14:val="tx1"/>
            </w14:solidFill>
          </w14:textFill>
        </w:rPr>
      </w:pPr>
    </w:p>
    <w:p w14:paraId="70EE2F8B">
      <w:pPr>
        <w:spacing w:before="72" w:beforeLines="30" w:after="72" w:afterLines="30"/>
        <w:jc w:val="both"/>
        <w:rPr>
          <w:b/>
          <w:color w:val="000000" w:themeColor="text1"/>
          <w:szCs w:val="24"/>
          <w14:textFill>
            <w14:solidFill>
              <w14:schemeClr w14:val="tx1"/>
            </w14:solidFill>
          </w14:textFill>
        </w:rPr>
      </w:pPr>
    </w:p>
    <w:p w14:paraId="7CA2D2F1">
      <w:pPr>
        <w:spacing w:before="72" w:beforeLines="30" w:after="72" w:afterLines="30"/>
        <w:jc w:val="both"/>
        <w:rPr>
          <w:b/>
          <w:color w:val="000000" w:themeColor="text1"/>
          <w:szCs w:val="24"/>
          <w14:textFill>
            <w14:solidFill>
              <w14:schemeClr w14:val="tx1"/>
            </w14:solidFill>
          </w14:textFill>
        </w:rPr>
      </w:pPr>
    </w:p>
    <w:p w14:paraId="0D8353AD">
      <w:pPr>
        <w:spacing w:before="72" w:beforeLines="30" w:after="72" w:afterLines="30"/>
        <w:jc w:val="both"/>
        <w:rPr>
          <w:b/>
          <w:color w:val="000000" w:themeColor="text1"/>
          <w:szCs w:val="24"/>
          <w14:textFill>
            <w14:solidFill>
              <w14:schemeClr w14:val="tx1"/>
            </w14:solidFill>
          </w14:textFill>
        </w:rPr>
      </w:pPr>
    </w:p>
    <w:p w14:paraId="022DCB86">
      <w:pPr>
        <w:spacing w:before="72" w:beforeLines="30" w:after="72" w:afterLines="30"/>
        <w:jc w:val="both"/>
        <w:rPr>
          <w:b/>
          <w:color w:val="000000" w:themeColor="text1"/>
          <w:szCs w:val="24"/>
          <w14:textFill>
            <w14:solidFill>
              <w14:schemeClr w14:val="tx1"/>
            </w14:solidFill>
          </w14:textFill>
        </w:rPr>
      </w:pPr>
    </w:p>
    <w:p w14:paraId="31E58595">
      <w:pPr>
        <w:spacing w:before="72" w:beforeLines="30" w:after="72" w:afterLines="30"/>
        <w:jc w:val="both"/>
        <w:rPr>
          <w:b/>
          <w:color w:val="000000" w:themeColor="text1"/>
          <w:szCs w:val="24"/>
          <w14:textFill>
            <w14:solidFill>
              <w14:schemeClr w14:val="tx1"/>
            </w14:solidFill>
          </w14:textFill>
        </w:rPr>
      </w:pPr>
    </w:p>
    <w:p w14:paraId="4D427DEC">
      <w:pPr>
        <w:spacing w:before="72" w:beforeLines="30" w:after="72" w:afterLines="30"/>
        <w:jc w:val="both"/>
        <w:rPr>
          <w:b/>
          <w:color w:val="000000" w:themeColor="text1"/>
          <w:szCs w:val="24"/>
          <w14:textFill>
            <w14:solidFill>
              <w14:schemeClr w14:val="tx1"/>
            </w14:solidFill>
          </w14:textFill>
        </w:rPr>
      </w:pPr>
    </w:p>
    <w:p w14:paraId="0AE59A95">
      <w:pPr>
        <w:spacing w:before="72" w:beforeLines="30" w:after="72" w:afterLines="30"/>
        <w:jc w:val="both"/>
        <w:rPr>
          <w:b/>
          <w:color w:val="000000" w:themeColor="text1"/>
          <w:szCs w:val="24"/>
          <w14:textFill>
            <w14:solidFill>
              <w14:schemeClr w14:val="tx1"/>
            </w14:solidFill>
          </w14:textFill>
        </w:rPr>
      </w:pPr>
    </w:p>
    <w:p w14:paraId="2568036C">
      <w:pPr>
        <w:spacing w:before="72" w:beforeLines="30" w:after="72" w:afterLines="30"/>
        <w:jc w:val="both"/>
        <w:rPr>
          <w:b/>
          <w:color w:val="000000" w:themeColor="text1"/>
          <w:szCs w:val="24"/>
          <w14:textFill>
            <w14:solidFill>
              <w14:schemeClr w14:val="tx1"/>
            </w14:solidFill>
          </w14:textFill>
        </w:rPr>
      </w:pPr>
    </w:p>
    <w:p w14:paraId="2258100A">
      <w:pPr>
        <w:spacing w:before="72" w:beforeLines="30" w:after="72" w:afterLines="30"/>
        <w:jc w:val="both"/>
        <w:rPr>
          <w:b/>
          <w:color w:val="000000" w:themeColor="text1"/>
          <w:szCs w:val="24"/>
          <w14:textFill>
            <w14:solidFill>
              <w14:schemeClr w14:val="tx1"/>
            </w14:solidFill>
          </w14:textFill>
        </w:rPr>
      </w:pPr>
    </w:p>
    <w:p w14:paraId="276C2640">
      <w:pPr>
        <w:spacing w:before="72" w:beforeLines="30" w:after="72" w:afterLines="30"/>
        <w:jc w:val="both"/>
        <w:rPr>
          <w:b/>
          <w:color w:val="000000" w:themeColor="text1"/>
          <w:szCs w:val="24"/>
          <w14:textFill>
            <w14:solidFill>
              <w14:schemeClr w14:val="tx1"/>
            </w14:solidFill>
          </w14:textFill>
        </w:rPr>
      </w:pPr>
    </w:p>
    <w:p w14:paraId="7B043E30">
      <w:pPr>
        <w:spacing w:before="72" w:beforeLines="30" w:after="72" w:afterLines="30"/>
        <w:jc w:val="both"/>
        <w:rPr>
          <w:b/>
          <w:color w:val="000000" w:themeColor="text1"/>
          <w:szCs w:val="24"/>
          <w14:textFill>
            <w14:solidFill>
              <w14:schemeClr w14:val="tx1"/>
            </w14:solidFill>
          </w14:textFill>
        </w:rPr>
      </w:pPr>
    </w:p>
    <w:p w14:paraId="6CD2A894">
      <w:pPr>
        <w:spacing w:before="72" w:beforeLines="30" w:after="72" w:afterLines="30"/>
        <w:jc w:val="both"/>
        <w:rPr>
          <w:b/>
          <w:color w:val="000000" w:themeColor="text1"/>
          <w:szCs w:val="24"/>
          <w14:textFill>
            <w14:solidFill>
              <w14:schemeClr w14:val="tx1"/>
            </w14:solidFill>
          </w14:textFill>
        </w:rPr>
      </w:pPr>
    </w:p>
    <w:p w14:paraId="689A1A64">
      <w:pPr>
        <w:spacing w:before="72" w:beforeLines="30" w:after="72" w:afterLines="30"/>
        <w:jc w:val="both"/>
        <w:rPr>
          <w:b/>
          <w:color w:val="000000" w:themeColor="text1"/>
          <w:szCs w:val="24"/>
          <w14:textFill>
            <w14:solidFill>
              <w14:schemeClr w14:val="tx1"/>
            </w14:solidFill>
          </w14:textFill>
        </w:rPr>
      </w:pPr>
    </w:p>
    <w:p w14:paraId="7AF36C6E">
      <w:pPr>
        <w:spacing w:before="72" w:beforeLines="30" w:after="72" w:afterLines="30"/>
        <w:jc w:val="both"/>
        <w:rPr>
          <w:b/>
          <w:color w:val="000000" w:themeColor="text1"/>
          <w:szCs w:val="24"/>
          <w14:textFill>
            <w14:solidFill>
              <w14:schemeClr w14:val="tx1"/>
            </w14:solidFill>
          </w14:textFill>
        </w:rPr>
      </w:pPr>
    </w:p>
    <w:p w14:paraId="6793ACB2">
      <w:pPr>
        <w:spacing w:before="72" w:beforeLines="30" w:after="72" w:afterLines="30"/>
        <w:jc w:val="both"/>
        <w:rPr>
          <w:b/>
          <w:color w:val="000000" w:themeColor="text1"/>
          <w:szCs w:val="24"/>
          <w14:textFill>
            <w14:solidFill>
              <w14:schemeClr w14:val="tx1"/>
            </w14:solidFill>
          </w14:textFill>
        </w:rPr>
      </w:pPr>
    </w:p>
    <w:p w14:paraId="275528DE">
      <w:pPr>
        <w:spacing w:before="72" w:beforeLines="30" w:after="72" w:afterLines="30"/>
        <w:jc w:val="both"/>
        <w:rPr>
          <w:b/>
          <w:color w:val="000000" w:themeColor="text1"/>
          <w:szCs w:val="24"/>
          <w14:textFill>
            <w14:solidFill>
              <w14:schemeClr w14:val="tx1"/>
            </w14:solidFill>
          </w14:textFill>
        </w:rPr>
      </w:pPr>
    </w:p>
    <w:p w14:paraId="090D9E53">
      <w:pPr>
        <w:spacing w:before="72" w:beforeLines="30" w:after="72" w:afterLines="30"/>
        <w:jc w:val="both"/>
        <w:rPr>
          <w:b/>
          <w:color w:val="000000" w:themeColor="text1"/>
          <w:szCs w:val="24"/>
          <w14:textFill>
            <w14:solidFill>
              <w14:schemeClr w14:val="tx1"/>
            </w14:solidFill>
          </w14:textFill>
        </w:rPr>
      </w:pPr>
    </w:p>
    <w:p w14:paraId="6A7F892D">
      <w:pPr>
        <w:spacing w:before="72" w:beforeLines="30" w:after="72" w:afterLines="30"/>
        <w:jc w:val="both"/>
        <w:rPr>
          <w:b/>
          <w:color w:val="000000" w:themeColor="text1"/>
          <w:szCs w:val="24"/>
          <w14:textFill>
            <w14:solidFill>
              <w14:schemeClr w14:val="tx1"/>
            </w14:solidFill>
          </w14:textFill>
        </w:rPr>
      </w:pPr>
    </w:p>
    <w:p w14:paraId="6215BA07">
      <w:pPr>
        <w:spacing w:before="72" w:beforeLines="30" w:after="72" w:afterLines="30"/>
        <w:jc w:val="both"/>
        <w:rPr>
          <w:b/>
          <w:color w:val="000000" w:themeColor="text1"/>
          <w:szCs w:val="24"/>
          <w14:textFill>
            <w14:solidFill>
              <w14:schemeClr w14:val="tx1"/>
            </w14:solidFill>
          </w14:textFill>
        </w:rPr>
      </w:pPr>
    </w:p>
    <w:p w14:paraId="39BE77F0">
      <w:pPr>
        <w:spacing w:before="72" w:beforeLines="30" w:after="72" w:afterLines="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ANEXO VI</w:t>
      </w:r>
    </w:p>
    <w:p w14:paraId="5B0BFDF0">
      <w:pPr>
        <w:spacing w:before="72" w:beforeLines="30" w:after="72" w:afterLines="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CRONOGRAMA FÍSICO-FINANCEIRO</w:t>
      </w:r>
    </w:p>
    <w:p w14:paraId="7619D286">
      <w:pPr>
        <w:spacing w:before="72" w:beforeLines="30" w:after="72" w:afterLines="30"/>
        <w:jc w:val="both"/>
        <w:rPr>
          <w:b/>
          <w:color w:val="000000" w:themeColor="text1"/>
          <w:szCs w:val="24"/>
          <w14:textFill>
            <w14:solidFill>
              <w14:schemeClr w14:val="tx1"/>
            </w14:solidFill>
          </w14:textFill>
        </w:rPr>
      </w:pPr>
    </w:p>
    <w:p w14:paraId="57AE65ED">
      <w:pPr>
        <w:spacing w:before="72" w:beforeLines="30" w:after="72" w:afterLines="30"/>
        <w:jc w:val="both"/>
        <w:rPr>
          <w:b/>
          <w:color w:val="000000" w:themeColor="text1"/>
          <w:szCs w:val="24"/>
          <w14:textFill>
            <w14:solidFill>
              <w14:schemeClr w14:val="tx1"/>
            </w14:solidFill>
          </w14:textFill>
        </w:rPr>
      </w:pPr>
    </w:p>
    <w:p w14:paraId="588909B1">
      <w:pPr>
        <w:spacing w:before="72" w:beforeLines="30" w:after="72" w:afterLines="30"/>
        <w:jc w:val="both"/>
        <w:rPr>
          <w:b/>
          <w:color w:val="000000" w:themeColor="text1"/>
          <w:szCs w:val="24"/>
          <w14:textFill>
            <w14:solidFill>
              <w14:schemeClr w14:val="tx1"/>
            </w14:solidFill>
          </w14:textFill>
        </w:rPr>
      </w:pPr>
    </w:p>
    <w:p w14:paraId="1C45A7EA">
      <w:pPr>
        <w:spacing w:before="72" w:beforeLines="30" w:after="72" w:afterLines="30"/>
        <w:jc w:val="both"/>
        <w:rPr>
          <w:b/>
          <w:color w:val="000000" w:themeColor="text1"/>
          <w:szCs w:val="24"/>
          <w14:textFill>
            <w14:solidFill>
              <w14:schemeClr w14:val="tx1"/>
            </w14:solidFill>
          </w14:textFill>
        </w:rPr>
      </w:pPr>
    </w:p>
    <w:p w14:paraId="374782F7">
      <w:pPr>
        <w:spacing w:before="72" w:beforeLines="30" w:after="72" w:afterLines="30"/>
        <w:jc w:val="both"/>
        <w:rPr>
          <w:b/>
          <w:color w:val="000000" w:themeColor="text1"/>
          <w:szCs w:val="24"/>
          <w14:textFill>
            <w14:solidFill>
              <w14:schemeClr w14:val="tx1"/>
            </w14:solidFill>
          </w14:textFill>
        </w:rPr>
      </w:pPr>
    </w:p>
    <w:p w14:paraId="4D781818">
      <w:pPr>
        <w:spacing w:before="72" w:beforeLines="30" w:after="72" w:afterLines="30"/>
        <w:jc w:val="both"/>
        <w:rPr>
          <w:b/>
          <w:color w:val="000000" w:themeColor="text1"/>
          <w:szCs w:val="24"/>
          <w14:textFill>
            <w14:solidFill>
              <w14:schemeClr w14:val="tx1"/>
            </w14:solidFill>
          </w14:textFill>
        </w:rPr>
      </w:pPr>
    </w:p>
    <w:p w14:paraId="13412CCF">
      <w:pPr>
        <w:spacing w:before="72" w:beforeLines="30" w:after="72" w:afterLines="30"/>
        <w:jc w:val="both"/>
        <w:rPr>
          <w:b/>
          <w:color w:val="000000" w:themeColor="text1"/>
          <w:szCs w:val="24"/>
          <w14:textFill>
            <w14:solidFill>
              <w14:schemeClr w14:val="tx1"/>
            </w14:solidFill>
          </w14:textFill>
        </w:rPr>
      </w:pPr>
    </w:p>
    <w:p w14:paraId="4660BDBE">
      <w:pPr>
        <w:spacing w:before="72" w:beforeLines="30" w:after="72" w:afterLines="30"/>
        <w:jc w:val="both"/>
        <w:rPr>
          <w:b/>
          <w:color w:val="000000" w:themeColor="text1"/>
          <w:szCs w:val="24"/>
          <w14:textFill>
            <w14:solidFill>
              <w14:schemeClr w14:val="tx1"/>
            </w14:solidFill>
          </w14:textFill>
        </w:rPr>
      </w:pPr>
    </w:p>
    <w:p w14:paraId="085BF2E0">
      <w:pPr>
        <w:spacing w:before="72" w:beforeLines="30" w:after="72" w:afterLines="30"/>
        <w:jc w:val="both"/>
        <w:rPr>
          <w:b/>
          <w:color w:val="000000" w:themeColor="text1"/>
          <w:szCs w:val="24"/>
          <w14:textFill>
            <w14:solidFill>
              <w14:schemeClr w14:val="tx1"/>
            </w14:solidFill>
          </w14:textFill>
        </w:rPr>
      </w:pPr>
    </w:p>
    <w:p w14:paraId="4A812E7A">
      <w:pPr>
        <w:spacing w:before="72" w:beforeLines="30" w:after="72" w:afterLines="30"/>
        <w:jc w:val="both"/>
        <w:rPr>
          <w:b/>
          <w:color w:val="000000" w:themeColor="text1"/>
          <w:szCs w:val="24"/>
          <w14:textFill>
            <w14:solidFill>
              <w14:schemeClr w14:val="tx1"/>
            </w14:solidFill>
          </w14:textFill>
        </w:rPr>
      </w:pPr>
    </w:p>
    <w:p w14:paraId="58E0D383">
      <w:pPr>
        <w:spacing w:before="72" w:beforeLines="30" w:after="72" w:afterLines="30"/>
        <w:jc w:val="both"/>
        <w:rPr>
          <w:b/>
          <w:color w:val="000000" w:themeColor="text1"/>
          <w:szCs w:val="24"/>
          <w14:textFill>
            <w14:solidFill>
              <w14:schemeClr w14:val="tx1"/>
            </w14:solidFill>
          </w14:textFill>
        </w:rPr>
      </w:pPr>
    </w:p>
    <w:p w14:paraId="441F3696">
      <w:pPr>
        <w:spacing w:before="72" w:beforeLines="30" w:after="72" w:afterLines="30"/>
        <w:jc w:val="both"/>
        <w:rPr>
          <w:b/>
          <w:color w:val="000000" w:themeColor="text1"/>
          <w:szCs w:val="24"/>
          <w14:textFill>
            <w14:solidFill>
              <w14:schemeClr w14:val="tx1"/>
            </w14:solidFill>
          </w14:textFill>
        </w:rPr>
      </w:pPr>
    </w:p>
    <w:p w14:paraId="7C7DE4D7">
      <w:pPr>
        <w:spacing w:before="72" w:beforeLines="30" w:after="72" w:afterLines="30"/>
        <w:jc w:val="both"/>
        <w:rPr>
          <w:b/>
          <w:color w:val="000000" w:themeColor="text1"/>
          <w:szCs w:val="24"/>
          <w14:textFill>
            <w14:solidFill>
              <w14:schemeClr w14:val="tx1"/>
            </w14:solidFill>
          </w14:textFill>
        </w:rPr>
      </w:pPr>
    </w:p>
    <w:p w14:paraId="04C10FD5">
      <w:pPr>
        <w:spacing w:before="72" w:beforeLines="30" w:after="72" w:afterLines="30"/>
        <w:jc w:val="both"/>
        <w:rPr>
          <w:b/>
          <w:color w:val="000000" w:themeColor="text1"/>
          <w:szCs w:val="24"/>
          <w14:textFill>
            <w14:solidFill>
              <w14:schemeClr w14:val="tx1"/>
            </w14:solidFill>
          </w14:textFill>
        </w:rPr>
      </w:pPr>
    </w:p>
    <w:p w14:paraId="7D891E70">
      <w:pPr>
        <w:spacing w:before="72" w:beforeLines="30" w:after="72" w:afterLines="30"/>
        <w:jc w:val="both"/>
        <w:rPr>
          <w:b/>
          <w:color w:val="000000" w:themeColor="text1"/>
          <w:szCs w:val="24"/>
          <w14:textFill>
            <w14:solidFill>
              <w14:schemeClr w14:val="tx1"/>
            </w14:solidFill>
          </w14:textFill>
        </w:rPr>
      </w:pPr>
    </w:p>
    <w:p w14:paraId="1061BA82">
      <w:pPr>
        <w:spacing w:before="72" w:beforeLines="30" w:after="72" w:afterLines="30"/>
        <w:jc w:val="both"/>
        <w:rPr>
          <w:b/>
          <w:color w:val="000000" w:themeColor="text1"/>
          <w:szCs w:val="24"/>
          <w14:textFill>
            <w14:solidFill>
              <w14:schemeClr w14:val="tx1"/>
            </w14:solidFill>
          </w14:textFill>
        </w:rPr>
      </w:pPr>
    </w:p>
    <w:p w14:paraId="103CBE9C">
      <w:pPr>
        <w:spacing w:before="72" w:beforeLines="30" w:after="72" w:afterLines="30"/>
        <w:jc w:val="both"/>
        <w:rPr>
          <w:b/>
          <w:color w:val="000000" w:themeColor="text1"/>
          <w:szCs w:val="24"/>
          <w14:textFill>
            <w14:solidFill>
              <w14:schemeClr w14:val="tx1"/>
            </w14:solidFill>
          </w14:textFill>
        </w:rPr>
      </w:pPr>
    </w:p>
    <w:p w14:paraId="05690EB0">
      <w:pPr>
        <w:spacing w:before="72" w:beforeLines="30" w:after="72" w:afterLines="30"/>
        <w:jc w:val="both"/>
        <w:rPr>
          <w:b/>
          <w:color w:val="000000" w:themeColor="text1"/>
          <w:szCs w:val="24"/>
          <w14:textFill>
            <w14:solidFill>
              <w14:schemeClr w14:val="tx1"/>
            </w14:solidFill>
          </w14:textFill>
        </w:rPr>
      </w:pPr>
    </w:p>
    <w:p w14:paraId="2A652944">
      <w:pPr>
        <w:spacing w:before="72" w:beforeLines="30" w:after="72" w:afterLines="30"/>
        <w:jc w:val="both"/>
        <w:rPr>
          <w:b/>
          <w:color w:val="000000" w:themeColor="text1"/>
          <w:szCs w:val="24"/>
          <w14:textFill>
            <w14:solidFill>
              <w14:schemeClr w14:val="tx1"/>
            </w14:solidFill>
          </w14:textFill>
        </w:rPr>
      </w:pPr>
    </w:p>
    <w:p w14:paraId="05ECD971">
      <w:pPr>
        <w:spacing w:before="72" w:beforeLines="30" w:after="72" w:afterLines="30"/>
        <w:jc w:val="both"/>
        <w:rPr>
          <w:b/>
          <w:color w:val="000000" w:themeColor="text1"/>
          <w:szCs w:val="24"/>
          <w14:textFill>
            <w14:solidFill>
              <w14:schemeClr w14:val="tx1"/>
            </w14:solidFill>
          </w14:textFill>
        </w:rPr>
      </w:pPr>
    </w:p>
    <w:p w14:paraId="6A5E7F51">
      <w:pPr>
        <w:spacing w:before="72" w:beforeLines="30" w:after="72" w:afterLines="30"/>
        <w:jc w:val="both"/>
        <w:rPr>
          <w:b/>
          <w:color w:val="000000" w:themeColor="text1"/>
          <w:szCs w:val="24"/>
          <w14:textFill>
            <w14:solidFill>
              <w14:schemeClr w14:val="tx1"/>
            </w14:solidFill>
          </w14:textFill>
        </w:rPr>
      </w:pPr>
    </w:p>
    <w:p w14:paraId="46473A44">
      <w:pPr>
        <w:spacing w:before="72" w:beforeLines="30" w:after="72" w:afterLines="30"/>
        <w:jc w:val="both"/>
        <w:rPr>
          <w:b/>
          <w:color w:val="000000" w:themeColor="text1"/>
          <w:szCs w:val="24"/>
          <w14:textFill>
            <w14:solidFill>
              <w14:schemeClr w14:val="tx1"/>
            </w14:solidFill>
          </w14:textFill>
        </w:rPr>
      </w:pPr>
    </w:p>
    <w:p w14:paraId="35931580">
      <w:pPr>
        <w:spacing w:before="72" w:beforeLines="30" w:after="72" w:afterLines="30"/>
        <w:jc w:val="both"/>
        <w:rPr>
          <w:b/>
          <w:color w:val="000000" w:themeColor="text1"/>
          <w:szCs w:val="24"/>
          <w14:textFill>
            <w14:solidFill>
              <w14:schemeClr w14:val="tx1"/>
            </w14:solidFill>
          </w14:textFill>
        </w:rPr>
      </w:pPr>
    </w:p>
    <w:p w14:paraId="66AC9E53">
      <w:pPr>
        <w:spacing w:before="72" w:beforeLines="30" w:after="72" w:afterLines="30"/>
        <w:jc w:val="both"/>
        <w:rPr>
          <w:b/>
          <w:color w:val="000000" w:themeColor="text1"/>
          <w:szCs w:val="24"/>
          <w14:textFill>
            <w14:solidFill>
              <w14:schemeClr w14:val="tx1"/>
            </w14:solidFill>
          </w14:textFill>
        </w:rPr>
      </w:pPr>
    </w:p>
    <w:p w14:paraId="0742B34B">
      <w:pPr>
        <w:spacing w:before="72" w:beforeLines="30" w:after="72" w:afterLines="30"/>
        <w:jc w:val="both"/>
        <w:rPr>
          <w:b/>
          <w:color w:val="000000" w:themeColor="text1"/>
          <w:szCs w:val="24"/>
          <w14:textFill>
            <w14:solidFill>
              <w14:schemeClr w14:val="tx1"/>
            </w14:solidFill>
          </w14:textFill>
        </w:rPr>
      </w:pPr>
    </w:p>
    <w:p w14:paraId="24E4EF42">
      <w:pPr>
        <w:spacing w:before="72" w:beforeLines="30" w:after="72" w:afterLines="30"/>
        <w:jc w:val="both"/>
        <w:rPr>
          <w:b/>
          <w:color w:val="000000" w:themeColor="text1"/>
          <w:szCs w:val="24"/>
          <w14:textFill>
            <w14:solidFill>
              <w14:schemeClr w14:val="tx1"/>
            </w14:solidFill>
          </w14:textFill>
        </w:rPr>
      </w:pPr>
    </w:p>
    <w:p w14:paraId="7DBB747D">
      <w:pPr>
        <w:spacing w:before="72" w:beforeLines="30" w:after="72" w:afterLines="30"/>
        <w:jc w:val="both"/>
        <w:rPr>
          <w:b/>
          <w:color w:val="000000" w:themeColor="text1"/>
          <w:szCs w:val="24"/>
          <w14:textFill>
            <w14:solidFill>
              <w14:schemeClr w14:val="tx1"/>
            </w14:solidFill>
          </w14:textFill>
        </w:rPr>
      </w:pPr>
    </w:p>
    <w:p w14:paraId="1B70E47C">
      <w:pPr>
        <w:spacing w:before="72" w:beforeLines="30" w:after="72" w:afterLines="30"/>
        <w:jc w:val="both"/>
        <w:rPr>
          <w:b/>
          <w:color w:val="000000" w:themeColor="text1"/>
          <w:szCs w:val="24"/>
          <w14:textFill>
            <w14:solidFill>
              <w14:schemeClr w14:val="tx1"/>
            </w14:solidFill>
          </w14:textFill>
        </w:rPr>
      </w:pPr>
    </w:p>
    <w:p w14:paraId="54FA334D">
      <w:pPr>
        <w:spacing w:before="72" w:beforeLines="30" w:after="72" w:afterLines="30"/>
        <w:jc w:val="both"/>
        <w:rPr>
          <w:b/>
          <w:color w:val="000000" w:themeColor="text1"/>
          <w:szCs w:val="24"/>
          <w14:textFill>
            <w14:solidFill>
              <w14:schemeClr w14:val="tx1"/>
            </w14:solidFill>
          </w14:textFill>
        </w:rPr>
      </w:pPr>
    </w:p>
    <w:p w14:paraId="1D8EEB0A">
      <w:pPr>
        <w:spacing w:before="72" w:beforeLines="30" w:after="72" w:afterLines="30"/>
        <w:jc w:val="both"/>
        <w:rPr>
          <w:b/>
          <w:color w:val="000000" w:themeColor="text1"/>
          <w:szCs w:val="24"/>
          <w14:textFill>
            <w14:solidFill>
              <w14:schemeClr w14:val="tx1"/>
            </w14:solidFill>
          </w14:textFill>
        </w:rPr>
      </w:pPr>
    </w:p>
    <w:p w14:paraId="0EDB9EDA">
      <w:pPr>
        <w:spacing w:before="72" w:beforeLines="30" w:after="72" w:afterLines="30"/>
        <w:jc w:val="both"/>
        <w:rPr>
          <w:b/>
          <w:color w:val="000000" w:themeColor="text1"/>
          <w:szCs w:val="24"/>
          <w14:textFill>
            <w14:solidFill>
              <w14:schemeClr w14:val="tx1"/>
            </w14:solidFill>
          </w14:textFill>
        </w:rPr>
      </w:pPr>
    </w:p>
    <w:p w14:paraId="1A69B7DC">
      <w:pPr>
        <w:spacing w:before="72" w:beforeLines="30" w:after="72" w:afterLines="30"/>
        <w:jc w:val="both"/>
        <w:rPr>
          <w:b/>
          <w:color w:val="000000" w:themeColor="text1"/>
          <w:szCs w:val="24"/>
          <w14:textFill>
            <w14:solidFill>
              <w14:schemeClr w14:val="tx1"/>
            </w14:solidFill>
          </w14:textFill>
        </w:rPr>
      </w:pPr>
    </w:p>
    <w:p w14:paraId="64BF4245">
      <w:pPr>
        <w:spacing w:before="72" w:beforeLines="30" w:after="72" w:afterLines="30"/>
        <w:jc w:val="both"/>
        <w:rPr>
          <w:b/>
          <w:color w:val="000000" w:themeColor="text1"/>
          <w:szCs w:val="24"/>
          <w14:textFill>
            <w14:solidFill>
              <w14:schemeClr w14:val="tx1"/>
            </w14:solidFill>
          </w14:textFill>
        </w:rPr>
      </w:pPr>
    </w:p>
    <w:p w14:paraId="185E389F">
      <w:pPr>
        <w:spacing w:before="72" w:beforeLines="30" w:after="72" w:afterLines="30"/>
        <w:jc w:val="both"/>
        <w:rPr>
          <w:b/>
          <w:color w:val="000000" w:themeColor="text1"/>
          <w:szCs w:val="24"/>
          <w14:textFill>
            <w14:solidFill>
              <w14:schemeClr w14:val="tx1"/>
            </w14:solidFill>
          </w14:textFill>
        </w:rPr>
      </w:pPr>
    </w:p>
    <w:p w14:paraId="71AEE049">
      <w:pPr>
        <w:spacing w:before="72" w:beforeLines="30" w:after="72" w:afterLines="30"/>
        <w:jc w:val="both"/>
        <w:rPr>
          <w:b/>
          <w:color w:val="000000" w:themeColor="text1"/>
          <w:szCs w:val="24"/>
          <w14:textFill>
            <w14:solidFill>
              <w14:schemeClr w14:val="tx1"/>
            </w14:solidFill>
          </w14:textFill>
        </w:rPr>
      </w:pPr>
    </w:p>
    <w:p w14:paraId="5CDF3705">
      <w:pPr>
        <w:spacing w:before="72" w:beforeLines="30" w:after="72" w:afterLines="30"/>
        <w:jc w:val="both"/>
        <w:rPr>
          <w:b/>
          <w:color w:val="000000" w:themeColor="text1"/>
          <w:szCs w:val="24"/>
          <w14:textFill>
            <w14:solidFill>
              <w14:schemeClr w14:val="tx1"/>
            </w14:solidFill>
          </w14:textFill>
        </w:rPr>
      </w:pPr>
    </w:p>
    <w:p w14:paraId="768E954D">
      <w:pPr>
        <w:spacing w:before="72" w:beforeLines="30" w:after="72" w:afterLines="30"/>
        <w:jc w:val="both"/>
        <w:rPr>
          <w:b/>
          <w:color w:val="000000" w:themeColor="text1"/>
          <w:szCs w:val="24"/>
          <w14:textFill>
            <w14:solidFill>
              <w14:schemeClr w14:val="tx1"/>
            </w14:solidFill>
          </w14:textFill>
        </w:rPr>
      </w:pPr>
    </w:p>
    <w:p w14:paraId="7A4EA73C">
      <w:pPr>
        <w:spacing w:before="72" w:beforeLines="30" w:after="72" w:afterLines="30"/>
        <w:jc w:val="both"/>
        <w:rPr>
          <w:b/>
          <w:color w:val="000000" w:themeColor="text1"/>
          <w:szCs w:val="24"/>
          <w14:textFill>
            <w14:solidFill>
              <w14:schemeClr w14:val="tx1"/>
            </w14:solidFill>
          </w14:textFill>
        </w:rPr>
      </w:pPr>
    </w:p>
    <w:p w14:paraId="3672A2A2">
      <w:pPr>
        <w:spacing w:before="72" w:beforeLines="30" w:after="72" w:afterLines="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ANEXO VII – BDI</w:t>
      </w:r>
    </w:p>
    <w:p w14:paraId="66D5E1D0">
      <w:pPr>
        <w:spacing w:before="72" w:beforeLines="30" w:after="72" w:afterLines="30"/>
        <w:jc w:val="both"/>
        <w:rPr>
          <w:b/>
          <w:color w:val="000000" w:themeColor="text1"/>
          <w:szCs w:val="24"/>
          <w14:textFill>
            <w14:solidFill>
              <w14:schemeClr w14:val="tx1"/>
            </w14:solidFill>
          </w14:textFill>
        </w:rPr>
      </w:pPr>
    </w:p>
    <w:p w14:paraId="3644D4E9">
      <w:pPr>
        <w:spacing w:before="72" w:beforeLines="30" w:after="72" w:afterLines="30"/>
        <w:jc w:val="both"/>
        <w:rPr>
          <w:b/>
          <w:color w:val="000000" w:themeColor="text1"/>
          <w:szCs w:val="24"/>
          <w14:textFill>
            <w14:solidFill>
              <w14:schemeClr w14:val="tx1"/>
            </w14:solidFill>
          </w14:textFill>
        </w:rPr>
      </w:pPr>
    </w:p>
    <w:p w14:paraId="09A8BB26">
      <w:pPr>
        <w:spacing w:before="72" w:beforeLines="30" w:after="72" w:afterLines="30"/>
        <w:jc w:val="both"/>
        <w:rPr>
          <w:b/>
          <w:color w:val="000000" w:themeColor="text1"/>
          <w:szCs w:val="24"/>
          <w14:textFill>
            <w14:solidFill>
              <w14:schemeClr w14:val="tx1"/>
            </w14:solidFill>
          </w14:textFill>
        </w:rPr>
      </w:pPr>
    </w:p>
    <w:p w14:paraId="292065BE">
      <w:pPr>
        <w:spacing w:before="72" w:beforeLines="30" w:after="72" w:afterLines="30"/>
        <w:jc w:val="both"/>
        <w:rPr>
          <w:b/>
          <w:color w:val="000000" w:themeColor="text1"/>
          <w:szCs w:val="24"/>
          <w14:textFill>
            <w14:solidFill>
              <w14:schemeClr w14:val="tx1"/>
            </w14:solidFill>
          </w14:textFill>
        </w:rPr>
      </w:pPr>
    </w:p>
    <w:p w14:paraId="5AEBE1B2">
      <w:pPr>
        <w:spacing w:before="72" w:beforeLines="30" w:after="72" w:afterLines="30"/>
        <w:jc w:val="both"/>
        <w:rPr>
          <w:b/>
          <w:color w:val="000000" w:themeColor="text1"/>
          <w:szCs w:val="24"/>
          <w14:textFill>
            <w14:solidFill>
              <w14:schemeClr w14:val="tx1"/>
            </w14:solidFill>
          </w14:textFill>
        </w:rPr>
      </w:pPr>
    </w:p>
    <w:p w14:paraId="263E41EE">
      <w:pPr>
        <w:spacing w:before="72" w:beforeLines="30" w:after="72" w:afterLines="30"/>
        <w:jc w:val="both"/>
        <w:rPr>
          <w:b/>
          <w:color w:val="000000" w:themeColor="text1"/>
          <w:szCs w:val="24"/>
          <w14:textFill>
            <w14:solidFill>
              <w14:schemeClr w14:val="tx1"/>
            </w14:solidFill>
          </w14:textFill>
        </w:rPr>
      </w:pPr>
    </w:p>
    <w:p w14:paraId="3D742040">
      <w:pPr>
        <w:spacing w:before="72" w:beforeLines="30" w:after="72" w:afterLines="30"/>
        <w:jc w:val="both"/>
        <w:rPr>
          <w:b/>
          <w:color w:val="000000" w:themeColor="text1"/>
          <w:szCs w:val="24"/>
          <w14:textFill>
            <w14:solidFill>
              <w14:schemeClr w14:val="tx1"/>
            </w14:solidFill>
          </w14:textFill>
        </w:rPr>
      </w:pPr>
    </w:p>
    <w:p w14:paraId="2B061A75">
      <w:pPr>
        <w:spacing w:before="72" w:beforeLines="30" w:after="72" w:afterLines="30"/>
        <w:jc w:val="both"/>
        <w:rPr>
          <w:b/>
          <w:color w:val="000000" w:themeColor="text1"/>
          <w:szCs w:val="24"/>
          <w14:textFill>
            <w14:solidFill>
              <w14:schemeClr w14:val="tx1"/>
            </w14:solidFill>
          </w14:textFill>
        </w:rPr>
      </w:pPr>
    </w:p>
    <w:p w14:paraId="2431C0DD">
      <w:pPr>
        <w:spacing w:before="72" w:beforeLines="30" w:after="72" w:afterLines="30"/>
        <w:jc w:val="both"/>
        <w:rPr>
          <w:b/>
          <w:color w:val="000000" w:themeColor="text1"/>
          <w:szCs w:val="24"/>
          <w14:textFill>
            <w14:solidFill>
              <w14:schemeClr w14:val="tx1"/>
            </w14:solidFill>
          </w14:textFill>
        </w:rPr>
      </w:pPr>
    </w:p>
    <w:p w14:paraId="23C0A744">
      <w:pPr>
        <w:spacing w:before="72" w:beforeLines="30" w:after="72" w:afterLines="30"/>
        <w:jc w:val="both"/>
        <w:rPr>
          <w:b/>
          <w:color w:val="000000" w:themeColor="text1"/>
          <w:szCs w:val="24"/>
          <w14:textFill>
            <w14:solidFill>
              <w14:schemeClr w14:val="tx1"/>
            </w14:solidFill>
          </w14:textFill>
        </w:rPr>
      </w:pPr>
    </w:p>
    <w:p w14:paraId="30DDB265">
      <w:pPr>
        <w:spacing w:before="72" w:beforeLines="30" w:after="72" w:afterLines="30"/>
        <w:jc w:val="both"/>
        <w:rPr>
          <w:b/>
          <w:color w:val="000000" w:themeColor="text1"/>
          <w:szCs w:val="24"/>
          <w14:textFill>
            <w14:solidFill>
              <w14:schemeClr w14:val="tx1"/>
            </w14:solidFill>
          </w14:textFill>
        </w:rPr>
      </w:pPr>
    </w:p>
    <w:p w14:paraId="4411AC9A">
      <w:pPr>
        <w:spacing w:before="72" w:beforeLines="30" w:after="72" w:afterLines="30"/>
        <w:jc w:val="both"/>
        <w:rPr>
          <w:b/>
          <w:color w:val="000000" w:themeColor="text1"/>
          <w:szCs w:val="24"/>
          <w14:textFill>
            <w14:solidFill>
              <w14:schemeClr w14:val="tx1"/>
            </w14:solidFill>
          </w14:textFill>
        </w:rPr>
      </w:pPr>
    </w:p>
    <w:p w14:paraId="7517569A">
      <w:pPr>
        <w:spacing w:before="72" w:beforeLines="30" w:after="72" w:afterLines="30"/>
        <w:jc w:val="both"/>
        <w:rPr>
          <w:b/>
          <w:color w:val="000000" w:themeColor="text1"/>
          <w:szCs w:val="24"/>
          <w14:textFill>
            <w14:solidFill>
              <w14:schemeClr w14:val="tx1"/>
            </w14:solidFill>
          </w14:textFill>
        </w:rPr>
      </w:pPr>
    </w:p>
    <w:p w14:paraId="1B6236CD">
      <w:pPr>
        <w:spacing w:before="72" w:beforeLines="30" w:after="72" w:afterLines="30"/>
        <w:jc w:val="both"/>
        <w:rPr>
          <w:b/>
          <w:color w:val="000000" w:themeColor="text1"/>
          <w:szCs w:val="24"/>
          <w14:textFill>
            <w14:solidFill>
              <w14:schemeClr w14:val="tx1"/>
            </w14:solidFill>
          </w14:textFill>
        </w:rPr>
      </w:pPr>
    </w:p>
    <w:p w14:paraId="21DD1CD5">
      <w:pPr>
        <w:spacing w:before="72" w:beforeLines="30" w:after="72" w:afterLines="30"/>
        <w:jc w:val="both"/>
        <w:rPr>
          <w:b/>
          <w:color w:val="000000" w:themeColor="text1"/>
          <w:szCs w:val="24"/>
          <w14:textFill>
            <w14:solidFill>
              <w14:schemeClr w14:val="tx1"/>
            </w14:solidFill>
          </w14:textFill>
        </w:rPr>
      </w:pPr>
    </w:p>
    <w:p w14:paraId="3AA7E05C">
      <w:pPr>
        <w:spacing w:before="72" w:beforeLines="30" w:after="72" w:afterLines="30"/>
        <w:jc w:val="both"/>
        <w:rPr>
          <w:b/>
          <w:color w:val="000000" w:themeColor="text1"/>
          <w:szCs w:val="24"/>
          <w14:textFill>
            <w14:solidFill>
              <w14:schemeClr w14:val="tx1"/>
            </w14:solidFill>
          </w14:textFill>
        </w:rPr>
      </w:pPr>
    </w:p>
    <w:p w14:paraId="5557001D">
      <w:pPr>
        <w:spacing w:before="72" w:beforeLines="30" w:after="72" w:afterLines="30"/>
        <w:jc w:val="both"/>
        <w:rPr>
          <w:b/>
          <w:color w:val="000000" w:themeColor="text1"/>
          <w:szCs w:val="24"/>
          <w14:textFill>
            <w14:solidFill>
              <w14:schemeClr w14:val="tx1"/>
            </w14:solidFill>
          </w14:textFill>
        </w:rPr>
      </w:pPr>
    </w:p>
    <w:p w14:paraId="05AC3872">
      <w:pPr>
        <w:spacing w:before="72" w:beforeLines="30" w:after="72" w:afterLines="30"/>
        <w:jc w:val="both"/>
        <w:rPr>
          <w:b/>
          <w:color w:val="000000" w:themeColor="text1"/>
          <w:szCs w:val="24"/>
          <w14:textFill>
            <w14:solidFill>
              <w14:schemeClr w14:val="tx1"/>
            </w14:solidFill>
          </w14:textFill>
        </w:rPr>
      </w:pPr>
    </w:p>
    <w:p w14:paraId="3AFE3412">
      <w:pPr>
        <w:spacing w:before="72" w:beforeLines="30" w:after="72" w:afterLines="30"/>
        <w:jc w:val="both"/>
        <w:rPr>
          <w:b/>
          <w:color w:val="000000" w:themeColor="text1"/>
          <w:szCs w:val="24"/>
          <w14:textFill>
            <w14:solidFill>
              <w14:schemeClr w14:val="tx1"/>
            </w14:solidFill>
          </w14:textFill>
        </w:rPr>
      </w:pPr>
    </w:p>
    <w:p w14:paraId="45207B64">
      <w:pPr>
        <w:spacing w:before="72" w:beforeLines="30" w:after="72" w:afterLines="30"/>
        <w:jc w:val="both"/>
        <w:rPr>
          <w:b/>
          <w:color w:val="000000" w:themeColor="text1"/>
          <w:szCs w:val="24"/>
          <w14:textFill>
            <w14:solidFill>
              <w14:schemeClr w14:val="tx1"/>
            </w14:solidFill>
          </w14:textFill>
        </w:rPr>
      </w:pPr>
    </w:p>
    <w:p w14:paraId="0A2A97E7">
      <w:pPr>
        <w:spacing w:before="72" w:beforeLines="30" w:after="72" w:afterLines="30"/>
        <w:jc w:val="both"/>
        <w:rPr>
          <w:b/>
          <w:color w:val="000000" w:themeColor="text1"/>
          <w:szCs w:val="24"/>
          <w14:textFill>
            <w14:solidFill>
              <w14:schemeClr w14:val="tx1"/>
            </w14:solidFill>
          </w14:textFill>
        </w:rPr>
      </w:pPr>
    </w:p>
    <w:p w14:paraId="1F1233F7">
      <w:pPr>
        <w:spacing w:before="72" w:beforeLines="30" w:after="72" w:afterLines="30"/>
        <w:jc w:val="both"/>
        <w:rPr>
          <w:b/>
          <w:color w:val="000000" w:themeColor="text1"/>
          <w:szCs w:val="24"/>
          <w14:textFill>
            <w14:solidFill>
              <w14:schemeClr w14:val="tx1"/>
            </w14:solidFill>
          </w14:textFill>
        </w:rPr>
      </w:pPr>
    </w:p>
    <w:p w14:paraId="1860434E">
      <w:pPr>
        <w:spacing w:before="72" w:beforeLines="30" w:after="72" w:afterLines="30"/>
        <w:jc w:val="both"/>
        <w:rPr>
          <w:b/>
          <w:color w:val="000000" w:themeColor="text1"/>
          <w:szCs w:val="24"/>
          <w14:textFill>
            <w14:solidFill>
              <w14:schemeClr w14:val="tx1"/>
            </w14:solidFill>
          </w14:textFill>
        </w:rPr>
      </w:pPr>
    </w:p>
    <w:p w14:paraId="4002C022">
      <w:pPr>
        <w:spacing w:before="72" w:beforeLines="30" w:after="72" w:afterLines="30"/>
        <w:jc w:val="both"/>
        <w:rPr>
          <w:b/>
          <w:color w:val="000000" w:themeColor="text1"/>
          <w:szCs w:val="24"/>
          <w14:textFill>
            <w14:solidFill>
              <w14:schemeClr w14:val="tx1"/>
            </w14:solidFill>
          </w14:textFill>
        </w:rPr>
      </w:pPr>
    </w:p>
    <w:p w14:paraId="4491A60D">
      <w:pPr>
        <w:spacing w:before="72" w:beforeLines="30" w:after="72" w:afterLines="30"/>
        <w:jc w:val="both"/>
        <w:rPr>
          <w:b/>
          <w:color w:val="000000" w:themeColor="text1"/>
          <w:szCs w:val="24"/>
          <w14:textFill>
            <w14:solidFill>
              <w14:schemeClr w14:val="tx1"/>
            </w14:solidFill>
          </w14:textFill>
        </w:rPr>
      </w:pPr>
    </w:p>
    <w:p w14:paraId="229C286D">
      <w:pPr>
        <w:spacing w:before="72" w:beforeLines="30" w:after="72" w:afterLines="30"/>
        <w:jc w:val="both"/>
        <w:rPr>
          <w:b/>
          <w:color w:val="000000" w:themeColor="text1"/>
          <w:szCs w:val="24"/>
          <w14:textFill>
            <w14:solidFill>
              <w14:schemeClr w14:val="tx1"/>
            </w14:solidFill>
          </w14:textFill>
        </w:rPr>
      </w:pPr>
    </w:p>
    <w:p w14:paraId="5BC7A00F">
      <w:pPr>
        <w:spacing w:before="72" w:beforeLines="30" w:after="72" w:afterLines="30"/>
        <w:jc w:val="both"/>
        <w:rPr>
          <w:b/>
          <w:color w:val="000000" w:themeColor="text1"/>
          <w:szCs w:val="24"/>
          <w14:textFill>
            <w14:solidFill>
              <w14:schemeClr w14:val="tx1"/>
            </w14:solidFill>
          </w14:textFill>
        </w:rPr>
      </w:pPr>
    </w:p>
    <w:p w14:paraId="14543DB6">
      <w:pPr>
        <w:spacing w:before="72" w:beforeLines="30" w:after="72" w:afterLines="30"/>
        <w:jc w:val="both"/>
        <w:rPr>
          <w:b/>
          <w:color w:val="000000" w:themeColor="text1"/>
          <w:szCs w:val="24"/>
          <w14:textFill>
            <w14:solidFill>
              <w14:schemeClr w14:val="tx1"/>
            </w14:solidFill>
          </w14:textFill>
        </w:rPr>
      </w:pPr>
    </w:p>
    <w:p w14:paraId="7ED035EC">
      <w:pPr>
        <w:spacing w:before="72" w:beforeLines="30" w:after="72" w:afterLines="30"/>
        <w:jc w:val="both"/>
        <w:rPr>
          <w:b/>
          <w:color w:val="000000" w:themeColor="text1"/>
          <w:szCs w:val="24"/>
          <w14:textFill>
            <w14:solidFill>
              <w14:schemeClr w14:val="tx1"/>
            </w14:solidFill>
          </w14:textFill>
        </w:rPr>
      </w:pPr>
    </w:p>
    <w:p w14:paraId="14B19187">
      <w:pPr>
        <w:spacing w:before="72" w:beforeLines="30" w:after="72" w:afterLines="30"/>
        <w:jc w:val="both"/>
        <w:rPr>
          <w:b/>
          <w:color w:val="000000" w:themeColor="text1"/>
          <w:szCs w:val="24"/>
          <w14:textFill>
            <w14:solidFill>
              <w14:schemeClr w14:val="tx1"/>
            </w14:solidFill>
          </w14:textFill>
        </w:rPr>
      </w:pPr>
    </w:p>
    <w:p w14:paraId="7B28A601">
      <w:pPr>
        <w:spacing w:before="72" w:beforeLines="30" w:after="72" w:afterLines="30"/>
        <w:jc w:val="both"/>
        <w:rPr>
          <w:b/>
          <w:color w:val="000000" w:themeColor="text1"/>
          <w:szCs w:val="24"/>
          <w14:textFill>
            <w14:solidFill>
              <w14:schemeClr w14:val="tx1"/>
            </w14:solidFill>
          </w14:textFill>
        </w:rPr>
      </w:pPr>
    </w:p>
    <w:p w14:paraId="61757CE2">
      <w:pPr>
        <w:spacing w:before="72" w:beforeLines="30" w:after="72" w:afterLines="30"/>
        <w:jc w:val="both"/>
        <w:rPr>
          <w:b/>
          <w:color w:val="000000" w:themeColor="text1"/>
          <w:szCs w:val="24"/>
          <w14:textFill>
            <w14:solidFill>
              <w14:schemeClr w14:val="tx1"/>
            </w14:solidFill>
          </w14:textFill>
        </w:rPr>
      </w:pPr>
    </w:p>
    <w:p w14:paraId="7344C224">
      <w:pPr>
        <w:spacing w:before="72" w:beforeLines="30" w:after="72" w:afterLines="30"/>
        <w:jc w:val="both"/>
        <w:rPr>
          <w:b/>
          <w:color w:val="000000" w:themeColor="text1"/>
          <w:szCs w:val="24"/>
          <w14:textFill>
            <w14:solidFill>
              <w14:schemeClr w14:val="tx1"/>
            </w14:solidFill>
          </w14:textFill>
        </w:rPr>
      </w:pPr>
    </w:p>
    <w:p w14:paraId="2FD8C954">
      <w:pPr>
        <w:spacing w:before="72" w:beforeLines="30" w:after="72" w:afterLines="30"/>
        <w:jc w:val="both"/>
        <w:rPr>
          <w:b/>
          <w:color w:val="000000" w:themeColor="text1"/>
          <w:szCs w:val="24"/>
          <w14:textFill>
            <w14:solidFill>
              <w14:schemeClr w14:val="tx1"/>
            </w14:solidFill>
          </w14:textFill>
        </w:rPr>
      </w:pPr>
    </w:p>
    <w:p w14:paraId="2AB064DF">
      <w:pPr>
        <w:spacing w:before="72" w:beforeLines="30" w:after="72" w:afterLines="30"/>
        <w:jc w:val="both"/>
        <w:rPr>
          <w:b/>
          <w:color w:val="000000" w:themeColor="text1"/>
          <w:szCs w:val="24"/>
          <w14:textFill>
            <w14:solidFill>
              <w14:schemeClr w14:val="tx1"/>
            </w14:solidFill>
          </w14:textFill>
        </w:rPr>
      </w:pPr>
    </w:p>
    <w:p w14:paraId="4C1A922F">
      <w:pPr>
        <w:spacing w:before="72" w:beforeLines="30" w:after="72" w:afterLines="30"/>
        <w:jc w:val="both"/>
        <w:rPr>
          <w:b/>
          <w:color w:val="000000" w:themeColor="text1"/>
          <w:szCs w:val="24"/>
          <w14:textFill>
            <w14:solidFill>
              <w14:schemeClr w14:val="tx1"/>
            </w14:solidFill>
          </w14:textFill>
        </w:rPr>
      </w:pPr>
    </w:p>
    <w:p w14:paraId="3266E061">
      <w:pPr>
        <w:spacing w:before="72" w:beforeLines="30" w:after="72" w:afterLines="30"/>
        <w:jc w:val="both"/>
        <w:rPr>
          <w:b/>
          <w:color w:val="000000" w:themeColor="text1"/>
          <w:szCs w:val="24"/>
          <w14:textFill>
            <w14:solidFill>
              <w14:schemeClr w14:val="tx1"/>
            </w14:solidFill>
          </w14:textFill>
        </w:rPr>
      </w:pPr>
    </w:p>
    <w:p w14:paraId="5702A75A">
      <w:pPr>
        <w:spacing w:before="72" w:beforeLines="30" w:after="72" w:afterLines="30"/>
        <w:jc w:val="both"/>
        <w:rPr>
          <w:b/>
          <w:color w:val="000000" w:themeColor="text1"/>
          <w:szCs w:val="24"/>
          <w14:textFill>
            <w14:solidFill>
              <w14:schemeClr w14:val="tx1"/>
            </w14:solidFill>
          </w14:textFill>
        </w:rPr>
      </w:pPr>
    </w:p>
    <w:p w14:paraId="2FBAB1C5">
      <w:pPr>
        <w:spacing w:before="72" w:beforeLines="30" w:after="72" w:afterLines="30"/>
        <w:jc w:val="both"/>
        <w:rPr>
          <w:b/>
          <w:color w:val="000000" w:themeColor="text1"/>
          <w:szCs w:val="24"/>
          <w14:textFill>
            <w14:solidFill>
              <w14:schemeClr w14:val="tx1"/>
            </w14:solidFill>
          </w14:textFill>
        </w:rPr>
      </w:pPr>
    </w:p>
    <w:p w14:paraId="2842A5D0">
      <w:pPr>
        <w:spacing w:before="72" w:beforeLines="30" w:after="72" w:afterLines="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 xml:space="preserve">ANEXO VIII </w:t>
      </w:r>
    </w:p>
    <w:p w14:paraId="1FDFEED6">
      <w:pPr>
        <w:tabs>
          <w:tab w:val="left" w:pos="284"/>
          <w:tab w:val="left" w:pos="709"/>
        </w:tabs>
        <w:autoSpaceDE w:val="0"/>
        <w:snapToGrid w:val="0"/>
        <w:spacing w:before="72" w:beforeLines="30" w:after="72" w:afterLines="30"/>
        <w:ind w:right="-1"/>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Modelo de Declaração de vínculo empregatício</w:t>
      </w:r>
    </w:p>
    <w:p w14:paraId="6CDA4C26">
      <w:pPr>
        <w:tabs>
          <w:tab w:val="left" w:pos="284"/>
          <w:tab w:val="left" w:pos="709"/>
        </w:tabs>
        <w:autoSpaceDE w:val="0"/>
        <w:snapToGrid w:val="0"/>
        <w:spacing w:before="72" w:beforeLines="30" w:after="72" w:afterLines="30"/>
        <w:ind w:right="-1"/>
        <w:jc w:val="center"/>
        <w:rPr>
          <w:b/>
          <w:color w:val="000000" w:themeColor="text1"/>
          <w:szCs w:val="24"/>
          <w14:textFill>
            <w14:solidFill>
              <w14:schemeClr w14:val="tx1"/>
            </w14:solidFill>
          </w14:textFill>
        </w:rPr>
      </w:pPr>
    </w:p>
    <w:p w14:paraId="0DA847CB">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14:textFill>
            <w14:solidFill>
              <w14:schemeClr w14:val="tx1"/>
            </w14:solidFill>
          </w14:textFill>
        </w:rPr>
        <w:t xml:space="preserve">A Empresa </w:t>
      </w:r>
      <w:r>
        <w:rPr>
          <w:b/>
          <w:bCs/>
          <w:color w:val="000000" w:themeColor="text1"/>
          <w:szCs w:val="24"/>
          <w14:textFill>
            <w14:solidFill>
              <w14:schemeClr w14:val="tx1"/>
            </w14:solidFill>
          </w14:textFill>
        </w:rPr>
        <w:t>_______________________,</w:t>
      </w:r>
      <w:r>
        <w:rPr>
          <w:color w:val="000000" w:themeColor="text1"/>
          <w:szCs w:val="24"/>
          <w14:textFill>
            <w14:solidFill>
              <w14:schemeClr w14:val="tx1"/>
            </w14:solidFill>
          </w14:textFill>
        </w:rPr>
        <w:t xml:space="preserve"> inscrita no CNPJ </w:t>
      </w:r>
      <w:r>
        <w:rPr>
          <w:b/>
          <w:bCs/>
          <w:color w:val="000000" w:themeColor="text1"/>
          <w:szCs w:val="24"/>
          <w14:textFill>
            <w14:solidFill>
              <w14:schemeClr w14:val="tx1"/>
            </w14:solidFill>
          </w14:textFill>
        </w:rPr>
        <w:t>n° _____________________,</w:t>
      </w:r>
      <w:r>
        <w:rPr>
          <w:color w:val="000000" w:themeColor="text1"/>
          <w:szCs w:val="24"/>
          <w14:textFill>
            <w14:solidFill>
              <w14:schemeClr w14:val="tx1"/>
            </w14:solidFill>
          </w14:textFill>
        </w:rPr>
        <w:t xml:space="preserve"> por intermédio de seu representante legal o(a) Sr.(a</w:t>
      </w:r>
      <w:r>
        <w:rPr>
          <w:b/>
          <w:bCs/>
          <w:color w:val="000000" w:themeColor="text1"/>
          <w:szCs w:val="24"/>
          <w14:textFill>
            <w14:solidFill>
              <w14:schemeClr w14:val="tx1"/>
            </w14:solidFill>
          </w14:textFill>
        </w:rPr>
        <w:t>) _______________________,</w:t>
      </w:r>
      <w:r>
        <w:rPr>
          <w:color w:val="000000" w:themeColor="text1"/>
          <w:szCs w:val="24"/>
          <w14:textFill>
            <w14:solidFill>
              <w14:schemeClr w14:val="tx1"/>
            </w14:solidFill>
          </w14:textFill>
        </w:rPr>
        <w:t xml:space="preserve"> portador (a) da Carteira de Identidade n</w:t>
      </w:r>
      <w:r>
        <w:rPr>
          <w:b/>
          <w:bCs/>
          <w:color w:val="000000" w:themeColor="text1"/>
          <w:szCs w:val="24"/>
          <w14:textFill>
            <w14:solidFill>
              <w14:schemeClr w14:val="tx1"/>
            </w14:solidFill>
          </w14:textFill>
        </w:rPr>
        <w:t>° _________________</w:t>
      </w:r>
      <w:r>
        <w:rPr>
          <w:color w:val="000000" w:themeColor="text1"/>
          <w:szCs w:val="24"/>
          <w14:textFill>
            <w14:solidFill>
              <w14:schemeClr w14:val="tx1"/>
            </w14:solidFill>
          </w14:textFill>
        </w:rPr>
        <w:t xml:space="preserve"> expedida pela SSP/____ e de CPF </w:t>
      </w:r>
      <w:r>
        <w:rPr>
          <w:b/>
          <w:bCs/>
          <w:color w:val="000000" w:themeColor="text1"/>
          <w:szCs w:val="24"/>
          <w14:textFill>
            <w14:solidFill>
              <w14:schemeClr w14:val="tx1"/>
            </w14:solidFill>
          </w14:textFill>
        </w:rPr>
        <w:t xml:space="preserve">n° _________________ </w:t>
      </w:r>
      <w:r>
        <w:rPr>
          <w:color w:val="000000" w:themeColor="text1"/>
          <w:szCs w:val="24"/>
          <w14:textFill>
            <w14:solidFill>
              <w14:schemeClr w14:val="tx1"/>
            </w14:solidFill>
          </w14:textFill>
        </w:rPr>
        <w:t xml:space="preserve">DECLARA, para fins do disposto no Edital de MODALIDADE </w:t>
      </w:r>
      <w:r>
        <w:rPr>
          <w:bCs/>
          <w:color w:val="000000" w:themeColor="text1"/>
          <w:szCs w:val="24"/>
          <w14:textFill>
            <w14:solidFill>
              <w14:schemeClr w14:val="tx1"/>
            </w14:solidFill>
          </w14:textFill>
        </w:rPr>
        <w:t>CONCORRÊNCIA ELETRÔNICA Nº XX/2026,</w:t>
      </w:r>
      <w:r>
        <w:rPr>
          <w:color w:val="000000" w:themeColor="text1"/>
          <w:szCs w:val="24"/>
          <w14:textFill>
            <w14:solidFill>
              <w14:schemeClr w14:val="tx1"/>
            </w14:solidFill>
          </w14:textFill>
        </w:rPr>
        <w:t xml:space="preserve"> sob as sanções administrativas cabíveis, sob penas da Lei, apresentará na assinatura do contrato sob pena de inabilitação no certame </w:t>
      </w:r>
      <w:r>
        <w:rPr>
          <w:color w:val="000000" w:themeColor="text1"/>
          <w:szCs w:val="24"/>
          <w:lang w:eastAsia="en-US"/>
          <w14:textFill>
            <w14:solidFill>
              <w14:schemeClr w14:val="tx1"/>
            </w14:solidFill>
          </w14:textFill>
        </w:rPr>
        <w:t>a comprovação do vínculo profissional formal dos responsáveis técnicos com a empresa, mediante apresentação de um dos seguintes documentos:</w:t>
      </w:r>
    </w:p>
    <w:p w14:paraId="0BD6DF23">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 xml:space="preserve">I. </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No caso de vínculo empregatício: cópia da Carteira de Trabalho e Previdência Social (CTPS), expedida pelo Ministério do Trabalho, contendo as folhas que demonstrem o n.º de registro, qualificação civil, contrato de trabalho e última alteração de salário;</w:t>
      </w:r>
    </w:p>
    <w:p w14:paraId="4D3AF185">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 xml:space="preserve">II. </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No caso de vínculo societário: ato constitutivo da empresa devidamente registrado no órgão de Registro de Comércio competente, do domicílio ou da sede do licitante; e</w:t>
      </w:r>
    </w:p>
    <w:p w14:paraId="695050CF">
      <w:pPr>
        <w:spacing w:before="72" w:beforeLines="30" w:after="72" w:afterLines="30"/>
        <w:jc w:val="both"/>
        <w:rPr>
          <w:color w:val="000000" w:themeColor="text1"/>
          <w:szCs w:val="24"/>
          <w:lang w:eastAsia="en-US"/>
          <w14:textFill>
            <w14:solidFill>
              <w14:schemeClr w14:val="tx1"/>
            </w14:solidFill>
          </w14:textFill>
        </w:rPr>
      </w:pPr>
      <w:r>
        <w:rPr>
          <w:color w:val="000000" w:themeColor="text1"/>
          <w:szCs w:val="24"/>
          <w:lang w:eastAsia="en-US"/>
          <w14:textFill>
            <w14:solidFill>
              <w14:schemeClr w14:val="tx1"/>
            </w14:solidFill>
          </w14:textFill>
        </w:rPr>
        <w:t xml:space="preserve">III. </w:t>
      </w:r>
      <w:r>
        <w:rPr>
          <w:color w:val="000000" w:themeColor="text1"/>
          <w:szCs w:val="24"/>
          <w:lang w:eastAsia="en-US"/>
          <w14:textFill>
            <w14:solidFill>
              <w14:schemeClr w14:val="tx1"/>
            </w14:solidFill>
          </w14:textFill>
        </w:rPr>
        <w:tab/>
      </w:r>
      <w:r>
        <w:rPr>
          <w:color w:val="000000" w:themeColor="text1"/>
          <w:szCs w:val="24"/>
          <w:lang w:eastAsia="en-US"/>
          <w14:textFill>
            <w14:solidFill>
              <w14:schemeClr w14:val="tx1"/>
            </w14:solidFill>
          </w14:textFill>
        </w:rPr>
        <w:t>No caso de profissional autônomo, contrato de prestação de serviço com firma reconhecida em Cartório.</w:t>
      </w:r>
    </w:p>
    <w:p w14:paraId="4938F8B4">
      <w:pPr>
        <w:suppressAutoHyphens w:val="0"/>
        <w:spacing w:before="30" w:after="30"/>
        <w:rPr>
          <w:color w:val="000000" w:themeColor="text1"/>
          <w:szCs w:val="24"/>
          <w14:textFill>
            <w14:solidFill>
              <w14:schemeClr w14:val="tx1"/>
            </w14:solidFill>
          </w14:textFill>
        </w:rPr>
      </w:pPr>
    </w:p>
    <w:p w14:paraId="29A9F3A0">
      <w:pPr>
        <w:spacing w:before="72" w:beforeLines="30" w:after="72" w:afterLines="30"/>
        <w:jc w:val="right"/>
        <w:rPr>
          <w:color w:val="000000" w:themeColor="text1"/>
          <w:szCs w:val="24"/>
          <w14:textFill>
            <w14:solidFill>
              <w14:schemeClr w14:val="tx1"/>
            </w14:solidFill>
          </w14:textFill>
        </w:rPr>
      </w:pPr>
      <w:r>
        <w:rPr>
          <w:color w:val="000000" w:themeColor="text1"/>
          <w:szCs w:val="24"/>
          <w14:textFill>
            <w14:solidFill>
              <w14:schemeClr w14:val="tx1"/>
            </w14:solidFill>
          </w14:textFill>
        </w:rPr>
        <w:t>(Localidade)_______, de ____________de__</w:t>
      </w:r>
      <w:r>
        <w:rPr>
          <w:color w:val="000000" w:themeColor="text1"/>
          <w:szCs w:val="24"/>
          <w14:textFill>
            <w14:solidFill>
              <w14:schemeClr w14:val="tx1"/>
            </w14:solidFill>
          </w14:textFill>
        </w:rPr>
        <w:softHyphen/>
      </w:r>
      <w:r>
        <w:rPr>
          <w:color w:val="000000" w:themeColor="text1"/>
          <w:szCs w:val="24"/>
          <w14:textFill>
            <w14:solidFill>
              <w14:schemeClr w14:val="tx1"/>
            </w14:solidFill>
          </w14:textFill>
        </w:rPr>
        <w:softHyphen/>
      </w:r>
      <w:r>
        <w:rPr>
          <w:color w:val="000000" w:themeColor="text1"/>
          <w:szCs w:val="24"/>
          <w14:textFill>
            <w14:solidFill>
              <w14:schemeClr w14:val="tx1"/>
            </w14:solidFill>
          </w14:textFill>
        </w:rPr>
        <w:t>____.</w:t>
      </w:r>
    </w:p>
    <w:p w14:paraId="77F3F99E">
      <w:pPr>
        <w:spacing w:before="72" w:beforeLines="30" w:after="72" w:afterLines="30"/>
        <w:rPr>
          <w:color w:val="000000" w:themeColor="text1"/>
          <w:szCs w:val="24"/>
          <w14:textFill>
            <w14:solidFill>
              <w14:schemeClr w14:val="tx1"/>
            </w14:solidFill>
          </w14:textFill>
        </w:rPr>
      </w:pPr>
    </w:p>
    <w:p w14:paraId="65BC20F3">
      <w:pPr>
        <w:spacing w:before="72" w:beforeLines="30" w:after="72" w:afterLines="30"/>
        <w:jc w:val="center"/>
        <w:rPr>
          <w:color w:val="000000" w:themeColor="text1"/>
          <w:szCs w:val="24"/>
          <w14:textFill>
            <w14:solidFill>
              <w14:schemeClr w14:val="tx1"/>
            </w14:solidFill>
          </w14:textFill>
        </w:rPr>
      </w:pPr>
      <w:r>
        <w:rPr>
          <w:color w:val="000000" w:themeColor="text1"/>
          <w:szCs w:val="24"/>
          <w14:textFill>
            <w14:solidFill>
              <w14:schemeClr w14:val="tx1"/>
            </w14:solidFill>
          </w14:textFill>
        </w:rPr>
        <w:t>____________________________________________</w:t>
      </w:r>
    </w:p>
    <w:p w14:paraId="7D490289">
      <w:pPr>
        <w:spacing w:before="72" w:beforeLines="30" w:after="72" w:afterLines="30"/>
        <w:jc w:val="center"/>
        <w:rPr>
          <w:color w:val="000000" w:themeColor="text1"/>
          <w:szCs w:val="24"/>
          <w14:textFill>
            <w14:solidFill>
              <w14:schemeClr w14:val="tx1"/>
            </w14:solidFill>
          </w14:textFill>
        </w:rPr>
      </w:pPr>
      <w:r>
        <w:rPr>
          <w:color w:val="000000" w:themeColor="text1"/>
          <w:szCs w:val="24"/>
          <w14:textFill>
            <w14:solidFill>
              <w14:schemeClr w14:val="tx1"/>
            </w14:solidFill>
          </w14:textFill>
        </w:rPr>
        <w:t>Nome e número da identidade e do CPF do declarante</w:t>
      </w:r>
    </w:p>
    <w:p w14:paraId="74F33010">
      <w:pPr>
        <w:spacing w:before="72" w:beforeLines="30" w:after="72" w:afterLines="30"/>
        <w:jc w:val="center"/>
        <w:rPr>
          <w:color w:val="000000" w:themeColor="text1"/>
          <w:szCs w:val="24"/>
          <w14:textFill>
            <w14:solidFill>
              <w14:schemeClr w14:val="tx1"/>
            </w14:solidFill>
          </w14:textFill>
        </w:rPr>
      </w:pPr>
      <w:r>
        <w:rPr>
          <w:color w:val="000000" w:themeColor="text1"/>
          <w:szCs w:val="24"/>
          <w14:textFill>
            <w14:solidFill>
              <w14:schemeClr w14:val="tx1"/>
            </w14:solidFill>
          </w14:textFill>
        </w:rPr>
        <w:t>(Representante Legal da empresa)</w:t>
      </w:r>
    </w:p>
    <w:p w14:paraId="3087BE0A">
      <w:pPr>
        <w:suppressAutoHyphens w:val="0"/>
        <w:spacing w:before="30" w:after="30"/>
        <w:rPr>
          <w:color w:val="000000" w:themeColor="text1"/>
          <w:szCs w:val="24"/>
          <w14:textFill>
            <w14:solidFill>
              <w14:schemeClr w14:val="tx1"/>
            </w14:solidFill>
          </w14:textFill>
        </w:rPr>
      </w:pPr>
    </w:p>
    <w:p w14:paraId="62925295">
      <w:pPr>
        <w:suppressAutoHyphens w:val="0"/>
        <w:spacing w:before="30" w:after="30"/>
        <w:jc w:val="both"/>
        <w:rPr>
          <w:color w:val="000000" w:themeColor="text1"/>
          <w:szCs w:val="24"/>
          <w14:textFill>
            <w14:solidFill>
              <w14:schemeClr w14:val="tx1"/>
            </w14:solidFill>
          </w14:textFill>
        </w:rPr>
      </w:pPr>
    </w:p>
    <w:p w14:paraId="22770CE0">
      <w:pPr>
        <w:suppressAutoHyphens w:val="0"/>
        <w:spacing w:before="30" w:after="30"/>
        <w:jc w:val="both"/>
        <w:rPr>
          <w:color w:val="000000" w:themeColor="text1"/>
          <w:szCs w:val="24"/>
          <w14:textFill>
            <w14:solidFill>
              <w14:schemeClr w14:val="tx1"/>
            </w14:solidFill>
          </w14:textFill>
        </w:rPr>
      </w:pPr>
    </w:p>
    <w:p w14:paraId="4C35B2AF">
      <w:pPr>
        <w:spacing w:before="72" w:beforeLines="30" w:after="72" w:afterLines="30"/>
        <w:jc w:val="center"/>
        <w:rPr>
          <w:b/>
          <w:color w:val="000000" w:themeColor="text1"/>
          <w:szCs w:val="24"/>
          <w14:textFill>
            <w14:solidFill>
              <w14:schemeClr w14:val="tx1"/>
            </w14:solidFill>
          </w14:textFill>
        </w:rPr>
      </w:pPr>
    </w:p>
    <w:p w14:paraId="4314BE16">
      <w:pPr>
        <w:spacing w:before="72" w:beforeLines="30" w:after="72" w:afterLines="30"/>
        <w:jc w:val="both"/>
        <w:rPr>
          <w:b/>
          <w:color w:val="000000" w:themeColor="text1"/>
          <w:szCs w:val="24"/>
          <w14:textFill>
            <w14:solidFill>
              <w14:schemeClr w14:val="tx1"/>
            </w14:solidFill>
          </w14:textFill>
        </w:rPr>
      </w:pPr>
    </w:p>
    <w:p w14:paraId="0DCD3C05">
      <w:pPr>
        <w:spacing w:before="72" w:beforeLines="30" w:after="72" w:afterLines="30"/>
        <w:jc w:val="both"/>
        <w:rPr>
          <w:b/>
          <w:color w:val="000000" w:themeColor="text1"/>
          <w:szCs w:val="24"/>
          <w14:textFill>
            <w14:solidFill>
              <w14:schemeClr w14:val="tx1"/>
            </w14:solidFill>
          </w14:textFill>
        </w:rPr>
      </w:pPr>
    </w:p>
    <w:p w14:paraId="1584401F">
      <w:pPr>
        <w:spacing w:before="72" w:beforeLines="30" w:after="72" w:afterLines="30"/>
        <w:jc w:val="both"/>
        <w:rPr>
          <w:b/>
          <w:color w:val="000000" w:themeColor="text1"/>
          <w:szCs w:val="24"/>
          <w14:textFill>
            <w14:solidFill>
              <w14:schemeClr w14:val="tx1"/>
            </w14:solidFill>
          </w14:textFill>
        </w:rPr>
      </w:pPr>
    </w:p>
    <w:p w14:paraId="0D9C9080">
      <w:pPr>
        <w:spacing w:before="72" w:beforeLines="30" w:after="72" w:afterLines="30"/>
        <w:jc w:val="both"/>
        <w:rPr>
          <w:b/>
          <w:color w:val="000000" w:themeColor="text1"/>
          <w:szCs w:val="24"/>
          <w14:textFill>
            <w14:solidFill>
              <w14:schemeClr w14:val="tx1"/>
            </w14:solidFill>
          </w14:textFill>
        </w:rPr>
      </w:pPr>
    </w:p>
    <w:p w14:paraId="4A602A8F">
      <w:pPr>
        <w:spacing w:before="72" w:beforeLines="30" w:after="72" w:afterLines="30"/>
        <w:jc w:val="both"/>
        <w:rPr>
          <w:b/>
          <w:color w:val="000000" w:themeColor="text1"/>
          <w:szCs w:val="24"/>
          <w14:textFill>
            <w14:solidFill>
              <w14:schemeClr w14:val="tx1"/>
            </w14:solidFill>
          </w14:textFill>
        </w:rPr>
      </w:pPr>
    </w:p>
    <w:p w14:paraId="664D824B">
      <w:pPr>
        <w:spacing w:before="72" w:beforeLines="30" w:after="72" w:afterLines="30"/>
        <w:jc w:val="both"/>
        <w:rPr>
          <w:b/>
          <w:color w:val="000000" w:themeColor="text1"/>
          <w:szCs w:val="24"/>
          <w14:textFill>
            <w14:solidFill>
              <w14:schemeClr w14:val="tx1"/>
            </w14:solidFill>
          </w14:textFill>
        </w:rPr>
      </w:pPr>
    </w:p>
    <w:p w14:paraId="468C68FD">
      <w:pPr>
        <w:spacing w:before="72" w:beforeLines="30" w:after="72" w:afterLines="30"/>
        <w:jc w:val="both"/>
        <w:rPr>
          <w:b/>
          <w:color w:val="000000" w:themeColor="text1"/>
          <w:szCs w:val="24"/>
          <w14:textFill>
            <w14:solidFill>
              <w14:schemeClr w14:val="tx1"/>
            </w14:solidFill>
          </w14:textFill>
        </w:rPr>
      </w:pPr>
    </w:p>
    <w:p w14:paraId="13A48169">
      <w:pPr>
        <w:spacing w:before="72" w:beforeLines="30" w:after="72" w:afterLines="30"/>
        <w:jc w:val="both"/>
        <w:rPr>
          <w:b/>
          <w:color w:val="000000" w:themeColor="text1"/>
          <w:szCs w:val="24"/>
          <w14:textFill>
            <w14:solidFill>
              <w14:schemeClr w14:val="tx1"/>
            </w14:solidFill>
          </w14:textFill>
        </w:rPr>
      </w:pPr>
    </w:p>
    <w:p w14:paraId="29056845">
      <w:pPr>
        <w:spacing w:before="72" w:beforeLines="30" w:after="72" w:afterLines="30"/>
        <w:jc w:val="both"/>
        <w:rPr>
          <w:b/>
          <w:color w:val="000000" w:themeColor="text1"/>
          <w:szCs w:val="24"/>
          <w14:textFill>
            <w14:solidFill>
              <w14:schemeClr w14:val="tx1"/>
            </w14:solidFill>
          </w14:textFill>
        </w:rPr>
      </w:pPr>
    </w:p>
    <w:p w14:paraId="4F7DF1B6">
      <w:pPr>
        <w:spacing w:before="72" w:beforeLines="30" w:after="72" w:afterLines="30"/>
        <w:jc w:val="both"/>
        <w:rPr>
          <w:b/>
          <w:color w:val="000000" w:themeColor="text1"/>
          <w:szCs w:val="24"/>
          <w14:textFill>
            <w14:solidFill>
              <w14:schemeClr w14:val="tx1"/>
            </w14:solidFill>
          </w14:textFill>
        </w:rPr>
      </w:pPr>
    </w:p>
    <w:p w14:paraId="2DAEBA5F">
      <w:pPr>
        <w:spacing w:before="72" w:beforeLines="30" w:after="72" w:afterLines="30"/>
        <w:jc w:val="both"/>
        <w:rPr>
          <w:b/>
          <w:color w:val="000000" w:themeColor="text1"/>
          <w:szCs w:val="24"/>
          <w14:textFill>
            <w14:solidFill>
              <w14:schemeClr w14:val="tx1"/>
            </w14:solidFill>
          </w14:textFill>
        </w:rPr>
      </w:pPr>
    </w:p>
    <w:p w14:paraId="23308D87">
      <w:pPr>
        <w:spacing w:before="72" w:beforeLines="30" w:after="72" w:afterLines="30"/>
        <w:jc w:val="both"/>
        <w:rPr>
          <w:b/>
          <w:color w:val="000000" w:themeColor="text1"/>
          <w:szCs w:val="24"/>
          <w14:textFill>
            <w14:solidFill>
              <w14:schemeClr w14:val="tx1"/>
            </w14:solidFill>
          </w14:textFill>
        </w:rPr>
      </w:pPr>
    </w:p>
    <w:p w14:paraId="18B244AB">
      <w:pPr>
        <w:jc w:val="both"/>
        <w:rPr>
          <w:color w:val="000000" w:themeColor="text1"/>
          <w:szCs w:val="24"/>
          <w14:textFill>
            <w14:solidFill>
              <w14:schemeClr w14:val="tx1"/>
            </w14:solidFill>
          </w14:textFill>
        </w:rPr>
      </w:pPr>
    </w:p>
    <w:p w14:paraId="0A0118AF">
      <w:pPr>
        <w:jc w:val="both"/>
        <w:rPr>
          <w:color w:val="000000" w:themeColor="text1"/>
          <w:szCs w:val="24"/>
          <w14:textFill>
            <w14:solidFill>
              <w14:schemeClr w14:val="tx1"/>
            </w14:solidFill>
          </w14:textFill>
        </w:rPr>
      </w:pPr>
    </w:p>
    <w:p w14:paraId="1BDB159E">
      <w:pPr>
        <w:jc w:val="both"/>
        <w:rPr>
          <w:color w:val="000000" w:themeColor="text1"/>
          <w:szCs w:val="24"/>
          <w14:textFill>
            <w14:solidFill>
              <w14:schemeClr w14:val="tx1"/>
            </w14:solidFill>
          </w14:textFill>
        </w:rPr>
      </w:pPr>
    </w:p>
    <w:p w14:paraId="671CACC4">
      <w:pPr>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ANEXO IX</w:t>
      </w:r>
    </w:p>
    <w:p w14:paraId="521CC813">
      <w:pPr>
        <w:jc w:val="center"/>
        <w:rPr>
          <w:b/>
          <w:color w:val="000000" w:themeColor="text1"/>
          <w:szCs w:val="24"/>
          <w14:textFill>
            <w14:solidFill>
              <w14:schemeClr w14:val="tx1"/>
            </w14:solidFill>
          </w14:textFill>
        </w:rPr>
      </w:pPr>
    </w:p>
    <w:p w14:paraId="353457D2">
      <w:pPr>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MODELO DE DECLARAÇÃO ME – EPP</w:t>
      </w:r>
    </w:p>
    <w:p w14:paraId="3419E1BD">
      <w:pPr>
        <w:jc w:val="both"/>
        <w:rPr>
          <w:b/>
          <w:color w:val="000000" w:themeColor="text1"/>
          <w:szCs w:val="24"/>
          <w14:textFill>
            <w14:solidFill>
              <w14:schemeClr w14:val="tx1"/>
            </w14:solidFill>
          </w14:textFill>
        </w:rPr>
      </w:pPr>
    </w:p>
    <w:p w14:paraId="5FF5F051">
      <w:pPr>
        <w:spacing w:before="6" w:after="6"/>
        <w:ind w:right="413"/>
        <w:jc w:val="both"/>
        <w:rPr>
          <w:color w:val="000000" w:themeColor="text1"/>
          <w:szCs w:val="24"/>
          <w14:textFill>
            <w14:solidFill>
              <w14:schemeClr w14:val="tx1"/>
            </w14:solidFill>
          </w14:textFill>
        </w:rPr>
      </w:pPr>
    </w:p>
    <w:p w14:paraId="79113966">
      <w:pPr>
        <w:spacing w:before="6" w:after="6"/>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CONCORRÊNCIA</w:t>
      </w:r>
      <w:r>
        <w:rPr>
          <w:bCs/>
          <w:color w:val="000000" w:themeColor="text1"/>
          <w:szCs w:val="24"/>
          <w14:textFill>
            <w14:solidFill>
              <w14:schemeClr w14:val="tx1"/>
            </w14:solidFill>
          </w14:textFill>
        </w:rPr>
        <w:t xml:space="preserve"> Nº XXX/2025,</w:t>
      </w:r>
      <w:r>
        <w:rPr>
          <w:color w:val="000000" w:themeColor="text1"/>
          <w:szCs w:val="24"/>
          <w14:textFill>
            <w14:solidFill>
              <w14:schemeClr w14:val="tx1"/>
            </w14:solidFill>
          </w14:textFill>
        </w:rPr>
        <w:t xml:space="preserve"> sob as sanções administrativas cabíveis e sob penas da Lei, que esta empresa, na presente data, é considerada:</w:t>
      </w:r>
    </w:p>
    <w:p w14:paraId="24D4066D">
      <w:pPr>
        <w:spacing w:before="6" w:after="6"/>
        <w:jc w:val="both"/>
        <w:rPr>
          <w:color w:val="000000" w:themeColor="text1"/>
          <w:szCs w:val="24"/>
          <w14:textFill>
            <w14:solidFill>
              <w14:schemeClr w14:val="tx1"/>
            </w14:solidFill>
          </w14:textFill>
        </w:rPr>
      </w:pPr>
    </w:p>
    <w:p w14:paraId="75074D8D">
      <w:pPr>
        <w:spacing w:before="6" w:after="6"/>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 MICROEMPRESA, conforme Inciso I, art. 3° da Lei Complementar n° 123/2006;</w:t>
      </w:r>
    </w:p>
    <w:p w14:paraId="3436FEC7">
      <w:pPr>
        <w:spacing w:before="6" w:after="6"/>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 ) EMPRESA DE </w:t>
      </w:r>
      <w:r>
        <w:rPr>
          <w:bCs/>
          <w:color w:val="000000" w:themeColor="text1"/>
          <w:szCs w:val="24"/>
          <w14:textFill>
            <w14:solidFill>
              <w14:schemeClr w14:val="tx1"/>
            </w14:solidFill>
          </w14:textFill>
        </w:rPr>
        <w:t>PEQUENO</w:t>
      </w:r>
      <w:r>
        <w:rPr>
          <w:color w:val="000000" w:themeColor="text1"/>
          <w:szCs w:val="24"/>
          <w14:textFill>
            <w14:solidFill>
              <w14:schemeClr w14:val="tx1"/>
            </w14:solidFill>
          </w14:textFill>
        </w:rPr>
        <w:t xml:space="preserve"> </w:t>
      </w:r>
      <w:r>
        <w:rPr>
          <w:bCs/>
          <w:color w:val="000000" w:themeColor="text1"/>
          <w:szCs w:val="24"/>
          <w14:textFill>
            <w14:solidFill>
              <w14:schemeClr w14:val="tx1"/>
            </w14:solidFill>
          </w14:textFill>
        </w:rPr>
        <w:t>PORTE</w:t>
      </w:r>
      <w:r>
        <w:rPr>
          <w:color w:val="000000" w:themeColor="text1"/>
          <w:szCs w:val="24"/>
          <w14:textFill>
            <w14:solidFill>
              <w14:schemeClr w14:val="tx1"/>
            </w14:solidFill>
          </w14:textFill>
        </w:rPr>
        <w:t>, conforme inciso II, art. 3° da lei Complementar n° 123/2006.</w:t>
      </w:r>
    </w:p>
    <w:p w14:paraId="3CD8E924">
      <w:pPr>
        <w:spacing w:before="6" w:after="6"/>
        <w:jc w:val="both"/>
        <w:rPr>
          <w:color w:val="000000" w:themeColor="text1"/>
          <w:szCs w:val="24"/>
          <w14:textFill>
            <w14:solidFill>
              <w14:schemeClr w14:val="tx1"/>
            </w14:solidFill>
          </w14:textFill>
        </w:rPr>
      </w:pPr>
    </w:p>
    <w:p w14:paraId="6874E38A">
      <w:pPr>
        <w:spacing w:before="6" w:after="6"/>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DECLARA ainda que a empresa esteja excluída das vedações constantes do parágrafo 4° do artigo 3° da Lei Complementar n° 123, de 14 de dezembro de 2006.</w:t>
      </w:r>
    </w:p>
    <w:p w14:paraId="674A20B0">
      <w:pPr>
        <w:spacing w:before="6" w:after="6"/>
        <w:jc w:val="both"/>
        <w:rPr>
          <w:color w:val="000000" w:themeColor="text1"/>
          <w:szCs w:val="24"/>
          <w14:textFill>
            <w14:solidFill>
              <w14:schemeClr w14:val="tx1"/>
            </w14:solidFill>
          </w14:textFill>
        </w:rPr>
      </w:pPr>
    </w:p>
    <w:p w14:paraId="21D4EDEF">
      <w:pPr>
        <w:spacing w:before="6" w:after="6"/>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00B8B62E">
      <w:pPr>
        <w:spacing w:before="6" w:after="6"/>
        <w:jc w:val="both"/>
        <w:rPr>
          <w:color w:val="000000" w:themeColor="text1"/>
          <w:szCs w:val="24"/>
          <w14:textFill>
            <w14:solidFill>
              <w14:schemeClr w14:val="tx1"/>
            </w14:solidFill>
          </w14:textFill>
        </w:rPr>
      </w:pPr>
    </w:p>
    <w:p w14:paraId="4931B9B5">
      <w:pPr>
        <w:spacing w:before="6" w:after="6"/>
        <w:jc w:val="both"/>
        <w:rPr>
          <w:color w:val="000000" w:themeColor="text1"/>
          <w:szCs w:val="24"/>
          <w14:textFill>
            <w14:solidFill>
              <w14:schemeClr w14:val="tx1"/>
            </w14:solidFill>
          </w14:textFill>
        </w:rPr>
      </w:pPr>
    </w:p>
    <w:p w14:paraId="13AE3B09">
      <w:pPr>
        <w:spacing w:before="6" w:after="6"/>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(Localidade)_______, de ____________de__</w:t>
      </w:r>
      <w:r>
        <w:rPr>
          <w:color w:val="000000" w:themeColor="text1"/>
          <w:szCs w:val="24"/>
          <w14:textFill>
            <w14:solidFill>
              <w14:schemeClr w14:val="tx1"/>
            </w14:solidFill>
          </w14:textFill>
        </w:rPr>
        <w:softHyphen/>
      </w:r>
      <w:r>
        <w:rPr>
          <w:color w:val="000000" w:themeColor="text1"/>
          <w:szCs w:val="24"/>
          <w14:textFill>
            <w14:solidFill>
              <w14:schemeClr w14:val="tx1"/>
            </w14:solidFill>
          </w14:textFill>
        </w:rPr>
        <w:softHyphen/>
      </w:r>
      <w:r>
        <w:rPr>
          <w:color w:val="000000" w:themeColor="text1"/>
          <w:szCs w:val="24"/>
          <w14:textFill>
            <w14:solidFill>
              <w14:schemeClr w14:val="tx1"/>
            </w14:solidFill>
          </w14:textFill>
        </w:rPr>
        <w:t>____.</w:t>
      </w:r>
    </w:p>
    <w:p w14:paraId="1E1B84E4">
      <w:pPr>
        <w:spacing w:before="6" w:after="6"/>
        <w:jc w:val="both"/>
        <w:rPr>
          <w:color w:val="000000" w:themeColor="text1"/>
          <w:szCs w:val="24"/>
          <w14:textFill>
            <w14:solidFill>
              <w14:schemeClr w14:val="tx1"/>
            </w14:solidFill>
          </w14:textFill>
        </w:rPr>
      </w:pPr>
    </w:p>
    <w:p w14:paraId="20C5D048">
      <w:pPr>
        <w:spacing w:before="6" w:after="6"/>
        <w:jc w:val="both"/>
        <w:rPr>
          <w:color w:val="000000" w:themeColor="text1"/>
          <w:szCs w:val="24"/>
          <w14:textFill>
            <w14:solidFill>
              <w14:schemeClr w14:val="tx1"/>
            </w14:solidFill>
          </w14:textFill>
        </w:rPr>
      </w:pPr>
    </w:p>
    <w:p w14:paraId="5FD42F7F">
      <w:pPr>
        <w:spacing w:before="6" w:after="6"/>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____________________________________________</w:t>
      </w:r>
    </w:p>
    <w:p w14:paraId="6A2F1711">
      <w:pPr>
        <w:spacing w:before="6" w:after="6"/>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Nome e número da identidade e do CPF do declarante</w:t>
      </w:r>
    </w:p>
    <w:p w14:paraId="2B94D1A7">
      <w:pPr>
        <w:spacing w:before="6" w:after="6"/>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(Representante Legal da empresa)</w:t>
      </w:r>
    </w:p>
    <w:p w14:paraId="073BAB6B">
      <w:pPr>
        <w:spacing w:before="6" w:after="6"/>
        <w:jc w:val="both"/>
        <w:rPr>
          <w:color w:val="000000" w:themeColor="text1"/>
          <w:szCs w:val="24"/>
          <w14:textFill>
            <w14:solidFill>
              <w14:schemeClr w14:val="tx1"/>
            </w14:solidFill>
          </w14:textFill>
        </w:rPr>
      </w:pPr>
    </w:p>
    <w:p w14:paraId="172BE0BF">
      <w:pPr>
        <w:spacing w:before="6" w:after="6"/>
        <w:jc w:val="both"/>
        <w:rPr>
          <w:color w:val="000000" w:themeColor="text1"/>
          <w:szCs w:val="24"/>
          <w14:textFill>
            <w14:solidFill>
              <w14:schemeClr w14:val="tx1"/>
            </w14:solidFill>
          </w14:textFill>
        </w:rPr>
      </w:pPr>
    </w:p>
    <w:p w14:paraId="0959ADB2">
      <w:pPr>
        <w:spacing w:before="6" w:after="6"/>
        <w:jc w:val="both"/>
        <w:rPr>
          <w:color w:val="000000" w:themeColor="text1"/>
          <w:szCs w:val="24"/>
          <w14:textFill>
            <w14:solidFill>
              <w14:schemeClr w14:val="tx1"/>
            </w14:solidFill>
          </w14:textFill>
        </w:rPr>
      </w:pPr>
    </w:p>
    <w:p w14:paraId="506942E1">
      <w:pPr>
        <w:spacing w:before="6" w:after="6"/>
        <w:jc w:val="both"/>
        <w:rPr>
          <w:color w:val="000000" w:themeColor="text1"/>
          <w:szCs w:val="24"/>
          <w14:textFill>
            <w14:solidFill>
              <w14:schemeClr w14:val="tx1"/>
            </w14:solidFill>
          </w14:textFill>
        </w:rPr>
      </w:pPr>
    </w:p>
    <w:p w14:paraId="71379AEF">
      <w:pPr>
        <w:spacing w:before="6" w:after="6"/>
        <w:jc w:val="both"/>
        <w:rPr>
          <w:color w:val="000000" w:themeColor="text1"/>
          <w:szCs w:val="24"/>
          <w14:textFill>
            <w14:solidFill>
              <w14:schemeClr w14:val="tx1"/>
            </w14:solidFill>
          </w14:textFill>
        </w:rPr>
      </w:pPr>
    </w:p>
    <w:p w14:paraId="7D3FC3EC">
      <w:pPr>
        <w:spacing w:before="6" w:after="6"/>
        <w:jc w:val="both"/>
        <w:rPr>
          <w:color w:val="000000" w:themeColor="text1"/>
          <w:szCs w:val="24"/>
          <w14:textFill>
            <w14:solidFill>
              <w14:schemeClr w14:val="tx1"/>
            </w14:solidFill>
          </w14:textFill>
        </w:rPr>
      </w:pPr>
    </w:p>
    <w:p w14:paraId="124C33BE">
      <w:pPr>
        <w:spacing w:before="6" w:after="6"/>
        <w:jc w:val="both"/>
        <w:rPr>
          <w:color w:val="000000" w:themeColor="text1"/>
          <w:szCs w:val="24"/>
          <w14:textFill>
            <w14:solidFill>
              <w14:schemeClr w14:val="tx1"/>
            </w14:solidFill>
          </w14:textFill>
        </w:rPr>
      </w:pPr>
    </w:p>
    <w:p w14:paraId="1069AF02">
      <w:pPr>
        <w:spacing w:before="6" w:after="6"/>
        <w:jc w:val="both"/>
        <w:rPr>
          <w:color w:val="000000" w:themeColor="text1"/>
          <w:szCs w:val="24"/>
          <w14:textFill>
            <w14:solidFill>
              <w14:schemeClr w14:val="tx1"/>
            </w14:solidFill>
          </w14:textFill>
        </w:rPr>
      </w:pPr>
    </w:p>
    <w:p w14:paraId="416B8EEE">
      <w:pPr>
        <w:spacing w:before="6" w:after="6"/>
        <w:jc w:val="both"/>
        <w:rPr>
          <w:color w:val="000000" w:themeColor="text1"/>
          <w:szCs w:val="24"/>
          <w14:textFill>
            <w14:solidFill>
              <w14:schemeClr w14:val="tx1"/>
            </w14:solidFill>
          </w14:textFill>
        </w:rPr>
      </w:pPr>
    </w:p>
    <w:p w14:paraId="56572AEF">
      <w:pPr>
        <w:spacing w:before="6" w:after="6"/>
        <w:jc w:val="both"/>
        <w:rPr>
          <w:color w:val="000000" w:themeColor="text1"/>
          <w:szCs w:val="24"/>
          <w14:textFill>
            <w14:solidFill>
              <w14:schemeClr w14:val="tx1"/>
            </w14:solidFill>
          </w14:textFill>
        </w:rPr>
      </w:pPr>
    </w:p>
    <w:p w14:paraId="6916F0EF">
      <w:pPr>
        <w:spacing w:before="6" w:after="6"/>
        <w:jc w:val="both"/>
        <w:rPr>
          <w:color w:val="000000" w:themeColor="text1"/>
          <w:szCs w:val="24"/>
          <w14:textFill>
            <w14:solidFill>
              <w14:schemeClr w14:val="tx1"/>
            </w14:solidFill>
          </w14:textFill>
        </w:rPr>
      </w:pPr>
    </w:p>
    <w:p w14:paraId="3025E00F">
      <w:pPr>
        <w:spacing w:before="6" w:after="6"/>
        <w:jc w:val="both"/>
        <w:rPr>
          <w:color w:val="000000" w:themeColor="text1"/>
          <w:szCs w:val="24"/>
          <w14:textFill>
            <w14:solidFill>
              <w14:schemeClr w14:val="tx1"/>
            </w14:solidFill>
          </w14:textFill>
        </w:rPr>
      </w:pPr>
    </w:p>
    <w:p w14:paraId="3811741E">
      <w:pPr>
        <w:spacing w:before="6" w:after="6"/>
        <w:jc w:val="both"/>
        <w:rPr>
          <w:color w:val="000000" w:themeColor="text1"/>
          <w:szCs w:val="24"/>
          <w14:textFill>
            <w14:solidFill>
              <w14:schemeClr w14:val="tx1"/>
            </w14:solidFill>
          </w14:textFill>
        </w:rPr>
      </w:pPr>
    </w:p>
    <w:p w14:paraId="10A0867B">
      <w:pPr>
        <w:spacing w:before="6" w:after="6"/>
        <w:jc w:val="both"/>
        <w:rPr>
          <w:color w:val="000000" w:themeColor="text1"/>
          <w:szCs w:val="24"/>
          <w14:textFill>
            <w14:solidFill>
              <w14:schemeClr w14:val="tx1"/>
            </w14:solidFill>
          </w14:textFill>
        </w:rPr>
      </w:pPr>
    </w:p>
    <w:p w14:paraId="7953DF84">
      <w:pPr>
        <w:spacing w:before="6" w:after="6"/>
        <w:jc w:val="both"/>
        <w:rPr>
          <w:color w:val="000000" w:themeColor="text1"/>
          <w:szCs w:val="24"/>
          <w14:textFill>
            <w14:solidFill>
              <w14:schemeClr w14:val="tx1"/>
            </w14:solidFill>
          </w14:textFill>
        </w:rPr>
      </w:pPr>
    </w:p>
    <w:p w14:paraId="21B2CC0F">
      <w:pPr>
        <w:spacing w:before="6" w:after="6"/>
        <w:jc w:val="both"/>
        <w:rPr>
          <w:color w:val="000000" w:themeColor="text1"/>
          <w:szCs w:val="24"/>
          <w14:textFill>
            <w14:solidFill>
              <w14:schemeClr w14:val="tx1"/>
            </w14:solidFill>
          </w14:textFill>
        </w:rPr>
      </w:pPr>
    </w:p>
    <w:p w14:paraId="634B0DB9">
      <w:pPr>
        <w:spacing w:before="6" w:after="6"/>
        <w:jc w:val="both"/>
        <w:rPr>
          <w:color w:val="000000" w:themeColor="text1"/>
          <w:szCs w:val="24"/>
          <w14:textFill>
            <w14:solidFill>
              <w14:schemeClr w14:val="tx1"/>
            </w14:solidFill>
          </w14:textFill>
        </w:rPr>
      </w:pPr>
    </w:p>
    <w:p w14:paraId="515A6DD7">
      <w:pPr>
        <w:spacing w:before="6" w:after="6"/>
        <w:jc w:val="both"/>
        <w:rPr>
          <w:color w:val="000000" w:themeColor="text1"/>
          <w:szCs w:val="24"/>
          <w14:textFill>
            <w14:solidFill>
              <w14:schemeClr w14:val="tx1"/>
            </w14:solidFill>
          </w14:textFill>
        </w:rPr>
      </w:pPr>
    </w:p>
    <w:p w14:paraId="15349FB5">
      <w:pPr>
        <w:spacing w:before="6" w:after="6"/>
        <w:jc w:val="both"/>
        <w:rPr>
          <w:color w:val="000000" w:themeColor="text1"/>
          <w:szCs w:val="24"/>
          <w14:textFill>
            <w14:solidFill>
              <w14:schemeClr w14:val="tx1"/>
            </w14:solidFill>
          </w14:textFill>
        </w:rPr>
      </w:pPr>
    </w:p>
    <w:p w14:paraId="1EDFAAFD">
      <w:pPr>
        <w:tabs>
          <w:tab w:val="left" w:pos="284"/>
          <w:tab w:val="left" w:pos="709"/>
        </w:tabs>
        <w:autoSpaceDE w:val="0"/>
        <w:snapToGrid w:val="0"/>
        <w:spacing w:before="72" w:beforeLines="30" w:after="72" w:afterLines="30"/>
        <w:ind w:right="-1"/>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ANEXO X</w:t>
      </w:r>
    </w:p>
    <w:p w14:paraId="05AF6349">
      <w:pPr>
        <w:tabs>
          <w:tab w:val="left" w:pos="284"/>
          <w:tab w:val="left" w:pos="709"/>
        </w:tabs>
        <w:autoSpaceDE w:val="0"/>
        <w:snapToGrid w:val="0"/>
        <w:spacing w:before="72" w:beforeLines="30" w:after="72" w:afterLines="30"/>
        <w:ind w:right="-1"/>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Modelo de Declaração geral</w:t>
      </w:r>
    </w:p>
    <w:p w14:paraId="3480A3EA">
      <w:pPr>
        <w:tabs>
          <w:tab w:val="left" w:pos="284"/>
          <w:tab w:val="left" w:pos="709"/>
        </w:tabs>
        <w:autoSpaceDE w:val="0"/>
        <w:snapToGrid w:val="0"/>
        <w:spacing w:before="72" w:beforeLines="30" w:after="72" w:afterLines="30"/>
        <w:ind w:right="-1"/>
        <w:jc w:val="both"/>
        <w:rPr>
          <w:b/>
          <w:color w:val="000000" w:themeColor="text1"/>
          <w:szCs w:val="24"/>
          <w14:textFill>
            <w14:solidFill>
              <w14:schemeClr w14:val="tx1"/>
            </w14:solidFill>
          </w14:textFill>
        </w:rPr>
      </w:pPr>
    </w:p>
    <w:p w14:paraId="461D0AEB">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A Empresa </w:t>
      </w:r>
      <w:r>
        <w:rPr>
          <w:b/>
          <w:bCs/>
          <w:color w:val="000000" w:themeColor="text1"/>
          <w:szCs w:val="24"/>
          <w14:textFill>
            <w14:solidFill>
              <w14:schemeClr w14:val="tx1"/>
            </w14:solidFill>
          </w14:textFill>
        </w:rPr>
        <w:t>_______________________,</w:t>
      </w:r>
      <w:r>
        <w:rPr>
          <w:color w:val="000000" w:themeColor="text1"/>
          <w:szCs w:val="24"/>
          <w14:textFill>
            <w14:solidFill>
              <w14:schemeClr w14:val="tx1"/>
            </w14:solidFill>
          </w14:textFill>
        </w:rPr>
        <w:t xml:space="preserve"> inscrita no CNPJ </w:t>
      </w:r>
      <w:r>
        <w:rPr>
          <w:b/>
          <w:bCs/>
          <w:color w:val="000000" w:themeColor="text1"/>
          <w:szCs w:val="24"/>
          <w14:textFill>
            <w14:solidFill>
              <w14:schemeClr w14:val="tx1"/>
            </w14:solidFill>
          </w14:textFill>
        </w:rPr>
        <w:t>n° _____________________,</w:t>
      </w:r>
      <w:r>
        <w:rPr>
          <w:color w:val="000000" w:themeColor="text1"/>
          <w:szCs w:val="24"/>
          <w14:textFill>
            <w14:solidFill>
              <w14:schemeClr w14:val="tx1"/>
            </w14:solidFill>
          </w14:textFill>
        </w:rPr>
        <w:t xml:space="preserve"> por intermédio de seu representante legal o(a) Sr.(a</w:t>
      </w:r>
      <w:r>
        <w:rPr>
          <w:b/>
          <w:bCs/>
          <w:color w:val="000000" w:themeColor="text1"/>
          <w:szCs w:val="24"/>
          <w14:textFill>
            <w14:solidFill>
              <w14:schemeClr w14:val="tx1"/>
            </w14:solidFill>
          </w14:textFill>
        </w:rPr>
        <w:t>) _______________________,</w:t>
      </w:r>
      <w:r>
        <w:rPr>
          <w:color w:val="000000" w:themeColor="text1"/>
          <w:szCs w:val="24"/>
          <w14:textFill>
            <w14:solidFill>
              <w14:schemeClr w14:val="tx1"/>
            </w14:solidFill>
          </w14:textFill>
        </w:rPr>
        <w:t xml:space="preserve"> portador (a) da Carteira de Identidade n</w:t>
      </w:r>
      <w:r>
        <w:rPr>
          <w:b/>
          <w:bCs/>
          <w:color w:val="000000" w:themeColor="text1"/>
          <w:szCs w:val="24"/>
          <w14:textFill>
            <w14:solidFill>
              <w14:schemeClr w14:val="tx1"/>
            </w14:solidFill>
          </w14:textFill>
        </w:rPr>
        <w:t>° _________________</w:t>
      </w:r>
      <w:r>
        <w:rPr>
          <w:color w:val="000000" w:themeColor="text1"/>
          <w:szCs w:val="24"/>
          <w14:textFill>
            <w14:solidFill>
              <w14:schemeClr w14:val="tx1"/>
            </w14:solidFill>
          </w14:textFill>
        </w:rPr>
        <w:t xml:space="preserve"> expedida pela SSP/____ e de CPF </w:t>
      </w:r>
      <w:r>
        <w:rPr>
          <w:b/>
          <w:bCs/>
          <w:color w:val="000000" w:themeColor="text1"/>
          <w:szCs w:val="24"/>
          <w14:textFill>
            <w14:solidFill>
              <w14:schemeClr w14:val="tx1"/>
            </w14:solidFill>
          </w14:textFill>
        </w:rPr>
        <w:t xml:space="preserve">n° _________________ </w:t>
      </w:r>
      <w:r>
        <w:rPr>
          <w:color w:val="000000" w:themeColor="text1"/>
          <w:szCs w:val="24"/>
          <w14:textFill>
            <w14:solidFill>
              <w14:schemeClr w14:val="tx1"/>
            </w14:solidFill>
          </w14:textFill>
        </w:rPr>
        <w:t xml:space="preserve">DECLARA, para fins do disposto no Edital de MODALIDADE </w:t>
      </w:r>
      <w:r>
        <w:rPr>
          <w:bCs/>
          <w:color w:val="000000" w:themeColor="text1"/>
          <w:szCs w:val="24"/>
          <w14:textFill>
            <w14:solidFill>
              <w14:schemeClr w14:val="tx1"/>
            </w14:solidFill>
          </w14:textFill>
        </w:rPr>
        <w:t>CONCORRÊNCIA ELETRÔNICA Nº XX/2026,</w:t>
      </w:r>
      <w:r>
        <w:rPr>
          <w:color w:val="000000" w:themeColor="text1"/>
          <w:szCs w:val="24"/>
          <w14:textFill>
            <w14:solidFill>
              <w14:schemeClr w14:val="tx1"/>
            </w14:solidFill>
          </w14:textFill>
        </w:rPr>
        <w:t xml:space="preserve"> sob as sanções administrativas cabíveis e sob penas da Lei, que esta empresa, na presente data:</w:t>
      </w:r>
    </w:p>
    <w:p w14:paraId="6338BB13">
      <w:pPr>
        <w:spacing w:before="72" w:beforeLines="30" w:after="72" w:afterLines="30"/>
        <w:jc w:val="both"/>
        <w:rPr>
          <w:color w:val="000000" w:themeColor="text1"/>
          <w:szCs w:val="24"/>
          <w14:textFill>
            <w14:solidFill>
              <w14:schemeClr w14:val="tx1"/>
            </w14:solidFill>
          </w14:textFill>
        </w:rPr>
      </w:pPr>
    </w:p>
    <w:p w14:paraId="126DC2B7">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I - Que até a presente data inexistem fatos impeditivos para habilitação e contratação com a administração pública, ciente da obrigatoriedade de declarar ocorrências posteriores.</w:t>
      </w:r>
    </w:p>
    <w:p w14:paraId="17D38ECB">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II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9D0F2">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III- não emprega menor de 18 anos em trabalho noturno, perigoso ou insalubre e não emprega menor de 16 anos, salvo menor, a partir de 14 anos, na condição de aprendiz, nos termos do </w:t>
      </w:r>
      <w:r>
        <w:fldChar w:fldCharType="begin"/>
      </w:r>
      <w:r>
        <w:instrText xml:space="preserve"> HYPERLINK "https://www.planalto.gov.br/ccivil_03/constituicao/constituicaocompilado.htm" \l "art7" </w:instrText>
      </w:r>
      <w:r>
        <w:fldChar w:fldCharType="separate"/>
      </w:r>
      <w:r>
        <w:rPr>
          <w:rStyle w:val="17"/>
          <w:color w:val="000000" w:themeColor="text1"/>
          <w:szCs w:val="24"/>
          <w14:textFill>
            <w14:solidFill>
              <w14:schemeClr w14:val="tx1"/>
            </w14:solidFill>
          </w14:textFill>
        </w:rPr>
        <w:t>artigo 7°, XXXIII, da Constituição</w:t>
      </w:r>
      <w:r>
        <w:rPr>
          <w:rStyle w:val="17"/>
          <w:color w:val="000000" w:themeColor="text1"/>
          <w:szCs w:val="24"/>
          <w14:textFill>
            <w14:solidFill>
              <w14:schemeClr w14:val="tx1"/>
            </w14:solidFill>
          </w14:textFill>
        </w:rPr>
        <w:fldChar w:fldCharType="end"/>
      </w:r>
      <w:r>
        <w:rPr>
          <w:color w:val="000000" w:themeColor="text1"/>
          <w:szCs w:val="24"/>
          <w14:textFill>
            <w14:solidFill>
              <w14:schemeClr w14:val="tx1"/>
            </w14:solidFill>
          </w14:textFill>
        </w:rPr>
        <w:t>;</w:t>
      </w:r>
    </w:p>
    <w:p w14:paraId="3B71AD87">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IV não possui empregados executando trabalho degradante ou forçado, observando o disposto nos </w:t>
      </w:r>
      <w:r>
        <w:fldChar w:fldCharType="begin"/>
      </w:r>
      <w:r>
        <w:instrText xml:space="preserve"> HYPERLINK "https://www.planalto.gov.br/ccivil_03/constituicao/constituicaocompilado.htm" </w:instrText>
      </w:r>
      <w:r>
        <w:fldChar w:fldCharType="separate"/>
      </w:r>
      <w:r>
        <w:rPr>
          <w:rStyle w:val="17"/>
          <w:rFonts w:ascii="Times New Roman" w:hAnsi="Times New Roman" w:cs="Times New Roman"/>
          <w:color w:val="000000" w:themeColor="text1"/>
          <w:sz w:val="24"/>
          <w:szCs w:val="24"/>
          <w14:textFill>
            <w14:solidFill>
              <w14:schemeClr w14:val="tx1"/>
            </w14:solidFill>
          </w14:textFill>
        </w:rPr>
        <w:t>incisos III e IV do art. 1º e no inciso III do art. 5º da Constituição Federal</w:t>
      </w:r>
      <w:r>
        <w:rPr>
          <w:rStyle w:val="17"/>
          <w:rFonts w:ascii="Times New Roman" w:hAnsi="Times New Roman" w:cs="Times New Roman"/>
          <w:color w:val="000000" w:themeColor="text1"/>
          <w:sz w:val="24"/>
          <w:szCs w:val="24"/>
          <w14:textFill>
            <w14:solidFill>
              <w14:schemeClr w14:val="tx1"/>
            </w14:solidFill>
          </w14:textFill>
        </w:rPr>
        <w:fldChar w:fldCharType="end"/>
      </w:r>
      <w:r>
        <w:rPr>
          <w:rFonts w:ascii="Times New Roman" w:hAnsi="Times New Roman" w:cs="Times New Roman"/>
          <w:color w:val="000000" w:themeColor="text1"/>
          <w:sz w:val="24"/>
          <w:szCs w:val="24"/>
          <w14:textFill>
            <w14:solidFill>
              <w14:schemeClr w14:val="tx1"/>
            </w14:solidFill>
          </w14:textFill>
        </w:rPr>
        <w:t>;</w:t>
      </w:r>
    </w:p>
    <w:p w14:paraId="131AF72D">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 - cumpre as exigências de reserva de cargos para pessoa com deficiência e para reabilitado da Previdência Social, previstas em lei e em outras normas específicas.</w:t>
      </w:r>
    </w:p>
    <w:p w14:paraId="0C8938BE">
      <w:pPr>
        <w:pStyle w:val="88"/>
        <w:numPr>
          <w:ilvl w:val="0"/>
          <w:numId w:val="0"/>
        </w:numPr>
        <w:spacing w:before="72" w:beforeLines="30" w:after="72" w:afterLines="30" w:line="240" w:lineRule="auto"/>
        <w:rPr>
          <w:rFonts w:ascii="Times New Roman" w:hAnsi="Times New Roman" w:cs="Times New Roman"/>
          <w:color w:val="000000" w:themeColor="text1"/>
          <w:sz w:val="24"/>
          <w:szCs w:val="24"/>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VI -  Que não possuo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75277C4">
      <w:pPr>
        <w:tabs>
          <w:tab w:val="left" w:pos="-426"/>
        </w:tabs>
        <w:spacing w:before="72" w:beforeLines="30" w:after="72" w:afterLines="30"/>
        <w:jc w:val="both"/>
        <w:rPr>
          <w:color w:val="000000" w:themeColor="text1"/>
          <w:szCs w:val="24"/>
          <w14:textFill>
            <w14:solidFill>
              <w14:schemeClr w14:val="tx1"/>
            </w14:solidFill>
          </w14:textFill>
        </w:rPr>
      </w:pPr>
    </w:p>
    <w:p w14:paraId="01C94A29">
      <w:pPr>
        <w:spacing w:before="72" w:beforeLines="30" w:after="72" w:afterLines="30"/>
        <w:jc w:val="both"/>
        <w:rPr>
          <w:color w:val="000000" w:themeColor="text1"/>
          <w:szCs w:val="24"/>
          <w14:textFill>
            <w14:solidFill>
              <w14:schemeClr w14:val="tx1"/>
            </w14:solidFill>
          </w14:textFill>
        </w:rPr>
      </w:pPr>
    </w:p>
    <w:p w14:paraId="222EC3F7">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(Localidade)_______, de ____________de__</w:t>
      </w:r>
      <w:r>
        <w:rPr>
          <w:color w:val="000000" w:themeColor="text1"/>
          <w:szCs w:val="24"/>
          <w14:textFill>
            <w14:solidFill>
              <w14:schemeClr w14:val="tx1"/>
            </w14:solidFill>
          </w14:textFill>
        </w:rPr>
        <w:softHyphen/>
      </w:r>
      <w:r>
        <w:rPr>
          <w:color w:val="000000" w:themeColor="text1"/>
          <w:szCs w:val="24"/>
          <w14:textFill>
            <w14:solidFill>
              <w14:schemeClr w14:val="tx1"/>
            </w14:solidFill>
          </w14:textFill>
        </w:rPr>
        <w:softHyphen/>
      </w:r>
      <w:r>
        <w:rPr>
          <w:color w:val="000000" w:themeColor="text1"/>
          <w:szCs w:val="24"/>
          <w14:textFill>
            <w14:solidFill>
              <w14:schemeClr w14:val="tx1"/>
            </w14:solidFill>
          </w14:textFill>
        </w:rPr>
        <w:t>____.</w:t>
      </w:r>
    </w:p>
    <w:p w14:paraId="77208FA1">
      <w:pPr>
        <w:spacing w:before="72" w:beforeLines="30" w:after="72" w:afterLines="30"/>
        <w:jc w:val="both"/>
        <w:rPr>
          <w:color w:val="000000" w:themeColor="text1"/>
          <w:szCs w:val="24"/>
          <w14:textFill>
            <w14:solidFill>
              <w14:schemeClr w14:val="tx1"/>
            </w14:solidFill>
          </w14:textFill>
        </w:rPr>
      </w:pPr>
    </w:p>
    <w:p w14:paraId="37330D79">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____________________________________________</w:t>
      </w:r>
    </w:p>
    <w:p w14:paraId="3C98A9B5">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Nome e número da identidade e do CPF do declarante</w:t>
      </w:r>
    </w:p>
    <w:p w14:paraId="47B35AEC">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(Representante Legal da empresa)</w:t>
      </w:r>
    </w:p>
    <w:p w14:paraId="46B3E53A">
      <w:pPr>
        <w:jc w:val="both"/>
        <w:rPr>
          <w:rFonts w:eastAsia="Calibri"/>
          <w:b/>
          <w:bCs/>
          <w:color w:val="000000" w:themeColor="text1"/>
          <w:szCs w:val="24"/>
          <w:lang w:eastAsia="en-US"/>
          <w14:textFill>
            <w14:solidFill>
              <w14:schemeClr w14:val="tx1"/>
            </w14:solidFill>
          </w14:textFill>
        </w:rPr>
      </w:pPr>
    </w:p>
    <w:bookmarkEnd w:id="0"/>
    <w:p w14:paraId="7E6DC592">
      <w:pPr>
        <w:spacing w:before="120" w:after="120" w:line="276" w:lineRule="auto"/>
        <w:jc w:val="both"/>
        <w:rPr>
          <w:b/>
          <w:bCs/>
          <w:color w:val="000000" w:themeColor="text1"/>
          <w:szCs w:val="24"/>
          <w14:textFill>
            <w14:solidFill>
              <w14:schemeClr w14:val="tx1"/>
            </w14:solidFill>
          </w14:textFill>
        </w:rPr>
      </w:pPr>
    </w:p>
    <w:p w14:paraId="54417AA2">
      <w:pPr>
        <w:spacing w:before="120" w:after="120" w:line="276" w:lineRule="auto"/>
        <w:jc w:val="both"/>
        <w:rPr>
          <w:b/>
          <w:bCs/>
          <w:color w:val="000000" w:themeColor="text1"/>
          <w:szCs w:val="24"/>
          <w14:textFill>
            <w14:solidFill>
              <w14:schemeClr w14:val="tx1"/>
            </w14:solidFill>
          </w14:textFill>
        </w:rPr>
      </w:pPr>
    </w:p>
    <w:p w14:paraId="6F0A77C8">
      <w:pPr>
        <w:spacing w:before="120" w:after="120" w:line="276" w:lineRule="auto"/>
        <w:jc w:val="both"/>
        <w:rPr>
          <w:b/>
          <w:bCs/>
          <w:color w:val="000000" w:themeColor="text1"/>
          <w:szCs w:val="24"/>
          <w14:textFill>
            <w14:solidFill>
              <w14:schemeClr w14:val="tx1"/>
            </w14:solidFill>
          </w14:textFill>
        </w:rPr>
      </w:pPr>
    </w:p>
    <w:p w14:paraId="7FA2392D">
      <w:pPr>
        <w:spacing w:before="120" w:after="120" w:line="276" w:lineRule="auto"/>
        <w:jc w:val="both"/>
        <w:rPr>
          <w:b/>
          <w:bCs/>
          <w:color w:val="000000" w:themeColor="text1"/>
          <w:szCs w:val="24"/>
          <w14:textFill>
            <w14:solidFill>
              <w14:schemeClr w14:val="tx1"/>
            </w14:solidFill>
          </w14:textFill>
        </w:rPr>
      </w:pPr>
    </w:p>
    <w:p w14:paraId="3ED913C8">
      <w:pPr>
        <w:spacing w:before="120" w:after="120" w:line="276" w:lineRule="auto"/>
        <w:jc w:val="both"/>
        <w:rPr>
          <w:b/>
          <w:bCs/>
          <w:color w:val="000000" w:themeColor="text1"/>
          <w:szCs w:val="24"/>
          <w14:textFill>
            <w14:solidFill>
              <w14:schemeClr w14:val="tx1"/>
            </w14:solidFill>
          </w14:textFill>
        </w:rPr>
      </w:pPr>
    </w:p>
    <w:p w14:paraId="0D786791">
      <w:pPr>
        <w:spacing w:before="72" w:beforeLines="30" w:after="72" w:afterLines="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ANEXO XI</w:t>
      </w:r>
    </w:p>
    <w:p w14:paraId="5F29CEA9">
      <w:pPr>
        <w:tabs>
          <w:tab w:val="left" w:pos="2445"/>
        </w:tabs>
        <w:spacing w:before="72" w:beforeLines="30" w:after="7" w:afterLines="3"/>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DECLARAÇÃO DE RENÚNCIA DE VISTORIA</w:t>
      </w:r>
    </w:p>
    <w:p w14:paraId="61EA10F2">
      <w:pPr>
        <w:tabs>
          <w:tab w:val="left" w:pos="2445"/>
        </w:tabs>
        <w:spacing w:before="72" w:beforeLines="30" w:after="7" w:afterLines="3"/>
        <w:jc w:val="both"/>
        <w:rPr>
          <w:b/>
          <w:color w:val="000000" w:themeColor="text1"/>
          <w:szCs w:val="24"/>
          <w14:textFill>
            <w14:solidFill>
              <w14:schemeClr w14:val="tx1"/>
            </w14:solidFill>
          </w14:textFill>
        </w:rPr>
      </w:pPr>
    </w:p>
    <w:p w14:paraId="6B98EECD">
      <w:pPr>
        <w:tabs>
          <w:tab w:val="left" w:pos="2445"/>
        </w:tabs>
        <w:spacing w:before="72" w:beforeLines="30" w:after="7" w:afterLines="3"/>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Nome da empresa: ................................................................................................., CNPJnº........................................................................................Endereço:............................................................................................................................... Fone:....................................................................</w:t>
      </w:r>
    </w:p>
    <w:p w14:paraId="650E14F9">
      <w:pPr>
        <w:pStyle w:val="56"/>
        <w:jc w:val="both"/>
        <w:rPr>
          <w:color w:val="000000" w:themeColor="text1"/>
          <w14:textFill>
            <w14:solidFill>
              <w14:schemeClr w14:val="tx1"/>
            </w14:solidFill>
          </w14:textFill>
        </w:rPr>
      </w:pPr>
      <w:r>
        <w:rPr>
          <w:color w:val="000000" w:themeColor="text1"/>
          <w14:textFill>
            <w14:solidFill>
              <w14:schemeClr w14:val="tx1"/>
            </w14:solidFill>
          </w14:textFill>
        </w:rPr>
        <w:t xml:space="preserve">E-mail.................................................................................................................... Declaro que optamos pela não realização de vistoria assumindo inteiramente a responsabilidade ou consequências por essa omissão, mantendo as garantias que vincularem nossa proposta ao presente processo licitatório de Concorrência n. xxx/2026, referente a </w:t>
      </w:r>
      <w:r>
        <w:rPr>
          <w:b/>
          <w:color w:val="000000" w:themeColor="text1"/>
          <w14:textFill>
            <w14:solidFill>
              <w14:schemeClr w14:val="tx1"/>
            </w14:solidFill>
          </w14:textFill>
        </w:rPr>
        <w:t>CONTRATAÇÃO DE EMPRESA PARA AMPLIAÇÃO DA ESCOLA INÁCIO SILVESTRE MONTEIRO, LOCALIZADA NO DISTRITO DO ALTO CARACOL, NO MUNICÍPIO DE CARACOL/MS</w:t>
      </w:r>
      <w:r>
        <w:rPr>
          <w:color w:val="000000" w:themeColor="text1"/>
          <w14:textFill>
            <w14:solidFill>
              <w14:schemeClr w14:val="tx1"/>
            </w14:solidFill>
          </w14:textFill>
        </w:rPr>
        <w:t xml:space="preserve">, conforme Projeto, Planilha Orçamentária, Cronograma constantes em Anexo ao Edital, em nome da empresa que represento. </w:t>
      </w:r>
    </w:p>
    <w:p w14:paraId="684780E0">
      <w:pPr>
        <w:spacing w:before="72" w:beforeLines="30" w:after="7" w:afterLines="3"/>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        Por ser a expressão da verdade, e para que produza os efeitos legais e de direito, assino a presente Declaração.</w:t>
      </w:r>
    </w:p>
    <w:p w14:paraId="1A280B36">
      <w:pPr>
        <w:tabs>
          <w:tab w:val="left" w:pos="567"/>
        </w:tabs>
        <w:spacing w:before="72" w:beforeLines="30" w:after="7" w:afterLines="3"/>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Local e Data</w:t>
      </w:r>
    </w:p>
    <w:p w14:paraId="0D42D76F">
      <w:pPr>
        <w:tabs>
          <w:tab w:val="left" w:pos="567"/>
        </w:tabs>
        <w:spacing w:before="72" w:beforeLines="30" w:after="7" w:afterLines="3"/>
        <w:jc w:val="both"/>
        <w:rPr>
          <w:color w:val="000000" w:themeColor="text1"/>
          <w:szCs w:val="24"/>
          <w14:textFill>
            <w14:solidFill>
              <w14:schemeClr w14:val="tx1"/>
            </w14:solidFill>
          </w14:textFill>
        </w:rPr>
      </w:pPr>
    </w:p>
    <w:p w14:paraId="584F755F">
      <w:pPr>
        <w:tabs>
          <w:tab w:val="left" w:pos="567"/>
        </w:tabs>
        <w:spacing w:before="72" w:beforeLines="30" w:after="7" w:afterLines="3"/>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CARIMBO E ASSINATURA</w:t>
      </w:r>
    </w:p>
    <w:p w14:paraId="7B569241">
      <w:pPr>
        <w:tabs>
          <w:tab w:val="left" w:pos="567"/>
        </w:tabs>
        <w:spacing w:before="72" w:beforeLines="30" w:after="7" w:afterLines="3"/>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REPRESENTANTE LEGAL DA EMPRESA</w:t>
      </w:r>
    </w:p>
    <w:p w14:paraId="4335B229">
      <w:pPr>
        <w:tabs>
          <w:tab w:val="left" w:pos="2445"/>
        </w:tabs>
        <w:spacing w:before="72" w:beforeLines="30" w:after="7" w:afterLines="3"/>
        <w:jc w:val="both"/>
        <w:rPr>
          <w:color w:val="000000" w:themeColor="text1"/>
          <w:szCs w:val="24"/>
          <w14:textFill>
            <w14:solidFill>
              <w14:schemeClr w14:val="tx1"/>
            </w14:solidFill>
          </w14:textFill>
        </w:rPr>
      </w:pPr>
    </w:p>
    <w:p w14:paraId="7E00B41F">
      <w:pPr>
        <w:tabs>
          <w:tab w:val="left" w:pos="2445"/>
        </w:tabs>
        <w:spacing w:before="72" w:beforeLines="30" w:after="7" w:afterLines="3"/>
        <w:jc w:val="both"/>
        <w:rPr>
          <w:color w:val="000000" w:themeColor="text1"/>
          <w:szCs w:val="24"/>
          <w14:textFill>
            <w14:solidFill>
              <w14:schemeClr w14:val="tx1"/>
            </w14:solidFill>
          </w14:textFill>
        </w:rPr>
      </w:pPr>
    </w:p>
    <w:p w14:paraId="7C0AF24F">
      <w:pPr>
        <w:tabs>
          <w:tab w:val="left" w:pos="2445"/>
        </w:tabs>
        <w:spacing w:before="72" w:beforeLines="30" w:after="7" w:afterLines="3"/>
        <w:jc w:val="both"/>
        <w:rPr>
          <w:color w:val="000000" w:themeColor="text1"/>
          <w:szCs w:val="24"/>
          <w14:textFill>
            <w14:solidFill>
              <w14:schemeClr w14:val="tx1"/>
            </w14:solidFill>
          </w14:textFill>
        </w:rPr>
      </w:pPr>
    </w:p>
    <w:p w14:paraId="4AFEB403">
      <w:pPr>
        <w:tabs>
          <w:tab w:val="left" w:pos="2445"/>
        </w:tabs>
        <w:spacing w:before="72" w:beforeLines="30" w:after="7" w:afterLines="3"/>
        <w:jc w:val="both"/>
        <w:rPr>
          <w:color w:val="000000" w:themeColor="text1"/>
          <w:szCs w:val="24"/>
          <w14:textFill>
            <w14:solidFill>
              <w14:schemeClr w14:val="tx1"/>
            </w14:solidFill>
          </w14:textFill>
        </w:rPr>
      </w:pPr>
    </w:p>
    <w:p w14:paraId="284CC5E9">
      <w:pPr>
        <w:tabs>
          <w:tab w:val="left" w:pos="2445"/>
        </w:tabs>
        <w:spacing w:before="72" w:beforeLines="30" w:after="7" w:afterLines="3"/>
        <w:jc w:val="both"/>
        <w:rPr>
          <w:color w:val="000000" w:themeColor="text1"/>
          <w:szCs w:val="24"/>
          <w14:textFill>
            <w14:solidFill>
              <w14:schemeClr w14:val="tx1"/>
            </w14:solidFill>
          </w14:textFill>
        </w:rPr>
      </w:pPr>
    </w:p>
    <w:p w14:paraId="245147EC">
      <w:pPr>
        <w:tabs>
          <w:tab w:val="left" w:pos="2445"/>
        </w:tabs>
        <w:spacing w:before="72" w:beforeLines="30" w:after="7" w:afterLines="3"/>
        <w:jc w:val="both"/>
        <w:rPr>
          <w:color w:val="000000" w:themeColor="text1"/>
          <w:szCs w:val="24"/>
          <w14:textFill>
            <w14:solidFill>
              <w14:schemeClr w14:val="tx1"/>
            </w14:solidFill>
          </w14:textFill>
        </w:rPr>
      </w:pPr>
    </w:p>
    <w:p w14:paraId="5D40FF20">
      <w:pPr>
        <w:tabs>
          <w:tab w:val="left" w:pos="2445"/>
        </w:tabs>
        <w:spacing w:before="72" w:beforeLines="30" w:after="7" w:afterLines="3"/>
        <w:jc w:val="both"/>
        <w:rPr>
          <w:color w:val="000000" w:themeColor="text1"/>
          <w:szCs w:val="24"/>
          <w14:textFill>
            <w14:solidFill>
              <w14:schemeClr w14:val="tx1"/>
            </w14:solidFill>
          </w14:textFill>
        </w:rPr>
      </w:pPr>
    </w:p>
    <w:p w14:paraId="21885906">
      <w:pPr>
        <w:tabs>
          <w:tab w:val="left" w:pos="2445"/>
        </w:tabs>
        <w:spacing w:before="72" w:beforeLines="30" w:after="7" w:afterLines="3"/>
        <w:jc w:val="both"/>
        <w:rPr>
          <w:color w:val="000000" w:themeColor="text1"/>
          <w:szCs w:val="24"/>
          <w14:textFill>
            <w14:solidFill>
              <w14:schemeClr w14:val="tx1"/>
            </w14:solidFill>
          </w14:textFill>
        </w:rPr>
      </w:pPr>
    </w:p>
    <w:p w14:paraId="06CC1253">
      <w:pPr>
        <w:tabs>
          <w:tab w:val="left" w:pos="2445"/>
        </w:tabs>
        <w:spacing w:before="72" w:beforeLines="30" w:after="7" w:afterLines="3"/>
        <w:jc w:val="both"/>
        <w:rPr>
          <w:color w:val="000000" w:themeColor="text1"/>
          <w:szCs w:val="24"/>
          <w14:textFill>
            <w14:solidFill>
              <w14:schemeClr w14:val="tx1"/>
            </w14:solidFill>
          </w14:textFill>
        </w:rPr>
      </w:pPr>
    </w:p>
    <w:p w14:paraId="5DE7B724">
      <w:pPr>
        <w:tabs>
          <w:tab w:val="left" w:pos="2445"/>
        </w:tabs>
        <w:spacing w:before="72" w:beforeLines="30" w:after="7" w:afterLines="3"/>
        <w:jc w:val="both"/>
        <w:rPr>
          <w:color w:val="000000" w:themeColor="text1"/>
          <w:szCs w:val="24"/>
          <w14:textFill>
            <w14:solidFill>
              <w14:schemeClr w14:val="tx1"/>
            </w14:solidFill>
          </w14:textFill>
        </w:rPr>
      </w:pPr>
    </w:p>
    <w:p w14:paraId="1D69DABD">
      <w:pPr>
        <w:tabs>
          <w:tab w:val="left" w:pos="2445"/>
        </w:tabs>
        <w:spacing w:before="72" w:beforeLines="30" w:after="7" w:afterLines="3"/>
        <w:jc w:val="both"/>
        <w:rPr>
          <w:color w:val="000000" w:themeColor="text1"/>
          <w:szCs w:val="24"/>
          <w14:textFill>
            <w14:solidFill>
              <w14:schemeClr w14:val="tx1"/>
            </w14:solidFill>
          </w14:textFill>
        </w:rPr>
      </w:pPr>
    </w:p>
    <w:p w14:paraId="00F94567">
      <w:pPr>
        <w:tabs>
          <w:tab w:val="left" w:pos="2445"/>
        </w:tabs>
        <w:spacing w:before="72" w:beforeLines="30" w:after="7" w:afterLines="3"/>
        <w:jc w:val="both"/>
        <w:rPr>
          <w:color w:val="000000" w:themeColor="text1"/>
          <w:szCs w:val="24"/>
          <w14:textFill>
            <w14:solidFill>
              <w14:schemeClr w14:val="tx1"/>
            </w14:solidFill>
          </w14:textFill>
        </w:rPr>
      </w:pPr>
    </w:p>
    <w:p w14:paraId="75E8317E">
      <w:pPr>
        <w:tabs>
          <w:tab w:val="left" w:pos="2445"/>
        </w:tabs>
        <w:spacing w:before="72" w:beforeLines="30" w:after="7" w:afterLines="3"/>
        <w:jc w:val="both"/>
        <w:rPr>
          <w:color w:val="000000" w:themeColor="text1"/>
          <w:szCs w:val="24"/>
          <w14:textFill>
            <w14:solidFill>
              <w14:schemeClr w14:val="tx1"/>
            </w14:solidFill>
          </w14:textFill>
        </w:rPr>
      </w:pPr>
    </w:p>
    <w:p w14:paraId="67BFAE00">
      <w:pPr>
        <w:tabs>
          <w:tab w:val="left" w:pos="2445"/>
        </w:tabs>
        <w:spacing w:before="72" w:beforeLines="30" w:after="7" w:afterLines="3"/>
        <w:jc w:val="both"/>
        <w:rPr>
          <w:color w:val="000000" w:themeColor="text1"/>
          <w:szCs w:val="24"/>
          <w14:textFill>
            <w14:solidFill>
              <w14:schemeClr w14:val="tx1"/>
            </w14:solidFill>
          </w14:textFill>
        </w:rPr>
      </w:pPr>
    </w:p>
    <w:p w14:paraId="3F832BB6">
      <w:pPr>
        <w:tabs>
          <w:tab w:val="left" w:pos="2445"/>
        </w:tabs>
        <w:spacing w:before="72" w:beforeLines="30" w:after="7" w:afterLines="3"/>
        <w:jc w:val="both"/>
        <w:rPr>
          <w:color w:val="000000" w:themeColor="text1"/>
          <w:szCs w:val="24"/>
          <w14:textFill>
            <w14:solidFill>
              <w14:schemeClr w14:val="tx1"/>
            </w14:solidFill>
          </w14:textFill>
        </w:rPr>
      </w:pPr>
    </w:p>
    <w:p w14:paraId="2630CCAC">
      <w:pPr>
        <w:tabs>
          <w:tab w:val="left" w:pos="2445"/>
        </w:tabs>
        <w:spacing w:before="72" w:beforeLines="30" w:after="7" w:afterLines="3"/>
        <w:jc w:val="both"/>
        <w:rPr>
          <w:color w:val="000000" w:themeColor="text1"/>
          <w:szCs w:val="24"/>
          <w14:textFill>
            <w14:solidFill>
              <w14:schemeClr w14:val="tx1"/>
            </w14:solidFill>
          </w14:textFill>
        </w:rPr>
      </w:pPr>
    </w:p>
    <w:p w14:paraId="39289703">
      <w:pPr>
        <w:tabs>
          <w:tab w:val="left" w:pos="2445"/>
        </w:tabs>
        <w:spacing w:before="72" w:beforeLines="30" w:after="7" w:afterLines="3"/>
        <w:jc w:val="both"/>
        <w:rPr>
          <w:color w:val="000000" w:themeColor="text1"/>
          <w:szCs w:val="24"/>
          <w14:textFill>
            <w14:solidFill>
              <w14:schemeClr w14:val="tx1"/>
            </w14:solidFill>
          </w14:textFill>
        </w:rPr>
      </w:pPr>
    </w:p>
    <w:p w14:paraId="65360E3A">
      <w:pPr>
        <w:tabs>
          <w:tab w:val="left" w:pos="2445"/>
        </w:tabs>
        <w:spacing w:before="72" w:beforeLines="30" w:after="7" w:afterLines="3"/>
        <w:jc w:val="both"/>
        <w:rPr>
          <w:color w:val="000000" w:themeColor="text1"/>
          <w:szCs w:val="24"/>
          <w14:textFill>
            <w14:solidFill>
              <w14:schemeClr w14:val="tx1"/>
            </w14:solidFill>
          </w14:textFill>
        </w:rPr>
      </w:pPr>
    </w:p>
    <w:p w14:paraId="39C02570">
      <w:pPr>
        <w:tabs>
          <w:tab w:val="left" w:pos="2445"/>
        </w:tabs>
        <w:spacing w:before="72" w:beforeLines="30" w:after="7" w:afterLines="3"/>
        <w:jc w:val="both"/>
        <w:rPr>
          <w:color w:val="000000" w:themeColor="text1"/>
          <w:szCs w:val="24"/>
          <w14:textFill>
            <w14:solidFill>
              <w14:schemeClr w14:val="tx1"/>
            </w14:solidFill>
          </w14:textFill>
        </w:rPr>
      </w:pPr>
    </w:p>
    <w:p w14:paraId="1B6907C4">
      <w:pPr>
        <w:tabs>
          <w:tab w:val="left" w:pos="2445"/>
        </w:tabs>
        <w:spacing w:before="72" w:beforeLines="30" w:after="7" w:afterLines="3"/>
        <w:jc w:val="both"/>
        <w:rPr>
          <w:color w:val="000000" w:themeColor="text1"/>
          <w:szCs w:val="24"/>
          <w14:textFill>
            <w14:solidFill>
              <w14:schemeClr w14:val="tx1"/>
            </w14:solidFill>
          </w14:textFill>
        </w:rPr>
      </w:pPr>
    </w:p>
    <w:p w14:paraId="02499C0A">
      <w:pPr>
        <w:tabs>
          <w:tab w:val="left" w:pos="2445"/>
        </w:tabs>
        <w:spacing w:before="72" w:beforeLines="30" w:after="7" w:afterLines="3"/>
        <w:jc w:val="both"/>
        <w:rPr>
          <w:color w:val="000000" w:themeColor="text1"/>
          <w:szCs w:val="24"/>
          <w14:textFill>
            <w14:solidFill>
              <w14:schemeClr w14:val="tx1"/>
            </w14:solidFill>
          </w14:textFill>
        </w:rPr>
      </w:pPr>
    </w:p>
    <w:p w14:paraId="65CCB37D">
      <w:pPr>
        <w:spacing w:before="72" w:beforeLines="30" w:after="7" w:afterLines="3"/>
        <w:jc w:val="center"/>
        <w:rPr>
          <w:b/>
          <w:bCs/>
          <w:color w:val="000000" w:themeColor="text1"/>
          <w:szCs w:val="24"/>
          <w:bdr w:val="single" w:color="000000" w:sz="4" w:space="0"/>
          <w14:textFill>
            <w14:solidFill>
              <w14:schemeClr w14:val="tx1"/>
            </w14:solidFill>
          </w14:textFill>
        </w:rPr>
      </w:pPr>
      <w:r>
        <w:rPr>
          <w:b/>
          <w:color w:val="000000" w:themeColor="text1"/>
          <w:szCs w:val="24"/>
          <w14:textFill>
            <w14:solidFill>
              <w14:schemeClr w14:val="tx1"/>
            </w14:solidFill>
          </w14:textFill>
        </w:rPr>
        <w:t>ANEXO XII</w:t>
      </w:r>
    </w:p>
    <w:p w14:paraId="790EBC3E">
      <w:pPr>
        <w:tabs>
          <w:tab w:val="left" w:pos="2445"/>
        </w:tabs>
        <w:spacing w:before="72" w:beforeLines="30" w:after="7" w:afterLines="3"/>
        <w:jc w:val="both"/>
        <w:rPr>
          <w:color w:val="000000" w:themeColor="text1"/>
          <w:szCs w:val="24"/>
          <w14:textFill>
            <w14:solidFill>
              <w14:schemeClr w14:val="tx1"/>
            </w14:solidFill>
          </w14:textFill>
        </w:rPr>
      </w:pPr>
    </w:p>
    <w:p w14:paraId="45587DB3">
      <w:pPr>
        <w:shd w:val="clear" w:color="auto" w:fill="FFFFFF"/>
        <w:tabs>
          <w:tab w:val="left" w:pos="900"/>
        </w:tabs>
        <w:spacing w:before="72" w:beforeLines="30" w:after="7" w:afterLines="3"/>
        <w:jc w:val="center"/>
        <w:rPr>
          <w:b/>
          <w:color w:val="000000" w:themeColor="text1"/>
          <w:szCs w:val="24"/>
          <w:u w:val="single"/>
          <w14:textFill>
            <w14:solidFill>
              <w14:schemeClr w14:val="tx1"/>
            </w14:solidFill>
          </w14:textFill>
        </w:rPr>
      </w:pPr>
      <w:r>
        <w:rPr>
          <w:b/>
          <w:bCs/>
          <w:color w:val="000000" w:themeColor="text1"/>
          <w:szCs w:val="24"/>
          <w:u w:val="single"/>
          <w14:textFill>
            <w14:solidFill>
              <w14:schemeClr w14:val="tx1"/>
            </w14:solidFill>
          </w14:textFill>
        </w:rPr>
        <w:t>ATESTADO DE VISITA TÉCNICA</w:t>
      </w:r>
    </w:p>
    <w:p w14:paraId="6EDB1A82">
      <w:pPr>
        <w:shd w:val="clear" w:color="auto" w:fill="FFFFFF"/>
        <w:spacing w:before="72" w:beforeLines="30" w:after="7" w:afterLines="3"/>
        <w:jc w:val="both"/>
        <w:rPr>
          <w:bCs/>
          <w:color w:val="000000" w:themeColor="text1"/>
          <w:szCs w:val="24"/>
          <w:u w:val="single"/>
          <w14:textFill>
            <w14:solidFill>
              <w14:schemeClr w14:val="tx1"/>
            </w14:solidFill>
          </w14:textFill>
        </w:rPr>
      </w:pPr>
    </w:p>
    <w:p w14:paraId="6694EF4D">
      <w:pPr>
        <w:shd w:val="clear" w:color="auto" w:fill="FFFFFF"/>
        <w:tabs>
          <w:tab w:val="left" w:pos="900"/>
          <w:tab w:val="left" w:pos="4920"/>
        </w:tabs>
        <w:spacing w:before="72" w:beforeLines="30" w:after="7" w:afterLines="3"/>
        <w:jc w:val="both"/>
        <w:rPr>
          <w:color w:val="000000" w:themeColor="text1"/>
          <w:szCs w:val="24"/>
          <w14:textFill>
            <w14:solidFill>
              <w14:schemeClr w14:val="tx1"/>
            </w14:solidFill>
          </w14:textFill>
        </w:rPr>
      </w:pPr>
    </w:p>
    <w:p w14:paraId="7AAD4365">
      <w:pPr>
        <w:shd w:val="clear" w:color="auto" w:fill="FFFFFF"/>
        <w:tabs>
          <w:tab w:val="left" w:pos="900"/>
          <w:tab w:val="left" w:pos="4920"/>
        </w:tabs>
        <w:spacing w:before="72" w:beforeLines="30" w:after="7" w:afterLines="3"/>
        <w:jc w:val="both"/>
        <w:rPr>
          <w:color w:val="000000" w:themeColor="text1"/>
          <w:szCs w:val="24"/>
          <w14:textFill>
            <w14:solidFill>
              <w14:schemeClr w14:val="tx1"/>
            </w14:solidFill>
          </w14:textFill>
        </w:rPr>
      </w:pPr>
    </w:p>
    <w:p w14:paraId="63FF8581">
      <w:pPr>
        <w:pStyle w:val="56"/>
        <w:jc w:val="both"/>
        <w:rPr>
          <w:color w:val="000000" w:themeColor="text1"/>
          <w14:textFill>
            <w14:solidFill>
              <w14:schemeClr w14:val="tx1"/>
            </w14:solidFill>
          </w14:textFill>
        </w:rPr>
      </w:pPr>
      <w:r>
        <w:rPr>
          <w:color w:val="000000" w:themeColor="text1"/>
          <w:lang w:val="pt-PT"/>
          <w14:textFill>
            <w14:solidFill>
              <w14:schemeClr w14:val="tx1"/>
            </w14:solidFill>
          </w14:textFill>
        </w:rPr>
        <w:t xml:space="preserve">A empresa _________________________________, pessoa jurídica de direito privado, com sede a _______________________________, bairro _____________, município de __________________, Estado de ___________________, devidamente inscrita no CNPJ sob nº _______________________, inscrição estadual nº ________________________, neste ato representado pelo Sr. __________________________ R.G sob nº__________________ e CPF sob nº __________________, visitou e tomou conhecimento dos locais onde serão realizadas obras referente a Concorrência n. xxx/2026, cujo objeto consiste na </w:t>
      </w:r>
      <w:r>
        <w:rPr>
          <w:b/>
          <w:color w:val="000000" w:themeColor="text1"/>
          <w14:textFill>
            <w14:solidFill>
              <w14:schemeClr w14:val="tx1"/>
            </w14:solidFill>
          </w14:textFill>
        </w:rPr>
        <w:t xml:space="preserve">CONTRATAÇÃO DE EMPRESA PARA AMPLIAÇÃO DA ESCOLA INÁCIO SILVESTRE MONTEIRO, LOCALIZADA NO DISTRITO DO ALTO CARACOL, NO MUNICÍPIO DE CARACOL/MS, </w:t>
      </w:r>
      <w:r>
        <w:rPr>
          <w:color w:val="000000" w:themeColor="text1"/>
          <w14:textFill>
            <w14:solidFill>
              <w14:schemeClr w14:val="tx1"/>
            </w14:solidFill>
          </w14:textFill>
        </w:rPr>
        <w:t>conforme Projeto, Planilha Orçamentária, Cronograma constantes em Anexo ao Edital</w:t>
      </w:r>
      <w:r>
        <w:rPr>
          <w:color w:val="000000" w:themeColor="text1"/>
          <w:lang w:val="pt-PT"/>
          <w14:textFill>
            <w14:solidFill>
              <w14:schemeClr w14:val="tx1"/>
            </w14:solidFill>
          </w14:textFill>
        </w:rPr>
        <w:t>, bem como a forma de trabalho dos diversos setores a serem atendidos.</w:t>
      </w:r>
    </w:p>
    <w:p w14:paraId="5CB1A3F7">
      <w:pPr>
        <w:shd w:val="clear" w:color="auto" w:fill="FFFFFF"/>
        <w:spacing w:before="72" w:beforeLines="30" w:after="7" w:afterLines="3"/>
        <w:jc w:val="both"/>
        <w:rPr>
          <w:color w:val="000000" w:themeColor="text1"/>
          <w:szCs w:val="24"/>
          <w14:textFill>
            <w14:solidFill>
              <w14:schemeClr w14:val="tx1"/>
            </w14:solidFill>
          </w14:textFill>
        </w:rPr>
      </w:pPr>
      <w:r>
        <w:rPr>
          <w:color w:val="000000" w:themeColor="text1"/>
          <w:szCs w:val="24"/>
          <w:lang w:val="pt-PT"/>
          <w14:textFill>
            <w14:solidFill>
              <w14:schemeClr w14:val="tx1"/>
            </w14:solidFill>
          </w14:textFill>
        </w:rPr>
        <w:t>Declaramos que a Empresa proponente pôde ter livre acesso aos locais onde serão executados os serviços a serem contratados, conforme objeto do Edital, não podendo manifestar desconhecimento de quaisquer condições necessárias para a elaboração de sua proposta.</w:t>
      </w:r>
    </w:p>
    <w:p w14:paraId="25EC2F78">
      <w:pPr>
        <w:shd w:val="clear" w:color="auto" w:fill="FFFFFF"/>
        <w:spacing w:before="72" w:beforeLines="30" w:after="7" w:afterLines="3"/>
        <w:jc w:val="both"/>
        <w:rPr>
          <w:color w:val="000000" w:themeColor="text1"/>
          <w:szCs w:val="24"/>
          <w14:textFill>
            <w14:solidFill>
              <w14:schemeClr w14:val="tx1"/>
            </w14:solidFill>
          </w14:textFill>
        </w:rPr>
      </w:pPr>
    </w:p>
    <w:p w14:paraId="70E5E848">
      <w:pPr>
        <w:shd w:val="clear" w:color="auto" w:fill="FFFFFF"/>
        <w:spacing w:before="72" w:beforeLines="30" w:after="7" w:afterLines="3"/>
        <w:jc w:val="both"/>
        <w:rPr>
          <w:color w:val="000000" w:themeColor="text1"/>
          <w:szCs w:val="24"/>
          <w14:textFill>
            <w14:solidFill>
              <w14:schemeClr w14:val="tx1"/>
            </w14:solidFill>
          </w14:textFill>
        </w:rPr>
      </w:pPr>
    </w:p>
    <w:p w14:paraId="3F0CFC41">
      <w:pPr>
        <w:pStyle w:val="267"/>
        <w:shd w:val="clear" w:color="auto" w:fill="FFFFFF"/>
        <w:tabs>
          <w:tab w:val="left" w:pos="900"/>
        </w:tabs>
        <w:spacing w:before="72" w:beforeLines="30" w:after="7" w:afterLines="3" w:line="240" w:lineRule="auto"/>
        <w:ind w:left="0"/>
        <w:jc w:val="both"/>
        <w:rPr>
          <w:color w:val="000000" w:themeColor="text1"/>
          <w:sz w:val="24"/>
          <w:szCs w:val="24"/>
          <w:lang w:val="pt-PT"/>
          <w14:textFill>
            <w14:solidFill>
              <w14:schemeClr w14:val="tx1"/>
            </w14:solidFill>
          </w14:textFill>
        </w:rPr>
      </w:pPr>
      <w:r>
        <w:rPr>
          <w:color w:val="000000" w:themeColor="text1"/>
          <w:sz w:val="24"/>
          <w:szCs w:val="24"/>
          <w14:textFill>
            <w14:solidFill>
              <w14:schemeClr w14:val="tx1"/>
            </w14:solidFill>
          </w14:textFill>
        </w:rPr>
        <w:t>............................... – MS,     de             de 2026.</w:t>
      </w:r>
    </w:p>
    <w:p w14:paraId="70362B3E">
      <w:pPr>
        <w:shd w:val="clear" w:color="auto" w:fill="FFFFFF"/>
        <w:spacing w:before="72" w:beforeLines="30" w:after="7" w:afterLines="3"/>
        <w:jc w:val="both"/>
        <w:rPr>
          <w:color w:val="000000" w:themeColor="text1"/>
          <w:szCs w:val="24"/>
          <w:lang w:val="pt-PT"/>
          <w14:textFill>
            <w14:solidFill>
              <w14:schemeClr w14:val="tx1"/>
            </w14:solidFill>
          </w14:textFill>
        </w:rPr>
      </w:pPr>
    </w:p>
    <w:p w14:paraId="6925DD5C">
      <w:pPr>
        <w:shd w:val="clear" w:color="auto" w:fill="FFFFFF"/>
        <w:spacing w:before="72" w:beforeLines="30" w:after="7" w:afterLines="3"/>
        <w:jc w:val="both"/>
        <w:rPr>
          <w:color w:val="000000" w:themeColor="text1"/>
          <w:szCs w:val="24"/>
          <w:lang w:val="pt-PT"/>
          <w14:textFill>
            <w14:solidFill>
              <w14:schemeClr w14:val="tx1"/>
            </w14:solidFill>
          </w14:textFill>
        </w:rPr>
      </w:pPr>
    </w:p>
    <w:p w14:paraId="6CAA0BBA">
      <w:pPr>
        <w:shd w:val="clear" w:color="auto" w:fill="FFFFFF"/>
        <w:spacing w:before="72" w:beforeLines="30" w:after="7" w:afterLines="3"/>
        <w:jc w:val="both"/>
        <w:rPr>
          <w:color w:val="000000" w:themeColor="text1"/>
          <w:szCs w:val="24"/>
          <w:lang w:val="pt-PT"/>
          <w14:textFill>
            <w14:solidFill>
              <w14:schemeClr w14:val="tx1"/>
            </w14:solidFill>
          </w14:textFill>
        </w:rPr>
      </w:pPr>
    </w:p>
    <w:p w14:paraId="5290E1B2">
      <w:pPr>
        <w:shd w:val="clear" w:color="auto" w:fill="FFFFFF"/>
        <w:spacing w:before="72" w:beforeLines="30" w:after="7" w:afterLines="3"/>
        <w:jc w:val="both"/>
        <w:rPr>
          <w:color w:val="000000" w:themeColor="text1"/>
          <w:szCs w:val="24"/>
          <w:lang w:val="pt-PT"/>
          <w14:textFill>
            <w14:solidFill>
              <w14:schemeClr w14:val="tx1"/>
            </w14:solidFill>
          </w14:textFill>
        </w:rPr>
      </w:pPr>
    </w:p>
    <w:p w14:paraId="1B2F3EB6">
      <w:pPr>
        <w:shd w:val="clear" w:color="auto" w:fill="FFFFFF"/>
        <w:spacing w:before="72" w:beforeLines="30" w:after="7" w:afterLines="3"/>
        <w:jc w:val="both"/>
        <w:rPr>
          <w:color w:val="000000" w:themeColor="text1"/>
          <w:szCs w:val="24"/>
          <w:lang w:val="pt-PT"/>
          <w14:textFill>
            <w14:solidFill>
              <w14:schemeClr w14:val="tx1"/>
            </w14:solidFill>
          </w14:textFill>
        </w:rPr>
      </w:pPr>
    </w:p>
    <w:p w14:paraId="7E8585CF">
      <w:pPr>
        <w:shd w:val="clear" w:color="auto" w:fill="FFFFFF"/>
        <w:spacing w:before="72" w:beforeLines="30" w:after="7" w:afterLines="3"/>
        <w:jc w:val="both"/>
        <w:rPr>
          <w:color w:val="000000" w:themeColor="text1"/>
          <w:szCs w:val="24"/>
          <w:lang w:val="pt-PT"/>
          <w14:textFill>
            <w14:solidFill>
              <w14:schemeClr w14:val="tx1"/>
            </w14:solidFill>
          </w14:textFill>
        </w:rPr>
      </w:pPr>
      <w:r>
        <w:rPr>
          <w:color w:val="000000" w:themeColor="text1"/>
          <w:szCs w:val="24"/>
          <w:lang w:val="pt-PT"/>
          <w14:textFill>
            <w14:solidFill>
              <w14:schemeClr w14:val="tx1"/>
            </w14:solidFill>
          </w14:textFill>
        </w:rPr>
        <w:t>_____________________________________</w:t>
      </w:r>
    </w:p>
    <w:p w14:paraId="636B5128">
      <w:pPr>
        <w:shd w:val="clear" w:color="auto" w:fill="FFFFFF"/>
        <w:spacing w:before="72" w:beforeLines="30" w:after="7" w:afterLines="3"/>
        <w:jc w:val="both"/>
        <w:rPr>
          <w:color w:val="000000" w:themeColor="text1"/>
          <w:szCs w:val="24"/>
          <w14:textFill>
            <w14:solidFill>
              <w14:schemeClr w14:val="tx1"/>
            </w14:solidFill>
          </w14:textFill>
        </w:rPr>
      </w:pPr>
    </w:p>
    <w:p w14:paraId="27154838">
      <w:pPr>
        <w:tabs>
          <w:tab w:val="left" w:pos="567"/>
        </w:tabs>
        <w:overflowPunct w:val="0"/>
        <w:autoSpaceDE w:val="0"/>
        <w:spacing w:before="72" w:beforeLines="30" w:after="7" w:afterLines="3"/>
        <w:jc w:val="both"/>
        <w:textAlignment w:val="baseline"/>
        <w:rPr>
          <w:color w:val="000000" w:themeColor="text1"/>
          <w:szCs w:val="24"/>
          <w14:textFill>
            <w14:solidFill>
              <w14:schemeClr w14:val="tx1"/>
            </w14:solidFill>
          </w14:textFill>
        </w:rPr>
      </w:pPr>
      <w:r>
        <w:rPr>
          <w:color w:val="000000" w:themeColor="text1"/>
          <w:szCs w:val="24"/>
          <w14:textFill>
            <w14:solidFill>
              <w14:schemeClr w14:val="tx1"/>
            </w14:solidFill>
          </w14:textFill>
        </w:rPr>
        <w:t>Responsável técnico Prefeitura Municipal de Caracol/MS</w:t>
      </w:r>
    </w:p>
    <w:p w14:paraId="76805A44">
      <w:pPr>
        <w:tabs>
          <w:tab w:val="left" w:pos="2445"/>
        </w:tabs>
        <w:spacing w:before="72" w:beforeLines="30" w:after="7" w:afterLines="3"/>
        <w:jc w:val="both"/>
        <w:rPr>
          <w:color w:val="000000" w:themeColor="text1"/>
          <w:szCs w:val="24"/>
          <w14:textFill>
            <w14:solidFill>
              <w14:schemeClr w14:val="tx1"/>
            </w14:solidFill>
          </w14:textFill>
        </w:rPr>
      </w:pPr>
    </w:p>
    <w:p w14:paraId="1E054A4B">
      <w:pPr>
        <w:spacing w:before="120" w:after="120" w:line="276" w:lineRule="auto"/>
        <w:jc w:val="both"/>
        <w:rPr>
          <w:b/>
          <w:bCs/>
          <w:color w:val="000000" w:themeColor="text1"/>
          <w:szCs w:val="24"/>
          <w14:textFill>
            <w14:solidFill>
              <w14:schemeClr w14:val="tx1"/>
            </w14:solidFill>
          </w14:textFill>
        </w:rPr>
      </w:pPr>
    </w:p>
    <w:p w14:paraId="4BFFD498">
      <w:pPr>
        <w:spacing w:before="120" w:after="120" w:line="276" w:lineRule="auto"/>
        <w:jc w:val="both"/>
        <w:rPr>
          <w:b/>
          <w:bCs/>
          <w:color w:val="000000" w:themeColor="text1"/>
          <w:szCs w:val="24"/>
          <w14:textFill>
            <w14:solidFill>
              <w14:schemeClr w14:val="tx1"/>
            </w14:solidFill>
          </w14:textFill>
        </w:rPr>
      </w:pPr>
    </w:p>
    <w:p w14:paraId="0E053BAE">
      <w:pPr>
        <w:spacing w:before="120" w:after="120" w:line="276" w:lineRule="auto"/>
        <w:jc w:val="both"/>
        <w:rPr>
          <w:b/>
          <w:bCs/>
          <w:color w:val="000000" w:themeColor="text1"/>
          <w:szCs w:val="24"/>
          <w14:textFill>
            <w14:solidFill>
              <w14:schemeClr w14:val="tx1"/>
            </w14:solidFill>
          </w14:textFill>
        </w:rPr>
      </w:pPr>
    </w:p>
    <w:p w14:paraId="79CF4079">
      <w:pPr>
        <w:spacing w:before="120" w:after="120" w:line="276" w:lineRule="auto"/>
        <w:jc w:val="both"/>
        <w:rPr>
          <w:b/>
          <w:bCs/>
          <w:color w:val="000000" w:themeColor="text1"/>
          <w:szCs w:val="24"/>
          <w14:textFill>
            <w14:solidFill>
              <w14:schemeClr w14:val="tx1"/>
            </w14:solidFill>
          </w14:textFill>
        </w:rPr>
      </w:pPr>
    </w:p>
    <w:p w14:paraId="1EE95FFD">
      <w:pPr>
        <w:spacing w:before="120" w:after="120" w:line="276" w:lineRule="auto"/>
        <w:jc w:val="both"/>
        <w:rPr>
          <w:b/>
          <w:bCs/>
          <w:color w:val="000000" w:themeColor="text1"/>
          <w:szCs w:val="24"/>
          <w14:textFill>
            <w14:solidFill>
              <w14:schemeClr w14:val="tx1"/>
            </w14:solidFill>
          </w14:textFill>
        </w:rPr>
      </w:pPr>
    </w:p>
    <w:p w14:paraId="7A143477">
      <w:pPr>
        <w:spacing w:before="120" w:after="120" w:line="276" w:lineRule="auto"/>
        <w:jc w:val="both"/>
        <w:rPr>
          <w:b/>
          <w:bCs/>
          <w:color w:val="000000" w:themeColor="text1"/>
          <w:szCs w:val="24"/>
          <w14:textFill>
            <w14:solidFill>
              <w14:schemeClr w14:val="tx1"/>
            </w14:solidFill>
          </w14:textFill>
        </w:rPr>
      </w:pPr>
    </w:p>
    <w:p w14:paraId="161EEC74">
      <w:pPr>
        <w:spacing w:before="120" w:after="120" w:line="276" w:lineRule="auto"/>
        <w:jc w:val="both"/>
        <w:rPr>
          <w:b/>
          <w:bCs/>
          <w:color w:val="000000" w:themeColor="text1"/>
          <w:szCs w:val="24"/>
          <w14:textFill>
            <w14:solidFill>
              <w14:schemeClr w14:val="tx1"/>
            </w14:solidFill>
          </w14:textFill>
        </w:rPr>
      </w:pPr>
    </w:p>
    <w:p w14:paraId="308BB1A6">
      <w:pPr>
        <w:spacing w:before="120" w:after="120" w:line="276" w:lineRule="auto"/>
        <w:jc w:val="both"/>
        <w:rPr>
          <w:b/>
          <w:bCs/>
          <w:color w:val="000000" w:themeColor="text1"/>
          <w:szCs w:val="24"/>
          <w14:textFill>
            <w14:solidFill>
              <w14:schemeClr w14:val="tx1"/>
            </w14:solidFill>
          </w14:textFill>
        </w:rPr>
      </w:pPr>
    </w:p>
    <w:p w14:paraId="7A2AEC64">
      <w:pPr>
        <w:suppressAutoHyphens w:val="0"/>
        <w:spacing w:before="30" w:after="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ANEXO XIII</w:t>
      </w:r>
    </w:p>
    <w:p w14:paraId="5BBBB648">
      <w:pPr>
        <w:suppressAutoHyphens w:val="0"/>
        <w:spacing w:before="30" w:after="30"/>
        <w:jc w:val="center"/>
        <w:rPr>
          <w:b/>
          <w:color w:val="000000" w:themeColor="text1"/>
          <w:szCs w:val="24"/>
          <w14:textFill>
            <w14:solidFill>
              <w14:schemeClr w14:val="tx1"/>
            </w14:solidFill>
          </w14:textFill>
        </w:rPr>
      </w:pPr>
      <w:r>
        <w:rPr>
          <w:b/>
          <w:color w:val="000000" w:themeColor="text1"/>
          <w:szCs w:val="24"/>
          <w14:textFill>
            <w14:solidFill>
              <w14:schemeClr w14:val="tx1"/>
            </w14:solidFill>
          </w14:textFill>
        </w:rPr>
        <w:t>Modelo de Declaração de prestação de garantia</w:t>
      </w:r>
    </w:p>
    <w:p w14:paraId="4B4CCF08">
      <w:pPr>
        <w:suppressAutoHyphens w:val="0"/>
        <w:spacing w:before="30" w:after="30"/>
        <w:jc w:val="both"/>
        <w:rPr>
          <w:color w:val="000000" w:themeColor="text1"/>
          <w:szCs w:val="24"/>
          <w14:textFill>
            <w14:solidFill>
              <w14:schemeClr w14:val="tx1"/>
            </w14:solidFill>
          </w14:textFill>
        </w:rPr>
      </w:pPr>
    </w:p>
    <w:p w14:paraId="5CAF4ECE">
      <w:pPr>
        <w:pStyle w:val="86"/>
        <w:numPr>
          <w:ilvl w:val="0"/>
          <w:numId w:val="0"/>
        </w:numPr>
        <w:spacing w:before="30" w:after="30" w:line="240" w:lineRule="auto"/>
        <w:rPr>
          <w:rFonts w:ascii="Times New Roman" w:hAnsi="Times New Roman"/>
          <w:b/>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Objeto: </w:t>
      </w:r>
      <w:r>
        <w:rPr>
          <w:rFonts w:ascii="Times New Roman" w:hAnsi="Times New Roman"/>
          <w:b/>
          <w:color w:val="000000" w:themeColor="text1"/>
          <w:sz w:val="24"/>
          <w:szCs w:val="24"/>
          <w14:textFill>
            <w14:solidFill>
              <w14:schemeClr w14:val="tx1"/>
            </w14:solidFill>
          </w14:textFill>
        </w:rPr>
        <w:t>CONTRATAÇÃO DE EMPRESA PARA AMPLIAÇÃO DA ESCOLA INÁCIO SILVESTRE MONTEIRO, LOCALIZADA NO DISTRITO DO ALTO CARACOL, NO MUNICÍPIO DE CARACOL/MS</w:t>
      </w:r>
    </w:p>
    <w:p w14:paraId="4C6F1A10">
      <w:pPr>
        <w:tabs>
          <w:tab w:val="left" w:pos="2445"/>
        </w:tabs>
        <w:spacing w:before="72" w:beforeLines="30" w:after="7" w:afterLines="3"/>
        <w:jc w:val="both"/>
        <w:rPr>
          <w:color w:val="000000" w:themeColor="text1"/>
          <w:szCs w:val="24"/>
          <w14:textFill>
            <w14:solidFill>
              <w14:schemeClr w14:val="tx1"/>
            </w14:solidFill>
          </w14:textFill>
        </w:rPr>
      </w:pPr>
    </w:p>
    <w:p w14:paraId="5D47C0DC">
      <w:pPr>
        <w:tabs>
          <w:tab w:val="left" w:pos="2445"/>
        </w:tabs>
        <w:spacing w:before="72" w:beforeLines="30" w:after="7" w:afterLines="3"/>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Nome da empresa: ................................................................................................., CNPJnº........................................................................................Endereço:............................................................................................................................... Fone:...............................................</w:t>
      </w:r>
    </w:p>
    <w:p w14:paraId="24BEAB17">
      <w:pPr>
        <w:pStyle w:val="86"/>
        <w:numPr>
          <w:ilvl w:val="0"/>
          <w:numId w:val="0"/>
        </w:numPr>
        <w:spacing w:before="30" w:after="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E-mail.............................................................................. DECLARA para fins do disposto no Edital de MODALIDADE </w:t>
      </w:r>
      <w:r>
        <w:rPr>
          <w:rFonts w:ascii="Times New Roman" w:hAnsi="Times New Roman"/>
          <w:bCs/>
          <w:color w:val="000000" w:themeColor="text1"/>
          <w:sz w:val="24"/>
          <w:szCs w:val="24"/>
          <w14:textFill>
            <w14:solidFill>
              <w14:schemeClr w14:val="tx1"/>
            </w14:solidFill>
          </w14:textFill>
        </w:rPr>
        <w:t>CONCORRÊNCIA ELETRÔNICA Nº XX/2026,</w:t>
      </w:r>
      <w:r>
        <w:rPr>
          <w:rFonts w:ascii="Times New Roman" w:hAnsi="Times New Roman"/>
          <w:color w:val="000000" w:themeColor="text1"/>
          <w:sz w:val="24"/>
          <w:szCs w:val="24"/>
          <w14:textFill>
            <w14:solidFill>
              <w14:schemeClr w14:val="tx1"/>
            </w14:solidFill>
          </w14:textFill>
        </w:rPr>
        <w:t xml:space="preserve"> sob as sanções administrativas cabíveis e sob penas da Lei que </w:t>
      </w:r>
      <w:r>
        <w:rPr>
          <w:rFonts w:ascii="Times New Roman" w:hAnsi="Times New Roman"/>
          <w:color w:val="000000" w:themeColor="text1"/>
          <w:w w:val="95"/>
          <w:sz w:val="24"/>
          <w:szCs w:val="24"/>
          <w14:textFill>
            <w14:solidFill>
              <w14:schemeClr w14:val="tx1"/>
            </w14:solidFill>
          </w14:textFill>
        </w:rPr>
        <w:t>está ciente que</w:t>
      </w:r>
      <w:r>
        <w:rPr>
          <w:rFonts w:ascii="Times New Roman" w:hAnsi="Times New Roman"/>
          <w:color w:val="000000" w:themeColor="text1"/>
          <w:sz w:val="24"/>
          <w:szCs w:val="24"/>
          <w14:textFill>
            <w14:solidFill>
              <w14:schemeClr w14:val="tx1"/>
            </w14:solidFill>
          </w14:textFill>
        </w:rPr>
        <w:t xml:space="preserve"> será exigida a garantia da contratação de que tratam os Arts. 96 e seguintes da Lei nº 14.133, de 2021, no percentual e condições descritos abaixo:</w:t>
      </w:r>
    </w:p>
    <w:p w14:paraId="41B64BCD">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I - O percentual da garantia será de:</w:t>
      </w:r>
    </w:p>
    <w:p w14:paraId="0986C507">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 xml:space="preserve">a) </w:t>
      </w:r>
      <w:r>
        <w:rPr>
          <w:rFonts w:ascii="Times New Roman" w:hAnsi="Times New Roman"/>
          <w:b/>
          <w:bCs/>
          <w:color w:val="000000" w:themeColor="text1"/>
          <w:sz w:val="24"/>
          <w:szCs w:val="24"/>
          <w14:textFill>
            <w14:solidFill>
              <w14:schemeClr w14:val="tx1"/>
            </w14:solidFill>
          </w14:textFill>
        </w:rPr>
        <w:t>5% (cinco por cento) do valor inicial do contrato</w:t>
      </w:r>
      <w:r>
        <w:rPr>
          <w:rFonts w:ascii="Times New Roman" w:hAnsi="Times New Roman"/>
          <w:color w:val="000000" w:themeColor="text1"/>
          <w:sz w:val="24"/>
          <w:szCs w:val="24"/>
          <w14:textFill>
            <w14:solidFill>
              <w14:schemeClr w14:val="tx1"/>
            </w14:solidFill>
          </w14:textFill>
        </w:rPr>
        <w:t>, conforme Art. 98 da Lei nº 14.133, de 2021;</w:t>
      </w:r>
    </w:p>
    <w:p w14:paraId="124150F2">
      <w:pPr>
        <w:pStyle w:val="86"/>
        <w:numPr>
          <w:ilvl w:val="0"/>
          <w:numId w:val="0"/>
        </w:numPr>
        <w:spacing w:before="72" w:beforeLines="30" w:after="72" w:afterLines="30" w:line="240" w:lineRule="auto"/>
        <w:rPr>
          <w:rFonts w:ascii="Times New Roman" w:hAnsi="Times New Roman"/>
          <w:color w:val="000000" w:themeColor="text1"/>
          <w:sz w:val="24"/>
          <w:szCs w:val="24"/>
          <w14:textFill>
            <w14:solidFill>
              <w14:schemeClr w14:val="tx1"/>
            </w14:solidFill>
          </w14:textFill>
        </w:rPr>
      </w:pPr>
      <w:r>
        <w:rPr>
          <w:rFonts w:ascii="Times New Roman" w:hAnsi="Times New Roman"/>
          <w:color w:val="000000" w:themeColor="text1"/>
          <w:sz w:val="24"/>
          <w:szCs w:val="24"/>
          <w14:textFill>
            <w14:solidFill>
              <w14:schemeClr w14:val="tx1"/>
            </w14:solidFill>
          </w14:textFill>
        </w:rPr>
        <w:t>b) deverá ser acrescido do valor equivalente à diferença entre 85% do valor orçado pela Administração e o valor da proposta vencedora, nos termos do art. 59, § 5º, da lei nº 14.133, de 2021.</w:t>
      </w:r>
    </w:p>
    <w:p w14:paraId="6ECB1E9D">
      <w:pPr>
        <w:pStyle w:val="376"/>
        <w:spacing w:before="30" w:after="30" w:line="240" w:lineRule="auto"/>
        <w:rPr>
          <w:rFonts w:ascii="Times New Roman" w:hAnsi="Times New Roman" w:cs="Times New Roman" w:eastAsiaTheme="minorEastAsia"/>
          <w:b w:val="0"/>
          <w:bCs w:val="0"/>
          <w:color w:val="000000" w:themeColor="text1"/>
          <w:sz w:val="24"/>
          <w:szCs w:val="24"/>
          <w:lang w:eastAsia="en-US"/>
          <w14:textFill>
            <w14:solidFill>
              <w14:schemeClr w14:val="tx1"/>
            </w14:solidFill>
          </w14:textFill>
        </w:rPr>
      </w:pPr>
      <w:r>
        <w:rPr>
          <w:rFonts w:ascii="Times New Roman" w:hAnsi="Times New Roman" w:cs="Times New Roman" w:eastAsiaTheme="minorEastAsia"/>
          <w:b w:val="0"/>
          <w:bCs w:val="0"/>
          <w:color w:val="000000" w:themeColor="text1"/>
          <w:sz w:val="24"/>
          <w:szCs w:val="24"/>
          <w:lang w:eastAsia="en-US"/>
          <w14:textFill>
            <w14:solidFill>
              <w14:schemeClr w14:val="tx1"/>
            </w14:solidFill>
          </w14:textFill>
        </w:rPr>
        <w:t>II - A garantia, nas modalidades caução e fiança bancária, deverá ser prestada em até 10 (dez) dias úteis após a assinatura do contrato.</w:t>
      </w:r>
    </w:p>
    <w:p w14:paraId="016270EA">
      <w:pPr>
        <w:pStyle w:val="223"/>
        <w:numPr>
          <w:ilvl w:val="0"/>
          <w:numId w:val="0"/>
        </w:numPr>
        <w:spacing w:before="72" w:beforeLines="30" w:after="72" w:afterLines="30" w:line="240" w:lineRule="auto"/>
        <w:rPr>
          <w:rFonts w:ascii="Times New Roman" w:hAnsi="Times New Roman" w:cs="Times New Roman"/>
          <w:i w:val="0"/>
          <w:iCs w:val="0"/>
          <w:color w:val="000000" w:themeColor="text1"/>
          <w:sz w:val="24"/>
          <w:szCs w:val="24"/>
          <w14:textFill>
            <w14:solidFill>
              <w14:schemeClr w14:val="tx1"/>
            </w14:solidFill>
          </w14:textFill>
        </w:rPr>
      </w:pPr>
      <w:r>
        <w:rPr>
          <w:rFonts w:ascii="Times New Roman" w:hAnsi="Times New Roman" w:cs="Times New Roman"/>
          <w:i w:val="0"/>
          <w:iCs w:val="0"/>
          <w:color w:val="000000" w:themeColor="text1"/>
          <w:sz w:val="24"/>
          <w:szCs w:val="24"/>
          <w14:textFill>
            <w14:solidFill>
              <w14:schemeClr w14:val="tx1"/>
            </w14:solidFill>
          </w14:textFill>
        </w:rPr>
        <w:t>III - Em caso opção pelo seguro-garantia, a parte adjudicatária deverá apresentá-la, no máximo, até a data de assinatura do contrato, no prazo máximo de 30 dias após a publicação da homologação.</w:t>
      </w:r>
    </w:p>
    <w:p w14:paraId="3892687F">
      <w:pPr>
        <w:pStyle w:val="86"/>
        <w:numPr>
          <w:ilvl w:val="0"/>
          <w:numId w:val="0"/>
        </w:numPr>
        <w:spacing w:before="30" w:after="30" w:line="240" w:lineRule="auto"/>
        <w:rPr>
          <w:rFonts w:ascii="Times New Roman" w:hAnsi="Times New Roman"/>
          <w:color w:val="000000" w:themeColor="text1"/>
          <w:w w:val="95"/>
          <w:sz w:val="24"/>
          <w:szCs w:val="24"/>
          <w14:textFill>
            <w14:solidFill>
              <w14:schemeClr w14:val="tx1"/>
            </w14:solidFill>
          </w14:textFill>
        </w:rPr>
      </w:pPr>
    </w:p>
    <w:p w14:paraId="63BF9F69">
      <w:pPr>
        <w:pStyle w:val="86"/>
        <w:numPr>
          <w:ilvl w:val="0"/>
          <w:numId w:val="0"/>
        </w:numPr>
        <w:spacing w:before="30" w:after="30" w:line="240" w:lineRule="auto"/>
        <w:rPr>
          <w:rFonts w:ascii="Times New Roman" w:hAnsi="Times New Roman"/>
          <w:b/>
          <w:color w:val="000000" w:themeColor="text1"/>
          <w:sz w:val="24"/>
          <w:szCs w:val="24"/>
          <w14:textFill>
            <w14:solidFill>
              <w14:schemeClr w14:val="tx1"/>
            </w14:solidFill>
          </w14:textFill>
        </w:rPr>
      </w:pPr>
    </w:p>
    <w:p w14:paraId="49536B31">
      <w:pPr>
        <w:spacing w:before="72" w:beforeLines="30" w:after="7" w:afterLines="3"/>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        Por ser a expressão da verdade, e para que produza os efeitos legais e de direito, assino a presente Declaração.</w:t>
      </w:r>
    </w:p>
    <w:p w14:paraId="20440DCB">
      <w:pPr>
        <w:suppressAutoHyphens w:val="0"/>
        <w:spacing w:before="30" w:after="30"/>
        <w:jc w:val="both"/>
        <w:rPr>
          <w:color w:val="000000" w:themeColor="text1"/>
          <w:szCs w:val="24"/>
          <w14:textFill>
            <w14:solidFill>
              <w14:schemeClr w14:val="tx1"/>
            </w14:solidFill>
          </w14:textFill>
        </w:rPr>
      </w:pPr>
    </w:p>
    <w:p w14:paraId="6DD1FA29">
      <w:pPr>
        <w:suppressAutoHyphens w:val="0"/>
        <w:spacing w:before="30" w:after="30"/>
        <w:jc w:val="both"/>
        <w:rPr>
          <w:color w:val="000000" w:themeColor="text1"/>
          <w:szCs w:val="24"/>
          <w14:textFill>
            <w14:solidFill>
              <w14:schemeClr w14:val="tx1"/>
            </w14:solidFill>
          </w14:textFill>
        </w:rPr>
      </w:pPr>
    </w:p>
    <w:p w14:paraId="2B76F9CC">
      <w:pPr>
        <w:spacing w:before="72" w:beforeLines="30" w:after="72" w:afterLines="30"/>
        <w:jc w:val="both"/>
        <w:rPr>
          <w:color w:val="000000" w:themeColor="text1"/>
          <w:szCs w:val="24"/>
          <w14:textFill>
            <w14:solidFill>
              <w14:schemeClr w14:val="tx1"/>
            </w14:solidFill>
          </w14:textFill>
        </w:rPr>
      </w:pPr>
    </w:p>
    <w:p w14:paraId="0E59C72D">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(Localidade)_______, de ____________de__</w:t>
      </w:r>
      <w:r>
        <w:rPr>
          <w:color w:val="000000" w:themeColor="text1"/>
          <w:szCs w:val="24"/>
          <w14:textFill>
            <w14:solidFill>
              <w14:schemeClr w14:val="tx1"/>
            </w14:solidFill>
          </w14:textFill>
        </w:rPr>
        <w:softHyphen/>
      </w:r>
      <w:r>
        <w:rPr>
          <w:color w:val="000000" w:themeColor="text1"/>
          <w:szCs w:val="24"/>
          <w14:textFill>
            <w14:solidFill>
              <w14:schemeClr w14:val="tx1"/>
            </w14:solidFill>
          </w14:textFill>
        </w:rPr>
        <w:softHyphen/>
      </w:r>
      <w:r>
        <w:rPr>
          <w:color w:val="000000" w:themeColor="text1"/>
          <w:szCs w:val="24"/>
          <w14:textFill>
            <w14:solidFill>
              <w14:schemeClr w14:val="tx1"/>
            </w14:solidFill>
          </w14:textFill>
        </w:rPr>
        <w:t>____.</w:t>
      </w:r>
    </w:p>
    <w:p w14:paraId="253AC870">
      <w:pPr>
        <w:spacing w:before="72" w:beforeLines="30" w:after="72" w:afterLines="30"/>
        <w:jc w:val="both"/>
        <w:rPr>
          <w:color w:val="000000" w:themeColor="text1"/>
          <w:szCs w:val="24"/>
          <w14:textFill>
            <w14:solidFill>
              <w14:schemeClr w14:val="tx1"/>
            </w14:solidFill>
          </w14:textFill>
        </w:rPr>
      </w:pPr>
    </w:p>
    <w:p w14:paraId="5B284847">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____________________________________________</w:t>
      </w:r>
    </w:p>
    <w:p w14:paraId="3369B298">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Nome e número da identidade e do CPF do declarante</w:t>
      </w:r>
    </w:p>
    <w:p w14:paraId="78F55326">
      <w:pPr>
        <w:spacing w:before="72" w:beforeLines="30" w:after="72" w:afterLines="30"/>
        <w:jc w:val="both"/>
        <w:rPr>
          <w:color w:val="000000" w:themeColor="text1"/>
          <w:szCs w:val="24"/>
          <w14:textFill>
            <w14:solidFill>
              <w14:schemeClr w14:val="tx1"/>
            </w14:solidFill>
          </w14:textFill>
        </w:rPr>
      </w:pPr>
      <w:r>
        <w:rPr>
          <w:color w:val="000000" w:themeColor="text1"/>
          <w:szCs w:val="24"/>
          <w14:textFill>
            <w14:solidFill>
              <w14:schemeClr w14:val="tx1"/>
            </w14:solidFill>
          </w14:textFill>
        </w:rPr>
        <w:t>(Representante Legal da empresa)</w:t>
      </w:r>
    </w:p>
    <w:p w14:paraId="7683C227">
      <w:pPr>
        <w:suppressAutoHyphens w:val="0"/>
        <w:spacing w:before="30" w:after="30"/>
        <w:jc w:val="both"/>
        <w:rPr>
          <w:color w:val="000000" w:themeColor="text1"/>
          <w:szCs w:val="24"/>
          <w14:textFill>
            <w14:solidFill>
              <w14:schemeClr w14:val="tx1"/>
            </w14:solidFill>
          </w14:textFill>
        </w:rPr>
      </w:pPr>
    </w:p>
    <w:sectPr>
      <w:headerReference r:id="rId5" w:type="first"/>
      <w:headerReference r:id="rId3" w:type="default"/>
      <w:footerReference r:id="rId6" w:type="default"/>
      <w:headerReference r:id="rId4" w:type="even"/>
      <w:pgSz w:w="11906" w:h="16838"/>
      <w:pgMar w:top="1418" w:right="991" w:bottom="1418" w:left="1701" w:header="709" w:footer="567" w:gutter="0"/>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Garamond">
    <w:panose1 w:val="02020404030301010803"/>
    <w:charset w:val="00"/>
    <w:family w:val="roman"/>
    <w:pitch w:val="default"/>
    <w:sig w:usb0="00000287" w:usb1="00000000" w:usb2="00000000" w:usb3="00000000" w:csb0="0000009F" w:csb1="DFD70000"/>
  </w:font>
  <w:font w:name="MS Gothic">
    <w:panose1 w:val="020B0609070205080204"/>
    <w:charset w:val="80"/>
    <w:family w:val="modern"/>
    <w:pitch w:val="default"/>
    <w:sig w:usb0="E00002FF" w:usb1="6AC7FDFB" w:usb2="08000012" w:usb3="00000000" w:csb0="4002009F" w:csb1="DFD70000"/>
  </w:font>
  <w:font w:name="Tahoma">
    <w:panose1 w:val="020B0604030504040204"/>
    <w:charset w:val="00"/>
    <w:family w:val="swiss"/>
    <w:pitch w:val="default"/>
    <w:sig w:usb0="E1002EFF" w:usb1="C000605B" w:usb2="00000029" w:usb3="00000000" w:csb0="200101FF" w:csb1="20280000"/>
  </w:font>
  <w:font w:name="Lohit Devanagari">
    <w:altName w:val="Cambria"/>
    <w:panose1 w:val="00000000000000000000"/>
    <w:charset w:val="00"/>
    <w:family w:val="roman"/>
    <w:pitch w:val="default"/>
    <w:sig w:usb0="00000000" w:usb1="00000000" w:usb2="00000000" w:usb3="00000000" w:csb0="00000000" w:csb1="00000000"/>
  </w:font>
  <w:font w:name="Ecofont_Spranq_eco_Sans">
    <w:altName w:val="Calibri"/>
    <w:panose1 w:val="00000000000000000000"/>
    <w:charset w:val="00"/>
    <w:family w:val="swiss"/>
    <w:pitch w:val="default"/>
    <w:sig w:usb0="00000000" w:usb1="00000000" w:usb2="00000000" w:usb3="00000000" w:csb0="00000001" w:csb1="00000000"/>
  </w:font>
  <w:font w:name="Liberation Sans">
    <w:altName w:val="Arial"/>
    <w:panose1 w:val="00000000000000000000"/>
    <w:charset w:val="01"/>
    <w:family w:val="swiss"/>
    <w:pitch w:val="default"/>
    <w:sig w:usb0="00000000" w:usb1="00000000" w:usb2="00000000" w:usb3="00000000" w:csb0="00000000" w:csb1="00000000"/>
  </w:font>
  <w:font w:name="Noto Sans CJK SC">
    <w:altName w:val="Times New Roman"/>
    <w:panose1 w:val="00000000000000000000"/>
    <w:charset w:val="00"/>
    <w:family w:val="roman"/>
    <w:pitch w:val="default"/>
    <w:sig w:usb0="00000000" w:usb1="00000000" w:usb2="00000000" w:usb3="00000000" w:csb0="00000000" w:csb1="00000000"/>
  </w:font>
  <w:font w:name="WenQuanYi Micro Hei">
    <w:altName w:val="Segoe Print"/>
    <w:panose1 w:val="00000000000000000000"/>
    <w:charset w:val="00"/>
    <w:family w:val="roman"/>
    <w:pitch w:val="default"/>
    <w:sig w:usb0="00000000" w:usb1="00000000" w:usb2="00000000" w:usb3="00000000" w:csb0="00000000" w:csb1="00000000"/>
  </w:font>
  <w:font w:name="Lohit Hindi">
    <w:altName w:val="Times New Roman"/>
    <w:panose1 w:val="00000000000000000000"/>
    <w:charset w:val="00"/>
    <w:family w:val="roman"/>
    <w:pitch w:val="default"/>
    <w:sig w:usb0="00000000" w:usb1="00000000" w:usb2="00000000" w:usb3="00000000" w:csb0="00000000" w:csb1="00000000"/>
  </w:font>
  <w:font w:name="Arial Unicode MS">
    <w:panose1 w:val="020B0604020202020204"/>
    <w:charset w:val="80"/>
    <w:family w:val="swiss"/>
    <w:pitch w:val="default"/>
    <w:sig w:usb0="FFFFFFFF" w:usb1="E9FFFFFF" w:usb2="0000003F" w:usb3="00000000" w:csb0="603F01FF" w:csb1="FFFF0000"/>
  </w:font>
  <w:font w:name="Bookman Old Style">
    <w:panose1 w:val="02050604050505020204"/>
    <w:charset w:val="00"/>
    <w:family w:val="roman"/>
    <w:pitch w:val="default"/>
    <w:sig w:usb0="00000287" w:usb1="00000000" w:usb2="00000000" w:usb3="00000000" w:csb0="2000009F" w:csb1="DFD70000"/>
  </w:font>
  <w:font w:name="Arial MT">
    <w:altName w:val="Arial"/>
    <w:panose1 w:val="00000000000000000000"/>
    <w:charset w:val="01"/>
    <w:family w:val="swiss"/>
    <w:pitch w:val="default"/>
    <w:sig w:usb0="00000000" w:usb1="00000000" w:usb2="00000000" w:usb3="00000000" w:csb0="00000000" w:csb1="00000000"/>
  </w:font>
  <w:font w:name="Calibri-Bold">
    <w:altName w:val="Calibri"/>
    <w:panose1 w:val="00000000000000000000"/>
    <w:charset w:val="00"/>
    <w:family w:val="roman"/>
    <w:pitch w:val="default"/>
    <w:sig w:usb0="00000000" w:usb1="00000000" w:usb2="00000000" w:usb3="00000000" w:csb0="00000000" w:csb1="00000000"/>
  </w:font>
  <w:font w:name="Liberation Serif">
    <w:altName w:val="Times New Roman"/>
    <w:panose1 w:val="00000000000000000000"/>
    <w:charset w:val="01"/>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Lucida Sans">
    <w:panose1 w:val="020B0602030504020204"/>
    <w:charset w:val="00"/>
    <w:family w:val="swiss"/>
    <w:pitch w:val="default"/>
    <w:sig w:usb0="00000003" w:usb1="00000000" w:usb2="00000000" w:usb3="00000000" w:csb0="20000001" w:csb1="00000000"/>
  </w:font>
  <w:font w:name="MS Mincho">
    <w:altName w:val="Yu Gothic UI"/>
    <w:panose1 w:val="02020609040205080304"/>
    <w:charset w:val="80"/>
    <w:family w:val="roman"/>
    <w:pitch w:val="default"/>
    <w:sig w:usb0="00000000" w:usb1="00000000" w:usb2="00000010" w:usb3="00000000" w:csb0="00020000" w:csb1="00000000"/>
  </w:font>
  <w:font w:name="Segoe UI">
    <w:panose1 w:val="020B0502040204020203"/>
    <w:charset w:val="00"/>
    <w:family w:val="swiss"/>
    <w:pitch w:val="default"/>
    <w:sig w:usb0="E4002EFF" w:usb1="C000E47F" w:usb2="00000009" w:usb3="00000000" w:csb0="200001FF" w:csb1="00000000"/>
  </w:font>
  <w:font w:name="Wingdings">
    <w:panose1 w:val="05000000000000000000"/>
    <w:charset w:val="02"/>
    <w:family w:val="auto"/>
    <w:pitch w:val="default"/>
    <w:sig w:usb0="00000000" w:usb1="00000000" w:usb2="00000000" w:usb3="00000000" w:csb0="80000000" w:csb1="00000000"/>
  </w:font>
  <w:font w:name="等线">
    <w:altName w:val="Arial Unicode MS"/>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Arial, 'Arial Narrow'">
    <w:altName w:val="Arial"/>
    <w:panose1 w:val="00000000000000000000"/>
    <w:charset w:val="00"/>
    <w:family w:val="swiss"/>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490B2">
    <w:pPr>
      <w:pStyle w:val="35"/>
      <w:ind w:left="4820"/>
      <w:rPr>
        <w:b/>
        <w:bCs/>
      </w:rPr>
    </w:pPr>
    <w:r>
      <w:rPr>
        <w:b/>
        <w:bCs/>
      </w:rPr>
      <w:t>______________________________________</w:t>
    </w:r>
  </w:p>
  <w:p w14:paraId="18CFF441">
    <w:pPr>
      <w:pStyle w:val="35"/>
      <w:ind w:left="4820"/>
      <w:rPr>
        <w:sz w:val="16"/>
        <w:szCs w:val="16"/>
      </w:rPr>
    </w:pPr>
    <w:r>
      <w:rPr>
        <w:b/>
        <w:bCs/>
        <w:sz w:val="16"/>
        <w:szCs w:val="16"/>
      </w:rPr>
      <w:t>Av. Libindo Ferreira Leite nº 251 – Centro - Cep: 79.270-000</w:t>
    </w:r>
  </w:p>
  <w:p w14:paraId="7CDA1130">
    <w:pPr>
      <w:pStyle w:val="35"/>
      <w:ind w:left="4820"/>
      <w:rPr>
        <w:sz w:val="16"/>
        <w:szCs w:val="16"/>
      </w:rPr>
    </w:pPr>
    <w:r>
      <w:rPr>
        <w:b/>
        <w:bCs/>
        <w:sz w:val="16"/>
        <w:szCs w:val="16"/>
      </w:rPr>
      <w:t>CARACOL/MS - Fones: (67)3495-1107/1109/1110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21619">
    <w:pPr>
      <w:tabs>
        <w:tab w:val="left" w:pos="851"/>
        <w:tab w:val="left" w:pos="5245"/>
      </w:tabs>
      <w:ind w:hanging="284"/>
      <w:jc w:val="center"/>
      <w:rPr>
        <w:rFonts w:ascii="Arial" w:hAnsi="Arial" w:cs="Arial"/>
        <w:b/>
        <w:bCs/>
        <w:sz w:val="20"/>
      </w:rPr>
    </w:pPr>
    <w:r>
      <w:rPr>
        <w:rFonts w:ascii="Arial" w:hAnsi="Arial" w:cs="Arial"/>
        <w:b/>
        <w:sz w:val="20"/>
        <w:lang w:eastAsia="pt-BR"/>
      </w:rPr>
      <w:pict>
        <v:shape id="WordPictureWatermark215259033" o:spid="_x0000_s2054" o:spt="75" type="#_x0000_t75" style="position:absolute;left:0pt;height:407.5pt;width:453.4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transferir"/>
          <o:lock v:ext="edit" aspectratio="t"/>
        </v:shape>
      </w:pict>
    </w:r>
    <w:r>
      <w:rPr>
        <w:rFonts w:ascii="Arial" w:hAnsi="Arial" w:cs="Arial"/>
        <w:b/>
        <w:sz w:val="20"/>
        <w:lang w:eastAsia="pt-BR"/>
      </w:rPr>
      <mc:AlternateContent>
        <mc:Choice Requires="wps">
          <w:drawing>
            <wp:anchor distT="0" distB="0" distL="114300" distR="114300" simplePos="0" relativeHeight="251660288" behindDoc="0" locked="0" layoutInCell="1" allowOverlap="1">
              <wp:simplePos x="0" y="0"/>
              <wp:positionH relativeFrom="column">
                <wp:posOffset>4244975</wp:posOffset>
              </wp:positionH>
              <wp:positionV relativeFrom="paragraph">
                <wp:posOffset>-146050</wp:posOffset>
              </wp:positionV>
              <wp:extent cx="1724025" cy="609600"/>
              <wp:effectExtent l="0" t="0" r="9525" b="0"/>
              <wp:wrapNone/>
              <wp:docPr id="567966987"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0D74C075">
                          <w:r>
                            <w:t>Processo Nº 170/2025</w:t>
                          </w:r>
                        </w:p>
                        <w:p w14:paraId="5307F948">
                          <w:r>
                            <w:t>Folha______________</w:t>
                          </w:r>
                        </w:p>
                        <w:p w14:paraId="73F32282">
                          <w:r>
                            <w:t>Ass.__</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Caixa de Texto 1" o:spid="_x0000_s1026" o:spt="202" type="#_x0000_t202" style="position:absolute;left:0pt;margin-left:334.25pt;margin-top:-11.5pt;height:48pt;width:135.75pt;z-index:251660288;mso-width-relative:page;mso-height-relative:page;" fillcolor="#FFFFFF" filled="t" stroked="t" coordsize="21600,21600" o:gfxdata="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ewEBZ1wAAAAoBAAAPAAAAAAAAAAEAIAAAACIAAABkcnMvZG93bnJldi54bWxQSwECFAAUAAAA&#10;CACHTuJAsDKtamECAADUBAAADgAAAAAAAAABACAAAAAmAQAAZHJzL2Uyb0RvYy54bWxQSwUGAAAA&#10;AAYABgBZAQAA+QUAAAAA&#10;">
              <v:fill on="t" focussize="0,0"/>
              <v:stroke weight="0.5pt" color="#000000" joinstyle="round"/>
              <v:imagedata o:title=""/>
              <o:lock v:ext="edit" aspectratio="f"/>
              <v:textbox>
                <w:txbxContent>
                  <w:p w14:paraId="0D74C075">
                    <w:r>
                      <w:t>Processo Nº 170/2025</w:t>
                    </w:r>
                  </w:p>
                  <w:p w14:paraId="5307F948">
                    <w:r>
                      <w:t>Folha______________</w:t>
                    </w:r>
                  </w:p>
                  <w:p w14:paraId="73F32282">
                    <w:r>
                      <w:t>Ass.__</w:t>
                    </w:r>
                  </w:p>
                </w:txbxContent>
              </v:textbox>
            </v:shape>
          </w:pict>
        </mc:Fallback>
      </mc:AlternateContent>
    </w:r>
    <w:r>
      <w:rPr>
        <w:rFonts w:ascii="Arial" w:hAnsi="Arial" w:cs="Arial"/>
        <w:b/>
        <w:sz w:val="20"/>
        <w:lang w:eastAsia="pt-BR"/>
      </w:rPr>
      <w:drawing>
        <wp:anchor distT="0" distB="0" distL="114300" distR="114300" simplePos="0" relativeHeight="251659264" behindDoc="1" locked="0" layoutInCell="1" allowOverlap="1">
          <wp:simplePos x="0" y="0"/>
          <wp:positionH relativeFrom="column">
            <wp:posOffset>96520</wp:posOffset>
          </wp:positionH>
          <wp:positionV relativeFrom="paragraph">
            <wp:posOffset>-187325</wp:posOffset>
          </wp:positionV>
          <wp:extent cx="739140" cy="703580"/>
          <wp:effectExtent l="0" t="0" r="3810" b="127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739140" cy="703580"/>
                  </a:xfrm>
                  <a:prstGeom prst="rect">
                    <a:avLst/>
                  </a:prstGeom>
                  <a:noFill/>
                  <a:ln>
                    <a:noFill/>
                  </a:ln>
                </pic:spPr>
              </pic:pic>
            </a:graphicData>
          </a:graphic>
        </wp:anchor>
      </w:drawing>
    </w:r>
    <w:r>
      <w:rPr>
        <w:rFonts w:ascii="Arial" w:hAnsi="Arial" w:cs="Arial"/>
        <w:b/>
        <w:bCs/>
        <w:sz w:val="20"/>
      </w:rPr>
      <w:t>ESTADO DE MATO GROSSO DO SUL</w:t>
    </w:r>
  </w:p>
  <w:p w14:paraId="0B76A995">
    <w:pPr>
      <w:pStyle w:val="4"/>
      <w:tabs>
        <w:tab w:val="clear" w:pos="0"/>
      </w:tabs>
      <w:spacing w:line="276" w:lineRule="auto"/>
      <w:ind w:left="-11" w:hanging="415"/>
      <w:rPr>
        <w:rFonts w:ascii="Arial" w:hAnsi="Arial" w:cs="Arial"/>
        <w:bCs/>
        <w:i w:val="0"/>
        <w:sz w:val="20"/>
      </w:rPr>
    </w:pPr>
    <w:r>
      <w:rPr>
        <w:rFonts w:ascii="Arial" w:hAnsi="Arial" w:cs="Arial"/>
        <w:bCs/>
        <w:i w:val="0"/>
        <w:sz w:val="20"/>
      </w:rPr>
      <w:t>PREFEITURA MUNICIPAL DE CARACOL</w:t>
    </w:r>
  </w:p>
  <w:p w14:paraId="62546D34">
    <w:pPr>
      <w:pBdr>
        <w:bottom w:val="single" w:color="auto" w:sz="4" w:space="1"/>
      </w:pBdr>
      <w:ind w:hanging="567"/>
      <w:jc w:val="center"/>
      <w:rPr>
        <w:b/>
      </w:rPr>
    </w:pPr>
    <w:r>
      <w:rPr>
        <w:rFonts w:ascii="Arial" w:hAnsi="Arial" w:cs="Arial"/>
        <w:b/>
        <w:sz w:val="20"/>
      </w:rPr>
      <w:t>DEPARTAMENTO DE LICITAÇÕES E CONTRATOS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BA689">
    <w:pPr>
      <w:pStyle w:val="32"/>
    </w:pPr>
    <w:r>
      <w:pict>
        <v:shape id="WordPictureWatermark215259032" o:spid="_x0000_s2053" o:spt="75" type="#_x0000_t75" style="position:absolute;left:0pt;height:407.5pt;width:453.4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transferir"/>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7C94C5">
    <w:pPr>
      <w:pStyle w:val="32"/>
    </w:pPr>
    <w:r>
      <w:pict>
        <v:shape id="WordPictureWatermark215259031" o:spid="_x0000_s2052" o:spt="75" type="#_x0000_t75" style="position:absolute;left:0pt;height:407.5pt;width:453.4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transferir"/>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27"/>
      <w:lvlText w:val=""/>
      <w:lvlJc w:val="left"/>
      <w:pPr>
        <w:tabs>
          <w:tab w:val="left" w:pos="10564"/>
        </w:tabs>
        <w:ind w:left="10564" w:hanging="360"/>
      </w:pPr>
      <w:rPr>
        <w:rFonts w:hint="default" w:ascii="Symbol" w:hAnsi="Symbol"/>
      </w:rPr>
    </w:lvl>
  </w:abstractNum>
  <w:abstractNum w:abstractNumId="1">
    <w:nsid w:val="067201FB"/>
    <w:multiLevelType w:val="multilevel"/>
    <w:tmpl w:val="067201FB"/>
    <w:lvl w:ilvl="0" w:tentative="0">
      <w:start w:val="1"/>
      <w:numFmt w:val="decimal"/>
      <w:lvlText w:val="%1."/>
      <w:lvlJc w:val="left"/>
      <w:pPr>
        <w:ind w:left="720" w:hanging="360"/>
      </w:pPr>
      <w:rPr>
        <w:rFonts w:hint="default"/>
        <w:color w:val="auto"/>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6F5208B"/>
    <w:multiLevelType w:val="multilevel"/>
    <w:tmpl w:val="06F5208B"/>
    <w:lvl w:ilvl="0" w:tentative="0">
      <w:start w:val="4"/>
      <w:numFmt w:val="decimal"/>
      <w:lvlText w:val="%1."/>
      <w:lvlJc w:val="left"/>
      <w:pPr>
        <w:ind w:left="720" w:hanging="360"/>
      </w:pPr>
      <w:rPr>
        <w:rFonts w:hint="default"/>
      </w:rPr>
    </w:lvl>
    <w:lvl w:ilvl="1" w:tentative="0">
      <w:start w:val="1"/>
      <w:numFmt w:val="decimal"/>
      <w:isLgl/>
      <w:lvlText w:val="%1.%2."/>
      <w:lvlJc w:val="left"/>
      <w:pPr>
        <w:ind w:left="1407" w:hanging="840"/>
      </w:pPr>
      <w:rPr>
        <w:rFonts w:hint="default"/>
      </w:rPr>
    </w:lvl>
    <w:lvl w:ilvl="2" w:tentative="0">
      <w:start w:val="1"/>
      <w:numFmt w:val="decimal"/>
      <w:isLgl/>
      <w:lvlText w:val="%1.%2.%3."/>
      <w:lvlJc w:val="left"/>
      <w:pPr>
        <w:ind w:left="1614" w:hanging="840"/>
      </w:pPr>
      <w:rPr>
        <w:rFonts w:hint="default"/>
      </w:rPr>
    </w:lvl>
    <w:lvl w:ilvl="3" w:tentative="0">
      <w:start w:val="1"/>
      <w:numFmt w:val="decimal"/>
      <w:isLgl/>
      <w:lvlText w:val="%1.%2.%3.%4."/>
      <w:lvlJc w:val="left"/>
      <w:pPr>
        <w:ind w:left="1821" w:hanging="840"/>
      </w:pPr>
      <w:rPr>
        <w:rFonts w:hint="default"/>
      </w:rPr>
    </w:lvl>
    <w:lvl w:ilvl="4" w:tentative="0">
      <w:start w:val="1"/>
      <w:numFmt w:val="decimal"/>
      <w:isLgl/>
      <w:lvlText w:val="%1.%2.%3.%4.%5."/>
      <w:lvlJc w:val="left"/>
      <w:pPr>
        <w:ind w:left="2268" w:hanging="1080"/>
      </w:pPr>
      <w:rPr>
        <w:rFonts w:hint="default"/>
      </w:rPr>
    </w:lvl>
    <w:lvl w:ilvl="5" w:tentative="0">
      <w:start w:val="1"/>
      <w:numFmt w:val="decimal"/>
      <w:isLgl/>
      <w:lvlText w:val="%1.%2.%3.%4.%5.%6."/>
      <w:lvlJc w:val="left"/>
      <w:pPr>
        <w:ind w:left="2475" w:hanging="1080"/>
      </w:pPr>
      <w:rPr>
        <w:rFonts w:hint="default"/>
      </w:rPr>
    </w:lvl>
    <w:lvl w:ilvl="6" w:tentative="0">
      <w:start w:val="1"/>
      <w:numFmt w:val="decimal"/>
      <w:isLgl/>
      <w:lvlText w:val="%1.%2.%3.%4.%5.%6.%7."/>
      <w:lvlJc w:val="left"/>
      <w:pPr>
        <w:ind w:left="3042" w:hanging="1440"/>
      </w:pPr>
      <w:rPr>
        <w:rFonts w:hint="default"/>
      </w:rPr>
    </w:lvl>
    <w:lvl w:ilvl="7" w:tentative="0">
      <w:start w:val="1"/>
      <w:numFmt w:val="decimal"/>
      <w:isLgl/>
      <w:lvlText w:val="%1.%2.%3.%4.%5.%6.%7.%8."/>
      <w:lvlJc w:val="left"/>
      <w:pPr>
        <w:ind w:left="3249" w:hanging="1440"/>
      </w:pPr>
      <w:rPr>
        <w:rFonts w:hint="default"/>
      </w:rPr>
    </w:lvl>
    <w:lvl w:ilvl="8" w:tentative="0">
      <w:start w:val="1"/>
      <w:numFmt w:val="decimal"/>
      <w:isLgl/>
      <w:lvlText w:val="%1.%2.%3.%4.%5.%6.%7.%8.%9."/>
      <w:lvlJc w:val="left"/>
      <w:pPr>
        <w:ind w:left="3816" w:hanging="1800"/>
      </w:pPr>
      <w:rPr>
        <w:rFonts w:hint="default"/>
      </w:rPr>
    </w:lvl>
  </w:abstractNum>
  <w:abstractNum w:abstractNumId="3">
    <w:nsid w:val="09101A4D"/>
    <w:multiLevelType w:val="multilevel"/>
    <w:tmpl w:val="09101A4D"/>
    <w:lvl w:ilvl="0" w:tentative="0">
      <w:start w:val="1"/>
      <w:numFmt w:val="lowerLetter"/>
      <w:lvlText w:val="%1)"/>
      <w:lvlJc w:val="left"/>
      <w:pPr>
        <w:tabs>
          <w:tab w:val="left" w:pos="0"/>
        </w:tabs>
        <w:ind w:left="720" w:hanging="360"/>
      </w:pPr>
    </w:lvl>
    <w:lvl w:ilvl="1" w:tentative="0">
      <w:start w:val="1"/>
      <w:numFmt w:val="lowerLetter"/>
      <w:lvlText w:val="%2."/>
      <w:lvlJc w:val="left"/>
      <w:pPr>
        <w:tabs>
          <w:tab w:val="left" w:pos="0"/>
        </w:tabs>
        <w:ind w:left="1440" w:hanging="360"/>
      </w:pPr>
    </w:lvl>
    <w:lvl w:ilvl="2" w:tentative="0">
      <w:start w:val="1"/>
      <w:numFmt w:val="lowerRoman"/>
      <w:lvlText w:val="%3."/>
      <w:lvlJc w:val="right"/>
      <w:pPr>
        <w:tabs>
          <w:tab w:val="left" w:pos="0"/>
        </w:tabs>
        <w:ind w:left="2160" w:hanging="180"/>
      </w:pPr>
    </w:lvl>
    <w:lvl w:ilvl="3" w:tentative="0">
      <w:start w:val="1"/>
      <w:numFmt w:val="decimal"/>
      <w:lvlText w:val="%4."/>
      <w:lvlJc w:val="left"/>
      <w:pPr>
        <w:tabs>
          <w:tab w:val="left" w:pos="0"/>
        </w:tabs>
        <w:ind w:left="2880" w:hanging="360"/>
      </w:pPr>
    </w:lvl>
    <w:lvl w:ilvl="4" w:tentative="0">
      <w:start w:val="1"/>
      <w:numFmt w:val="lowerLetter"/>
      <w:lvlText w:val="%5."/>
      <w:lvlJc w:val="left"/>
      <w:pPr>
        <w:tabs>
          <w:tab w:val="left" w:pos="0"/>
        </w:tabs>
        <w:ind w:left="3600" w:hanging="360"/>
      </w:pPr>
    </w:lvl>
    <w:lvl w:ilvl="5" w:tentative="0">
      <w:start w:val="1"/>
      <w:numFmt w:val="lowerRoman"/>
      <w:lvlText w:val="%6."/>
      <w:lvlJc w:val="right"/>
      <w:pPr>
        <w:tabs>
          <w:tab w:val="left" w:pos="0"/>
        </w:tabs>
        <w:ind w:left="4320" w:hanging="180"/>
      </w:pPr>
    </w:lvl>
    <w:lvl w:ilvl="6" w:tentative="0">
      <w:start w:val="1"/>
      <w:numFmt w:val="decimal"/>
      <w:lvlText w:val="%7."/>
      <w:lvlJc w:val="left"/>
      <w:pPr>
        <w:tabs>
          <w:tab w:val="left" w:pos="0"/>
        </w:tabs>
        <w:ind w:left="5040" w:hanging="360"/>
      </w:pPr>
    </w:lvl>
    <w:lvl w:ilvl="7" w:tentative="0">
      <w:start w:val="1"/>
      <w:numFmt w:val="lowerLetter"/>
      <w:lvlText w:val="%8."/>
      <w:lvlJc w:val="left"/>
      <w:pPr>
        <w:tabs>
          <w:tab w:val="left" w:pos="0"/>
        </w:tabs>
        <w:ind w:left="5760" w:hanging="360"/>
      </w:pPr>
    </w:lvl>
    <w:lvl w:ilvl="8" w:tentative="0">
      <w:start w:val="1"/>
      <w:numFmt w:val="lowerRoman"/>
      <w:lvlText w:val="%9."/>
      <w:lvlJc w:val="right"/>
      <w:pPr>
        <w:tabs>
          <w:tab w:val="left" w:pos="0"/>
        </w:tabs>
        <w:ind w:left="6480" w:hanging="180"/>
      </w:pPr>
    </w:lvl>
  </w:abstractNum>
  <w:abstractNum w:abstractNumId="4">
    <w:nsid w:val="0F58679C"/>
    <w:multiLevelType w:val="multilevel"/>
    <w:tmpl w:val="0F58679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121710"/>
    <w:multiLevelType w:val="multilevel"/>
    <w:tmpl w:val="15121710"/>
    <w:lvl w:ilvl="0" w:tentative="0">
      <w:start w:val="10"/>
      <w:numFmt w:val="decimal"/>
      <w:lvlText w:val="%1"/>
      <w:lvlJc w:val="left"/>
      <w:pPr>
        <w:ind w:left="420" w:hanging="420"/>
      </w:pPr>
      <w:rPr>
        <w:rFonts w:hint="default"/>
      </w:rPr>
    </w:lvl>
    <w:lvl w:ilvl="1" w:tentative="0">
      <w:start w:val="6"/>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6">
    <w:nsid w:val="1BCA3A68"/>
    <w:multiLevelType w:val="multilevel"/>
    <w:tmpl w:val="1BCA3A68"/>
    <w:lvl w:ilvl="0" w:tentative="0">
      <w:start w:val="5"/>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7">
    <w:nsid w:val="1CFC265D"/>
    <w:multiLevelType w:val="multilevel"/>
    <w:tmpl w:val="1CFC265D"/>
    <w:lvl w:ilvl="0" w:tentative="0">
      <w:start w:val="1"/>
      <w:numFmt w:val="lowerLetter"/>
      <w:lvlText w:val="%1)"/>
      <w:lvlJc w:val="left"/>
      <w:pPr>
        <w:ind w:left="1287" w:hanging="360"/>
      </w:pPr>
    </w:lvl>
    <w:lvl w:ilvl="1" w:tentative="0">
      <w:start w:val="1"/>
      <w:numFmt w:val="lowerLetter"/>
      <w:lvlText w:val="%2."/>
      <w:lvlJc w:val="left"/>
      <w:pPr>
        <w:ind w:left="2007" w:hanging="360"/>
      </w:pPr>
    </w:lvl>
    <w:lvl w:ilvl="2" w:tentative="0">
      <w:start w:val="1"/>
      <w:numFmt w:val="lowerRoman"/>
      <w:lvlText w:val="%3."/>
      <w:lvlJc w:val="right"/>
      <w:pPr>
        <w:ind w:left="2727" w:hanging="180"/>
      </w:pPr>
    </w:lvl>
    <w:lvl w:ilvl="3" w:tentative="0">
      <w:start w:val="1"/>
      <w:numFmt w:val="decimal"/>
      <w:lvlText w:val="%4."/>
      <w:lvlJc w:val="left"/>
      <w:pPr>
        <w:ind w:left="3447" w:hanging="360"/>
      </w:pPr>
    </w:lvl>
    <w:lvl w:ilvl="4" w:tentative="0">
      <w:start w:val="1"/>
      <w:numFmt w:val="lowerLetter"/>
      <w:lvlText w:val="%5."/>
      <w:lvlJc w:val="left"/>
      <w:pPr>
        <w:ind w:left="4167" w:hanging="360"/>
      </w:pPr>
    </w:lvl>
    <w:lvl w:ilvl="5" w:tentative="0">
      <w:start w:val="1"/>
      <w:numFmt w:val="lowerRoman"/>
      <w:lvlText w:val="%6."/>
      <w:lvlJc w:val="right"/>
      <w:pPr>
        <w:ind w:left="4887" w:hanging="180"/>
      </w:pPr>
    </w:lvl>
    <w:lvl w:ilvl="6" w:tentative="0">
      <w:start w:val="1"/>
      <w:numFmt w:val="decimal"/>
      <w:lvlText w:val="%7."/>
      <w:lvlJc w:val="left"/>
      <w:pPr>
        <w:ind w:left="5607" w:hanging="360"/>
      </w:pPr>
    </w:lvl>
    <w:lvl w:ilvl="7" w:tentative="0">
      <w:start w:val="1"/>
      <w:numFmt w:val="lowerLetter"/>
      <w:lvlText w:val="%8."/>
      <w:lvlJc w:val="left"/>
      <w:pPr>
        <w:ind w:left="6327" w:hanging="360"/>
      </w:pPr>
    </w:lvl>
    <w:lvl w:ilvl="8" w:tentative="0">
      <w:start w:val="1"/>
      <w:numFmt w:val="lowerRoman"/>
      <w:lvlText w:val="%9."/>
      <w:lvlJc w:val="right"/>
      <w:pPr>
        <w:ind w:left="7047" w:hanging="180"/>
      </w:pPr>
    </w:lvl>
  </w:abstractNum>
  <w:abstractNum w:abstractNumId="8">
    <w:nsid w:val="1D5C100D"/>
    <w:multiLevelType w:val="multilevel"/>
    <w:tmpl w:val="1D5C100D"/>
    <w:lvl w:ilvl="0" w:tentative="0">
      <w:start w:val="1"/>
      <w:numFmt w:val="decimal"/>
      <w:pStyle w:val="70"/>
      <w:lvlText w:val="%1."/>
      <w:lvlJc w:val="left"/>
      <w:pPr>
        <w:ind w:left="360" w:hanging="360"/>
      </w:pPr>
      <w:rPr>
        <w:rFonts w:hint="default"/>
        <w:b/>
      </w:rPr>
    </w:lvl>
    <w:lvl w:ilvl="1" w:tentative="0">
      <w:start w:val="1"/>
      <w:numFmt w:val="decimal"/>
      <w:pStyle w:val="223"/>
      <w:lvlText w:val="%1.%2."/>
      <w:lvlJc w:val="left"/>
      <w:pPr>
        <w:ind w:left="4118" w:hanging="432"/>
      </w:pPr>
      <w:rPr>
        <w:rFonts w:hint="default" w:ascii="Times New Roman" w:hAnsi="Times New Roman" w:cs="Times New Roman"/>
        <w:b w:val="0"/>
        <w:bCs/>
        <w:i w:val="0"/>
        <w:strike w:val="0"/>
        <w:color w:val="auto"/>
        <w:sz w:val="24"/>
        <w:szCs w:val="24"/>
        <w:u w:val="none"/>
      </w:rPr>
    </w:lvl>
    <w:lvl w:ilvl="2" w:tentative="0">
      <w:start w:val="1"/>
      <w:numFmt w:val="decimal"/>
      <w:pStyle w:val="224"/>
      <w:lvlText w:val="%1.%2.%3."/>
      <w:lvlJc w:val="left"/>
      <w:pPr>
        <w:ind w:left="1497" w:hanging="504"/>
      </w:pPr>
      <w:rPr>
        <w:rFonts w:hint="default" w:ascii="Times New Roman" w:hAnsi="Times New Roman" w:cs="Times New Roman"/>
        <w:b w:val="0"/>
        <w:i w:val="0"/>
        <w:strike w:val="0"/>
        <w:color w:val="auto"/>
        <w:sz w:val="24"/>
        <w:szCs w:val="24"/>
      </w:rPr>
    </w:lvl>
    <w:lvl w:ilvl="3" w:tentative="0">
      <w:start w:val="1"/>
      <w:numFmt w:val="decimal"/>
      <w:pStyle w:val="226"/>
      <w:lvlText w:val="%1.%2.%3.%4."/>
      <w:lvlJc w:val="left"/>
      <w:pPr>
        <w:ind w:left="2491" w:hanging="648"/>
      </w:pPr>
      <w:rPr>
        <w:rFonts w:hint="default"/>
      </w:rPr>
    </w:lvl>
    <w:lvl w:ilvl="4" w:tentative="0">
      <w:start w:val="1"/>
      <w:numFmt w:val="decimal"/>
      <w:lvlText w:val="%1.%2.%3.%4.%5."/>
      <w:lvlJc w:val="left"/>
      <w:pPr>
        <w:ind w:left="2232" w:hanging="792"/>
      </w:pPr>
      <w:rPr>
        <w:rFonts w:hint="default"/>
      </w:rPr>
    </w:lvl>
    <w:lvl w:ilvl="5" w:tentative="0">
      <w:start w:val="1"/>
      <w:numFmt w:val="decimal"/>
      <w:lvlText w:val="%1.%2.%3.%4.%5.%6."/>
      <w:lvlJc w:val="left"/>
      <w:pPr>
        <w:ind w:left="2736" w:hanging="936"/>
      </w:pPr>
      <w:rPr>
        <w:rFonts w:hint="default"/>
      </w:rPr>
    </w:lvl>
    <w:lvl w:ilvl="6" w:tentative="0">
      <w:start w:val="1"/>
      <w:numFmt w:val="decimal"/>
      <w:lvlText w:val="%1.%2.%3.%4.%5.%6.%7."/>
      <w:lvlJc w:val="left"/>
      <w:pPr>
        <w:ind w:left="3240" w:hanging="1080"/>
      </w:pPr>
      <w:rPr>
        <w:rFonts w:hint="default"/>
      </w:rPr>
    </w:lvl>
    <w:lvl w:ilvl="7" w:tentative="0">
      <w:start w:val="1"/>
      <w:numFmt w:val="decimal"/>
      <w:lvlText w:val="%1.%2.%3.%4.%5.%6.%7.%8."/>
      <w:lvlJc w:val="left"/>
      <w:pPr>
        <w:ind w:left="3744" w:hanging="1224"/>
      </w:pPr>
      <w:rPr>
        <w:rFonts w:hint="default"/>
      </w:rPr>
    </w:lvl>
    <w:lvl w:ilvl="8" w:tentative="0">
      <w:start w:val="1"/>
      <w:numFmt w:val="decimal"/>
      <w:lvlText w:val="%1.%2.%3.%4.%5.%6.%7.%8.%9."/>
      <w:lvlJc w:val="left"/>
      <w:pPr>
        <w:ind w:left="4320" w:hanging="1440"/>
      </w:pPr>
      <w:rPr>
        <w:rFonts w:hint="default"/>
      </w:rPr>
    </w:lvl>
  </w:abstractNum>
  <w:abstractNum w:abstractNumId="9">
    <w:nsid w:val="1E920998"/>
    <w:multiLevelType w:val="multilevel"/>
    <w:tmpl w:val="1E920998"/>
    <w:lvl w:ilvl="0" w:tentative="0">
      <w:start w:val="13"/>
      <w:numFmt w:val="decimal"/>
      <w:lvlText w:val="%1"/>
      <w:lvlJc w:val="left"/>
      <w:pPr>
        <w:ind w:left="600" w:hanging="600"/>
      </w:pPr>
      <w:rPr>
        <w:rFonts w:hint="default"/>
      </w:rPr>
    </w:lvl>
    <w:lvl w:ilvl="1" w:tentative="0">
      <w:start w:val="4"/>
      <w:numFmt w:val="decimal"/>
      <w:lvlText w:val="%1.%2"/>
      <w:lvlJc w:val="left"/>
      <w:pPr>
        <w:ind w:left="600" w:hanging="60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0">
    <w:nsid w:val="226C37CB"/>
    <w:multiLevelType w:val="multilevel"/>
    <w:tmpl w:val="226C37C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28190296"/>
    <w:multiLevelType w:val="multilevel"/>
    <w:tmpl w:val="28190296"/>
    <w:lvl w:ilvl="0" w:tentative="0">
      <w:start w:val="1"/>
      <w:numFmt w:val="decimal"/>
      <w:lvlText w:val="%1."/>
      <w:lvlJc w:val="left"/>
      <w:pPr>
        <w:ind w:left="720" w:hanging="360"/>
      </w:pPr>
      <w:rPr>
        <w:rFonts w:hint="default" w:eastAsia="Times New Roman"/>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2B533EE0"/>
    <w:multiLevelType w:val="multilevel"/>
    <w:tmpl w:val="2B533EE0"/>
    <w:lvl w:ilvl="0" w:tentative="0">
      <w:start w:val="1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3">
    <w:nsid w:val="2D903191"/>
    <w:multiLevelType w:val="multilevel"/>
    <w:tmpl w:val="2D903191"/>
    <w:lvl w:ilvl="0" w:tentative="0">
      <w:start w:val="12"/>
      <w:numFmt w:val="decimal"/>
      <w:lvlText w:val="%1"/>
      <w:lvlJc w:val="left"/>
      <w:pPr>
        <w:ind w:left="420" w:hanging="420"/>
      </w:pPr>
      <w:rPr>
        <w:rFonts w:hint="default"/>
      </w:rPr>
    </w:lvl>
    <w:lvl w:ilvl="1" w:tentative="0">
      <w:start w:val="4"/>
      <w:numFmt w:val="decimal"/>
      <w:lvlText w:val="%1.%2"/>
      <w:lvlJc w:val="left"/>
      <w:pPr>
        <w:ind w:left="420" w:hanging="420"/>
      </w:pPr>
      <w:rPr>
        <w:rFonts w:hint="default"/>
      </w:rPr>
    </w:lvl>
    <w:lvl w:ilvl="2" w:tentative="0">
      <w:start w:val="1"/>
      <w:numFmt w:val="decimalZero"/>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4">
    <w:nsid w:val="34C231B6"/>
    <w:multiLevelType w:val="multilevel"/>
    <w:tmpl w:val="34C231B6"/>
    <w:lvl w:ilvl="0" w:tentative="0">
      <w:start w:val="9"/>
      <w:numFmt w:val="decimal"/>
      <w:lvlText w:val="%1"/>
      <w:lvlJc w:val="left"/>
      <w:pPr>
        <w:ind w:left="360" w:hanging="360"/>
      </w:pPr>
      <w:rPr>
        <w:rFonts w:hint="default"/>
      </w:rPr>
    </w:lvl>
    <w:lvl w:ilvl="1" w:tentative="0">
      <w:start w:val="1"/>
      <w:numFmt w:val="decimal"/>
      <w:lvlText w:val="%1.%2"/>
      <w:lvlJc w:val="left"/>
      <w:pPr>
        <w:ind w:left="360" w:hanging="360"/>
      </w:pPr>
      <w:rPr>
        <w:rFonts w:hint="default"/>
        <w:strike w:val="0"/>
      </w:rPr>
    </w:lvl>
    <w:lvl w:ilvl="2" w:tentative="0">
      <w:start w:val="1"/>
      <w:numFmt w:val="decimal"/>
      <w:lvlText w:val="%1.%2.%3"/>
      <w:lvlJc w:val="left"/>
      <w:pPr>
        <w:ind w:left="1146" w:hanging="720"/>
      </w:pPr>
      <w:rPr>
        <w:rFonts w:hint="default"/>
        <w:b w:val="0"/>
        <w:color w:val="auto"/>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5">
    <w:nsid w:val="38A01746"/>
    <w:multiLevelType w:val="multilevel"/>
    <w:tmpl w:val="38A01746"/>
    <w:lvl w:ilvl="0" w:tentative="0">
      <w:start w:val="1"/>
      <w:numFmt w:val="upperRoman"/>
      <w:lvlText w:val="%1."/>
      <w:lvlJc w:val="right"/>
      <w:pPr>
        <w:ind w:left="720" w:hanging="360"/>
      </w:pPr>
    </w:lvl>
    <w:lvl w:ilvl="1" w:tentative="0">
      <w:start w:val="7"/>
      <w:numFmt w:val="decimal"/>
      <w:isLgl/>
      <w:lvlText w:val="%1.%2."/>
      <w:lvlJc w:val="left"/>
      <w:pPr>
        <w:ind w:left="4897"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16">
    <w:nsid w:val="39BC31E9"/>
    <w:multiLevelType w:val="multilevel"/>
    <w:tmpl w:val="39BC31E9"/>
    <w:lvl w:ilvl="0" w:tentative="0">
      <w:start w:val="1"/>
      <w:numFmt w:val="decimal"/>
      <w:lvlText w:val="%1"/>
      <w:lvlJc w:val="left"/>
      <w:pPr>
        <w:ind w:left="360" w:hanging="360"/>
      </w:pPr>
      <w:rPr>
        <w:rFonts w:hint="default"/>
      </w:rPr>
    </w:lvl>
    <w:lvl w:ilvl="1" w:tentative="0">
      <w:start w:val="2"/>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7">
    <w:nsid w:val="3CAA7779"/>
    <w:multiLevelType w:val="multilevel"/>
    <w:tmpl w:val="3CAA7779"/>
    <w:lvl w:ilvl="0" w:tentative="0">
      <w:start w:val="9"/>
      <w:numFmt w:val="decimal"/>
      <w:lvlText w:val="%1"/>
      <w:lvlJc w:val="left"/>
      <w:pPr>
        <w:ind w:left="600" w:hanging="600"/>
      </w:pPr>
      <w:rPr>
        <w:rFonts w:hint="default"/>
      </w:rPr>
    </w:lvl>
    <w:lvl w:ilvl="1" w:tentative="0">
      <w:start w:val="1"/>
      <w:numFmt w:val="decimal"/>
      <w:lvlText w:val="%1.%2"/>
      <w:lvlJc w:val="left"/>
      <w:pPr>
        <w:ind w:left="600" w:hanging="600"/>
      </w:pPr>
      <w:rPr>
        <w:rFonts w:hint="default"/>
      </w:rPr>
    </w:lvl>
    <w:lvl w:ilvl="2" w:tentative="0">
      <w:start w:val="40"/>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8">
    <w:nsid w:val="3FE33FE7"/>
    <w:multiLevelType w:val="multilevel"/>
    <w:tmpl w:val="3FE33FE7"/>
    <w:lvl w:ilvl="0" w:tentative="0">
      <w:start w:val="1"/>
      <w:numFmt w:val="bullet"/>
      <w:lvlText w:val="o"/>
      <w:lvlJc w:val="left"/>
      <w:pPr>
        <w:ind w:left="720" w:hanging="360"/>
      </w:pPr>
      <w:rPr>
        <w:rFonts w:hint="default" w:ascii="Courier New" w:hAnsi="Courier New"/>
      </w:rPr>
    </w:lvl>
    <w:lvl w:ilvl="1" w:tentative="0">
      <w:start w:val="1"/>
      <w:numFmt w:val="bullet"/>
      <w:lvlText w:val="o"/>
      <w:lvlJc w:val="left"/>
      <w:pPr>
        <w:ind w:left="1440" w:hanging="360"/>
      </w:pPr>
      <w:rPr>
        <w:rFonts w:hint="default" w:ascii="Courier New" w:hAnsi="Courier New"/>
      </w:rPr>
    </w:lvl>
    <w:lvl w:ilvl="2" w:tentative="0">
      <w:start w:val="1"/>
      <w:numFmt w:val="bullet"/>
      <w:pStyle w:val="256"/>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19">
    <w:nsid w:val="3FEC0F24"/>
    <w:multiLevelType w:val="multilevel"/>
    <w:tmpl w:val="3FEC0F24"/>
    <w:lvl w:ilvl="0" w:tentative="0">
      <w:start w:val="7"/>
      <w:numFmt w:val="decimal"/>
      <w:lvlText w:val="%1."/>
      <w:lvlJc w:val="left"/>
      <w:pPr>
        <w:ind w:left="360" w:hanging="360"/>
      </w:pPr>
      <w:rPr>
        <w:rFonts w:hint="default"/>
      </w:rPr>
    </w:lvl>
    <w:lvl w:ilvl="1" w:tentative="0">
      <w:start w:val="1"/>
      <w:numFmt w:val="decimal"/>
      <w:lvlText w:val="%1.%2."/>
      <w:lvlJc w:val="left"/>
      <w:pPr>
        <w:ind w:left="1080" w:hanging="720"/>
      </w:pPr>
      <w:rPr>
        <w:rFonts w:hint="default"/>
      </w:rPr>
    </w:lvl>
    <w:lvl w:ilvl="2" w:tentative="0">
      <w:start w:val="1"/>
      <w:numFmt w:val="decimal"/>
      <w:lvlText w:val="%1.%2.%3."/>
      <w:lvlJc w:val="left"/>
      <w:pPr>
        <w:ind w:left="1440" w:hanging="720"/>
      </w:pPr>
      <w:rPr>
        <w:rFonts w:hint="default"/>
      </w:rPr>
    </w:lvl>
    <w:lvl w:ilvl="3" w:tentative="0">
      <w:start w:val="1"/>
      <w:numFmt w:val="decimal"/>
      <w:lvlText w:val="%1.%2.%3.%4."/>
      <w:lvlJc w:val="left"/>
      <w:pPr>
        <w:ind w:left="2160" w:hanging="1080"/>
      </w:pPr>
      <w:rPr>
        <w:rFonts w:hint="default"/>
      </w:rPr>
    </w:lvl>
    <w:lvl w:ilvl="4" w:tentative="0">
      <w:start w:val="1"/>
      <w:numFmt w:val="decimal"/>
      <w:lvlText w:val="%1.%2.%3.%4.%5."/>
      <w:lvlJc w:val="left"/>
      <w:pPr>
        <w:ind w:left="2520" w:hanging="1080"/>
      </w:pPr>
      <w:rPr>
        <w:rFonts w:hint="default"/>
      </w:rPr>
    </w:lvl>
    <w:lvl w:ilvl="5" w:tentative="0">
      <w:start w:val="1"/>
      <w:numFmt w:val="decimal"/>
      <w:lvlText w:val="%1.%2.%3.%4.%5.%6."/>
      <w:lvlJc w:val="left"/>
      <w:pPr>
        <w:ind w:left="3240" w:hanging="1440"/>
      </w:pPr>
      <w:rPr>
        <w:rFonts w:hint="default"/>
      </w:rPr>
    </w:lvl>
    <w:lvl w:ilvl="6" w:tentative="0">
      <w:start w:val="1"/>
      <w:numFmt w:val="decimal"/>
      <w:lvlText w:val="%1.%2.%3.%4.%5.%6.%7."/>
      <w:lvlJc w:val="left"/>
      <w:pPr>
        <w:ind w:left="3600" w:hanging="1440"/>
      </w:pPr>
      <w:rPr>
        <w:rFonts w:hint="default"/>
      </w:rPr>
    </w:lvl>
    <w:lvl w:ilvl="7" w:tentative="0">
      <w:start w:val="1"/>
      <w:numFmt w:val="decimal"/>
      <w:lvlText w:val="%1.%2.%3.%4.%5.%6.%7.%8."/>
      <w:lvlJc w:val="left"/>
      <w:pPr>
        <w:ind w:left="4320" w:hanging="1800"/>
      </w:pPr>
      <w:rPr>
        <w:rFonts w:hint="default"/>
      </w:rPr>
    </w:lvl>
    <w:lvl w:ilvl="8" w:tentative="0">
      <w:start w:val="1"/>
      <w:numFmt w:val="decimal"/>
      <w:lvlText w:val="%1.%2.%3.%4.%5.%6.%7.%8.%9."/>
      <w:lvlJc w:val="left"/>
      <w:pPr>
        <w:ind w:left="4680" w:hanging="1800"/>
      </w:pPr>
      <w:rPr>
        <w:rFonts w:hint="default"/>
      </w:rPr>
    </w:lvl>
  </w:abstractNum>
  <w:abstractNum w:abstractNumId="20">
    <w:nsid w:val="462A7D97"/>
    <w:multiLevelType w:val="multilevel"/>
    <w:tmpl w:val="462A7D9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4691757A"/>
    <w:multiLevelType w:val="multilevel"/>
    <w:tmpl w:val="4691757A"/>
    <w:lvl w:ilvl="0" w:tentative="0">
      <w:start w:val="1"/>
      <w:numFmt w:val="upperRoman"/>
      <w:lvlText w:val="%1)"/>
      <w:lvlJc w:val="left"/>
      <w:pPr>
        <w:ind w:left="1287" w:hanging="72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22">
    <w:nsid w:val="48837F27"/>
    <w:multiLevelType w:val="multilevel"/>
    <w:tmpl w:val="48837F27"/>
    <w:lvl w:ilvl="0" w:tentative="0">
      <w:start w:val="1"/>
      <w:numFmt w:val="lowerLetter"/>
      <w:lvlText w:val="%1)"/>
      <w:lvlJc w:val="left"/>
      <w:pPr>
        <w:ind w:left="1287" w:hanging="360"/>
      </w:pPr>
    </w:lvl>
    <w:lvl w:ilvl="1" w:tentative="0">
      <w:start w:val="1"/>
      <w:numFmt w:val="lowerLetter"/>
      <w:lvlText w:val="%2."/>
      <w:lvlJc w:val="left"/>
      <w:pPr>
        <w:ind w:left="2007" w:hanging="360"/>
      </w:pPr>
    </w:lvl>
    <w:lvl w:ilvl="2" w:tentative="0">
      <w:start w:val="1"/>
      <w:numFmt w:val="lowerRoman"/>
      <w:lvlText w:val="%3."/>
      <w:lvlJc w:val="right"/>
      <w:pPr>
        <w:ind w:left="2727" w:hanging="180"/>
      </w:pPr>
    </w:lvl>
    <w:lvl w:ilvl="3" w:tentative="0">
      <w:start w:val="1"/>
      <w:numFmt w:val="decimal"/>
      <w:lvlText w:val="%4."/>
      <w:lvlJc w:val="left"/>
      <w:pPr>
        <w:ind w:left="3447" w:hanging="360"/>
      </w:pPr>
    </w:lvl>
    <w:lvl w:ilvl="4" w:tentative="0">
      <w:start w:val="1"/>
      <w:numFmt w:val="lowerLetter"/>
      <w:lvlText w:val="%5."/>
      <w:lvlJc w:val="left"/>
      <w:pPr>
        <w:ind w:left="4167" w:hanging="360"/>
      </w:pPr>
    </w:lvl>
    <w:lvl w:ilvl="5" w:tentative="0">
      <w:start w:val="1"/>
      <w:numFmt w:val="lowerRoman"/>
      <w:lvlText w:val="%6."/>
      <w:lvlJc w:val="right"/>
      <w:pPr>
        <w:ind w:left="4887" w:hanging="180"/>
      </w:pPr>
    </w:lvl>
    <w:lvl w:ilvl="6" w:tentative="0">
      <w:start w:val="1"/>
      <w:numFmt w:val="decimal"/>
      <w:lvlText w:val="%7."/>
      <w:lvlJc w:val="left"/>
      <w:pPr>
        <w:ind w:left="5607" w:hanging="360"/>
      </w:pPr>
    </w:lvl>
    <w:lvl w:ilvl="7" w:tentative="0">
      <w:start w:val="1"/>
      <w:numFmt w:val="lowerLetter"/>
      <w:lvlText w:val="%8."/>
      <w:lvlJc w:val="left"/>
      <w:pPr>
        <w:ind w:left="6327" w:hanging="360"/>
      </w:pPr>
    </w:lvl>
    <w:lvl w:ilvl="8" w:tentative="0">
      <w:start w:val="1"/>
      <w:numFmt w:val="lowerRoman"/>
      <w:lvlText w:val="%9."/>
      <w:lvlJc w:val="right"/>
      <w:pPr>
        <w:ind w:left="7047" w:hanging="180"/>
      </w:pPr>
    </w:lvl>
  </w:abstractNum>
  <w:abstractNum w:abstractNumId="23">
    <w:nsid w:val="49DF2591"/>
    <w:multiLevelType w:val="multilevel"/>
    <w:tmpl w:val="49DF2591"/>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4">
    <w:nsid w:val="49DF451E"/>
    <w:multiLevelType w:val="multilevel"/>
    <w:tmpl w:val="49DF451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5">
    <w:nsid w:val="4F605934"/>
    <w:multiLevelType w:val="multilevel"/>
    <w:tmpl w:val="4F605934"/>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58C70088"/>
    <w:multiLevelType w:val="multilevel"/>
    <w:tmpl w:val="58C70088"/>
    <w:lvl w:ilvl="0" w:tentative="0">
      <w:start w:val="1"/>
      <w:numFmt w:val="decimal"/>
      <w:pStyle w:val="87"/>
      <w:lvlText w:val="%1."/>
      <w:lvlJc w:val="left"/>
      <w:pPr>
        <w:ind w:left="502" w:hanging="360"/>
      </w:pPr>
      <w:rPr>
        <w:rFonts w:hint="default" w:ascii="Times New Roman" w:hAnsi="Times New Roman" w:cs="Times New Roman"/>
        <w:b/>
        <w:i w:val="0"/>
        <w:strike w:val="0"/>
        <w:dstrike w:val="0"/>
        <w:color w:val="auto"/>
        <w:sz w:val="24"/>
        <w:szCs w:val="24"/>
      </w:rPr>
    </w:lvl>
    <w:lvl w:ilvl="1" w:tentative="0">
      <w:start w:val="1"/>
      <w:numFmt w:val="decimal"/>
      <w:pStyle w:val="86"/>
      <w:lvlText w:val="%1.%2."/>
      <w:lvlJc w:val="left"/>
      <w:pPr>
        <w:ind w:left="858" w:hanging="432"/>
      </w:pPr>
      <w:rPr>
        <w:b w:val="0"/>
        <w:strike w:val="0"/>
      </w:rPr>
    </w:lvl>
    <w:lvl w:ilvl="2" w:tentative="0">
      <w:start w:val="1"/>
      <w:numFmt w:val="decimal"/>
      <w:pStyle w:val="88"/>
      <w:lvlText w:val="%1.%2.%3."/>
      <w:lvlJc w:val="left"/>
      <w:pPr>
        <w:ind w:left="1224" w:hanging="504"/>
      </w:pPr>
      <w:rPr>
        <w:i w:val="0"/>
        <w:strike w:val="0"/>
      </w:rPr>
    </w:lvl>
    <w:lvl w:ilvl="3" w:tentative="0">
      <w:start w:val="1"/>
      <w:numFmt w:val="decimal"/>
      <w:pStyle w:val="89"/>
      <w:lvlText w:val="%1.%2.%3.%4."/>
      <w:lvlJc w:val="left"/>
      <w:pPr>
        <w:ind w:left="1728" w:hanging="648"/>
      </w:pPr>
    </w:lvl>
    <w:lvl w:ilvl="4" w:tentative="0">
      <w:start w:val="1"/>
      <w:numFmt w:val="decimal"/>
      <w:pStyle w:val="90"/>
      <w:lvlText w:val="%1.%2.%3.%4.%5."/>
      <w:lvlJc w:val="left"/>
      <w:pPr>
        <w:ind w:left="4053"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7">
    <w:nsid w:val="5A5C404B"/>
    <w:multiLevelType w:val="multilevel"/>
    <w:tmpl w:val="5A5C404B"/>
    <w:lvl w:ilvl="0" w:tentative="0">
      <w:start w:val="10"/>
      <w:numFmt w:val="decimal"/>
      <w:lvlText w:val="%1."/>
      <w:lvlJc w:val="left"/>
      <w:pPr>
        <w:ind w:left="720" w:hanging="360"/>
      </w:pPr>
      <w:rPr>
        <w:rFonts w:hint="default"/>
      </w:rPr>
    </w:lvl>
    <w:lvl w:ilvl="1" w:tentative="0">
      <w:start w:val="1"/>
      <w:numFmt w:val="decimal"/>
      <w:isLgl/>
      <w:lvlText w:val="%1.%2"/>
      <w:lvlJc w:val="left"/>
      <w:pPr>
        <w:ind w:left="780" w:hanging="4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28">
    <w:nsid w:val="5E232489"/>
    <w:multiLevelType w:val="multilevel"/>
    <w:tmpl w:val="5E232489"/>
    <w:lvl w:ilvl="0" w:tentative="0">
      <w:start w:val="1"/>
      <w:numFmt w:val="lowerLetter"/>
      <w:lvlText w:val="%1)"/>
      <w:lvlJc w:val="left"/>
      <w:pPr>
        <w:ind w:left="1599" w:hanging="360"/>
      </w:pPr>
    </w:lvl>
    <w:lvl w:ilvl="1" w:tentative="0">
      <w:start w:val="1"/>
      <w:numFmt w:val="lowerLetter"/>
      <w:lvlText w:val="%2."/>
      <w:lvlJc w:val="left"/>
      <w:pPr>
        <w:ind w:left="2319" w:hanging="360"/>
      </w:pPr>
    </w:lvl>
    <w:lvl w:ilvl="2" w:tentative="0">
      <w:start w:val="1"/>
      <w:numFmt w:val="lowerRoman"/>
      <w:lvlText w:val="%3."/>
      <w:lvlJc w:val="right"/>
      <w:pPr>
        <w:ind w:left="3039" w:hanging="180"/>
      </w:pPr>
    </w:lvl>
    <w:lvl w:ilvl="3" w:tentative="0">
      <w:start w:val="1"/>
      <w:numFmt w:val="decimal"/>
      <w:lvlText w:val="%4."/>
      <w:lvlJc w:val="left"/>
      <w:pPr>
        <w:ind w:left="3759" w:hanging="360"/>
      </w:pPr>
    </w:lvl>
    <w:lvl w:ilvl="4" w:tentative="0">
      <w:start w:val="1"/>
      <w:numFmt w:val="lowerLetter"/>
      <w:lvlText w:val="%5."/>
      <w:lvlJc w:val="left"/>
      <w:pPr>
        <w:ind w:left="4479" w:hanging="360"/>
      </w:pPr>
    </w:lvl>
    <w:lvl w:ilvl="5" w:tentative="0">
      <w:start w:val="1"/>
      <w:numFmt w:val="lowerRoman"/>
      <w:lvlText w:val="%6."/>
      <w:lvlJc w:val="right"/>
      <w:pPr>
        <w:ind w:left="5199" w:hanging="180"/>
      </w:pPr>
    </w:lvl>
    <w:lvl w:ilvl="6" w:tentative="0">
      <w:start w:val="1"/>
      <w:numFmt w:val="decimal"/>
      <w:lvlText w:val="%7."/>
      <w:lvlJc w:val="left"/>
      <w:pPr>
        <w:ind w:left="5919" w:hanging="360"/>
      </w:pPr>
    </w:lvl>
    <w:lvl w:ilvl="7" w:tentative="0">
      <w:start w:val="1"/>
      <w:numFmt w:val="lowerLetter"/>
      <w:lvlText w:val="%8."/>
      <w:lvlJc w:val="left"/>
      <w:pPr>
        <w:ind w:left="6639" w:hanging="360"/>
      </w:pPr>
    </w:lvl>
    <w:lvl w:ilvl="8" w:tentative="0">
      <w:start w:val="1"/>
      <w:numFmt w:val="lowerRoman"/>
      <w:lvlText w:val="%9."/>
      <w:lvlJc w:val="right"/>
      <w:pPr>
        <w:ind w:left="7359" w:hanging="180"/>
      </w:pPr>
    </w:lvl>
  </w:abstractNum>
  <w:abstractNum w:abstractNumId="29">
    <w:nsid w:val="631C0846"/>
    <w:multiLevelType w:val="multilevel"/>
    <w:tmpl w:val="631C0846"/>
    <w:lvl w:ilvl="0" w:tentative="0">
      <w:start w:val="9"/>
      <w:numFmt w:val="decimal"/>
      <w:lvlText w:val="%1."/>
      <w:lvlJc w:val="left"/>
      <w:pPr>
        <w:ind w:left="660" w:hanging="660"/>
      </w:pPr>
      <w:rPr>
        <w:rFonts w:hint="default"/>
      </w:rPr>
    </w:lvl>
    <w:lvl w:ilvl="1" w:tentative="0">
      <w:start w:val="10"/>
      <w:numFmt w:val="decimal"/>
      <w:lvlText w:val="%1.%2."/>
      <w:lvlJc w:val="left"/>
      <w:pPr>
        <w:ind w:left="660" w:hanging="660"/>
      </w:pPr>
      <w:rPr>
        <w:rFonts w:hint="default"/>
      </w:rPr>
    </w:lvl>
    <w:lvl w:ilvl="2" w:tentative="0">
      <w:start w:val="1"/>
      <w:numFmt w:val="decimal"/>
      <w:lvlText w:val="%1.%2.%3."/>
      <w:lvlJc w:val="left"/>
      <w:pPr>
        <w:ind w:left="720" w:hanging="720"/>
      </w:pPr>
      <w:rPr>
        <w:rFonts w:hint="default"/>
        <w:strike w:val="0"/>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0">
    <w:nsid w:val="63E2127D"/>
    <w:multiLevelType w:val="multilevel"/>
    <w:tmpl w:val="63E2127D"/>
    <w:lvl w:ilvl="0" w:tentative="0">
      <w:start w:val="9"/>
      <w:numFmt w:val="decimal"/>
      <w:lvlText w:val="%1."/>
      <w:lvlJc w:val="left"/>
      <w:pPr>
        <w:ind w:left="540" w:hanging="540"/>
      </w:pPr>
      <w:rPr>
        <w:rFonts w:hint="default"/>
        <w:b/>
      </w:rPr>
    </w:lvl>
    <w:lvl w:ilvl="1" w:tentative="0">
      <w:start w:val="9"/>
      <w:numFmt w:val="decimal"/>
      <w:lvlText w:val="%1.%2."/>
      <w:lvlJc w:val="left"/>
      <w:pPr>
        <w:ind w:left="540" w:hanging="540"/>
      </w:pPr>
      <w:rPr>
        <w:rFonts w:hint="default"/>
        <w:b/>
      </w:rPr>
    </w:lvl>
    <w:lvl w:ilvl="2" w:tentative="0">
      <w:start w:val="3"/>
      <w:numFmt w:val="decimal"/>
      <w:lvlText w:val="%1.%2.%3."/>
      <w:lvlJc w:val="left"/>
      <w:pPr>
        <w:ind w:left="720" w:hanging="720"/>
      </w:pPr>
      <w:rPr>
        <w:rFonts w:hint="default"/>
        <w:b/>
      </w:rPr>
    </w:lvl>
    <w:lvl w:ilvl="3" w:tentative="0">
      <w:start w:val="1"/>
      <w:numFmt w:val="decimal"/>
      <w:lvlText w:val="%1.%2.%3.%4."/>
      <w:lvlJc w:val="left"/>
      <w:pPr>
        <w:ind w:left="720" w:hanging="720"/>
      </w:pPr>
      <w:rPr>
        <w:rFonts w:hint="default"/>
        <w:b/>
      </w:rPr>
    </w:lvl>
    <w:lvl w:ilvl="4" w:tentative="0">
      <w:start w:val="1"/>
      <w:numFmt w:val="decimal"/>
      <w:lvlText w:val="%1.%2.%3.%4.%5."/>
      <w:lvlJc w:val="left"/>
      <w:pPr>
        <w:ind w:left="1080" w:hanging="1080"/>
      </w:pPr>
      <w:rPr>
        <w:rFonts w:hint="default"/>
        <w:b/>
      </w:rPr>
    </w:lvl>
    <w:lvl w:ilvl="5" w:tentative="0">
      <w:start w:val="1"/>
      <w:numFmt w:val="decimal"/>
      <w:lvlText w:val="%1.%2.%3.%4.%5.%6."/>
      <w:lvlJc w:val="left"/>
      <w:pPr>
        <w:ind w:left="1080" w:hanging="1080"/>
      </w:pPr>
      <w:rPr>
        <w:rFonts w:hint="default"/>
        <w:b/>
      </w:rPr>
    </w:lvl>
    <w:lvl w:ilvl="6" w:tentative="0">
      <w:start w:val="1"/>
      <w:numFmt w:val="decimal"/>
      <w:lvlText w:val="%1.%2.%3.%4.%5.%6.%7."/>
      <w:lvlJc w:val="left"/>
      <w:pPr>
        <w:ind w:left="1440" w:hanging="1440"/>
      </w:pPr>
      <w:rPr>
        <w:rFonts w:hint="default"/>
        <w:b/>
      </w:rPr>
    </w:lvl>
    <w:lvl w:ilvl="7" w:tentative="0">
      <w:start w:val="1"/>
      <w:numFmt w:val="decimal"/>
      <w:lvlText w:val="%1.%2.%3.%4.%5.%6.%7.%8."/>
      <w:lvlJc w:val="left"/>
      <w:pPr>
        <w:ind w:left="1440" w:hanging="1440"/>
      </w:pPr>
      <w:rPr>
        <w:rFonts w:hint="default"/>
        <w:b/>
      </w:rPr>
    </w:lvl>
    <w:lvl w:ilvl="8" w:tentative="0">
      <w:start w:val="1"/>
      <w:numFmt w:val="decimal"/>
      <w:lvlText w:val="%1.%2.%3.%4.%5.%6.%7.%8.%9."/>
      <w:lvlJc w:val="left"/>
      <w:pPr>
        <w:ind w:left="1800" w:hanging="1800"/>
      </w:pPr>
      <w:rPr>
        <w:rFonts w:hint="default"/>
        <w:b/>
      </w:rPr>
    </w:lvl>
  </w:abstractNum>
  <w:abstractNum w:abstractNumId="31">
    <w:nsid w:val="676422F9"/>
    <w:multiLevelType w:val="multilevel"/>
    <w:tmpl w:val="676422F9"/>
    <w:lvl w:ilvl="0" w:tentative="0">
      <w:start w:val="3"/>
      <w:numFmt w:val="decimal"/>
      <w:lvlText w:val="%1."/>
      <w:lvlJc w:val="left"/>
      <w:pPr>
        <w:ind w:left="360" w:hanging="360"/>
      </w:pPr>
      <w:rPr>
        <w:rFonts w:hint="default"/>
      </w:rPr>
    </w:lvl>
    <w:lvl w:ilvl="1" w:tentative="0">
      <w:start w:val="1"/>
      <w:numFmt w:val="decimal"/>
      <w:lvlText w:val="%1.%2."/>
      <w:lvlJc w:val="left"/>
      <w:pPr>
        <w:ind w:left="720" w:hanging="720"/>
      </w:pPr>
      <w:rPr>
        <w:rFonts w:hint="default"/>
        <w:b/>
        <w:bCs/>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32">
    <w:nsid w:val="688C7FAA"/>
    <w:multiLevelType w:val="multilevel"/>
    <w:tmpl w:val="688C7FAA"/>
    <w:lvl w:ilvl="0" w:tentative="0">
      <w:start w:val="1"/>
      <w:numFmt w:val="decimal"/>
      <w:lvlText w:val="%1."/>
      <w:lvlJc w:val="left"/>
      <w:pPr>
        <w:ind w:left="1773" w:hanging="705"/>
      </w:pPr>
      <w:rPr>
        <w:rFonts w:hint="default"/>
      </w:rPr>
    </w:lvl>
    <w:lvl w:ilvl="1" w:tentative="0">
      <w:start w:val="1"/>
      <w:numFmt w:val="lowerLetter"/>
      <w:lvlText w:val="%2."/>
      <w:lvlJc w:val="left"/>
      <w:pPr>
        <w:ind w:left="2148" w:hanging="360"/>
      </w:pPr>
    </w:lvl>
    <w:lvl w:ilvl="2" w:tentative="0">
      <w:start w:val="1"/>
      <w:numFmt w:val="lowerRoman"/>
      <w:lvlText w:val="%3."/>
      <w:lvlJc w:val="right"/>
      <w:pPr>
        <w:ind w:left="2868" w:hanging="180"/>
      </w:pPr>
    </w:lvl>
    <w:lvl w:ilvl="3" w:tentative="0">
      <w:start w:val="1"/>
      <w:numFmt w:val="decimal"/>
      <w:lvlText w:val="%4."/>
      <w:lvlJc w:val="left"/>
      <w:pPr>
        <w:ind w:left="3588" w:hanging="360"/>
      </w:pPr>
    </w:lvl>
    <w:lvl w:ilvl="4" w:tentative="0">
      <w:start w:val="1"/>
      <w:numFmt w:val="lowerLetter"/>
      <w:lvlText w:val="%5."/>
      <w:lvlJc w:val="left"/>
      <w:pPr>
        <w:ind w:left="4308" w:hanging="360"/>
      </w:pPr>
    </w:lvl>
    <w:lvl w:ilvl="5" w:tentative="0">
      <w:start w:val="1"/>
      <w:numFmt w:val="lowerRoman"/>
      <w:lvlText w:val="%6."/>
      <w:lvlJc w:val="right"/>
      <w:pPr>
        <w:ind w:left="5028" w:hanging="180"/>
      </w:pPr>
    </w:lvl>
    <w:lvl w:ilvl="6" w:tentative="0">
      <w:start w:val="1"/>
      <w:numFmt w:val="decimal"/>
      <w:lvlText w:val="%7."/>
      <w:lvlJc w:val="left"/>
      <w:pPr>
        <w:ind w:left="5748" w:hanging="360"/>
      </w:pPr>
    </w:lvl>
    <w:lvl w:ilvl="7" w:tentative="0">
      <w:start w:val="1"/>
      <w:numFmt w:val="lowerLetter"/>
      <w:lvlText w:val="%8."/>
      <w:lvlJc w:val="left"/>
      <w:pPr>
        <w:ind w:left="6468" w:hanging="360"/>
      </w:pPr>
    </w:lvl>
    <w:lvl w:ilvl="8" w:tentative="0">
      <w:start w:val="1"/>
      <w:numFmt w:val="lowerRoman"/>
      <w:lvlText w:val="%9."/>
      <w:lvlJc w:val="right"/>
      <w:pPr>
        <w:ind w:left="7188" w:hanging="180"/>
      </w:pPr>
    </w:lvl>
  </w:abstractNum>
  <w:abstractNum w:abstractNumId="33">
    <w:nsid w:val="6BC6624F"/>
    <w:multiLevelType w:val="multilevel"/>
    <w:tmpl w:val="6BC6624F"/>
    <w:lvl w:ilvl="0" w:tentative="0">
      <w:start w:val="3"/>
      <w:numFmt w:val="decimal"/>
      <w:lvlText w:val="%1"/>
      <w:lvlJc w:val="left"/>
      <w:pPr>
        <w:ind w:left="360" w:hanging="360"/>
      </w:pPr>
      <w:rPr>
        <w:rFonts w:hint="default"/>
      </w:rPr>
    </w:lvl>
    <w:lvl w:ilvl="1" w:tentative="0">
      <w:start w:val="1"/>
      <w:numFmt w:val="decimal"/>
      <w:lvlText w:val="%1.%2"/>
      <w:lvlJc w:val="left"/>
      <w:pPr>
        <w:ind w:left="502" w:hanging="360"/>
      </w:pPr>
      <w:rPr>
        <w:rFonts w:hint="default"/>
      </w:rPr>
    </w:lvl>
    <w:lvl w:ilvl="2" w:tentative="0">
      <w:start w:val="1"/>
      <w:numFmt w:val="decimal"/>
      <w:lvlText w:val="%1.%2.%3"/>
      <w:lvlJc w:val="left"/>
      <w:pPr>
        <w:ind w:left="1004" w:hanging="720"/>
      </w:pPr>
      <w:rPr>
        <w:rFonts w:hint="default"/>
      </w:rPr>
    </w:lvl>
    <w:lvl w:ilvl="3" w:tentative="0">
      <w:start w:val="1"/>
      <w:numFmt w:val="decimal"/>
      <w:lvlText w:val="%1.%2.%3.%4"/>
      <w:lvlJc w:val="left"/>
      <w:pPr>
        <w:ind w:left="1146" w:hanging="720"/>
      </w:pPr>
      <w:rPr>
        <w:rFonts w:hint="default"/>
      </w:rPr>
    </w:lvl>
    <w:lvl w:ilvl="4" w:tentative="0">
      <w:start w:val="1"/>
      <w:numFmt w:val="decimalZero"/>
      <w:lvlText w:val="%1.%2.%3.%4.%5"/>
      <w:lvlJc w:val="left"/>
      <w:pPr>
        <w:ind w:left="1648" w:hanging="1080"/>
      </w:pPr>
      <w:rPr>
        <w:rFonts w:hint="default"/>
      </w:rPr>
    </w:lvl>
    <w:lvl w:ilvl="5" w:tentative="0">
      <w:start w:val="1"/>
      <w:numFmt w:val="decimal"/>
      <w:lvlText w:val="%1.%2.%3.%4.%5.%6"/>
      <w:lvlJc w:val="left"/>
      <w:pPr>
        <w:ind w:left="1790" w:hanging="1080"/>
      </w:pPr>
      <w:rPr>
        <w:rFonts w:hint="default"/>
      </w:rPr>
    </w:lvl>
    <w:lvl w:ilvl="6" w:tentative="0">
      <w:start w:val="1"/>
      <w:numFmt w:val="decimal"/>
      <w:lvlText w:val="%1.%2.%3.%4.%5.%6.%7"/>
      <w:lvlJc w:val="left"/>
      <w:pPr>
        <w:ind w:left="2292" w:hanging="1440"/>
      </w:pPr>
      <w:rPr>
        <w:rFonts w:hint="default"/>
      </w:rPr>
    </w:lvl>
    <w:lvl w:ilvl="7" w:tentative="0">
      <w:start w:val="1"/>
      <w:numFmt w:val="decimal"/>
      <w:lvlText w:val="%1.%2.%3.%4.%5.%6.%7.%8"/>
      <w:lvlJc w:val="left"/>
      <w:pPr>
        <w:ind w:left="2434" w:hanging="1440"/>
      </w:pPr>
      <w:rPr>
        <w:rFonts w:hint="default"/>
      </w:rPr>
    </w:lvl>
    <w:lvl w:ilvl="8" w:tentative="0">
      <w:start w:val="1"/>
      <w:numFmt w:val="decimal"/>
      <w:lvlText w:val="%1.%2.%3.%4.%5.%6.%7.%8.%9"/>
      <w:lvlJc w:val="left"/>
      <w:pPr>
        <w:ind w:left="2936" w:hanging="1800"/>
      </w:pPr>
      <w:rPr>
        <w:rFonts w:hint="default"/>
      </w:rPr>
    </w:lvl>
  </w:abstractNum>
  <w:abstractNum w:abstractNumId="34">
    <w:nsid w:val="6E3A7BC6"/>
    <w:multiLevelType w:val="multilevel"/>
    <w:tmpl w:val="6E3A7BC6"/>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73D32EB2"/>
    <w:multiLevelType w:val="multilevel"/>
    <w:tmpl w:val="73D32EB2"/>
    <w:lvl w:ilvl="0" w:tentative="0">
      <w:start w:val="4"/>
      <w:numFmt w:val="decimal"/>
      <w:lvlText w:val="%1."/>
      <w:lvlJc w:val="left"/>
      <w:pPr>
        <w:ind w:left="720" w:hanging="360"/>
      </w:pPr>
      <w:rPr>
        <w:rFonts w:hint="default"/>
      </w:rPr>
    </w:lvl>
    <w:lvl w:ilvl="1" w:tentative="0">
      <w:start w:val="4"/>
      <w:numFmt w:val="decimal"/>
      <w:isLgl/>
      <w:lvlText w:val="%1.%2"/>
      <w:lvlJc w:val="left"/>
      <w:pPr>
        <w:ind w:left="720" w:hanging="36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080" w:hanging="720"/>
      </w:pPr>
      <w:rPr>
        <w:rFonts w:hint="default"/>
      </w:rPr>
    </w:lvl>
    <w:lvl w:ilvl="4" w:tentative="0">
      <w:start w:val="1"/>
      <w:numFmt w:val="decimalZero"/>
      <w:isLgl/>
      <w:lvlText w:val="%1.%2.%3.%4.%5"/>
      <w:lvlJc w:val="left"/>
      <w:pPr>
        <w:ind w:left="1440" w:hanging="1080"/>
      </w:pPr>
      <w:rPr>
        <w:rFonts w:hint="default"/>
      </w:rPr>
    </w:lvl>
    <w:lvl w:ilvl="5" w:tentative="0">
      <w:start w:val="1"/>
      <w:numFmt w:val="decimal"/>
      <w:isLgl/>
      <w:lvlText w:val="%1.%2.%3.%4.%5.%6"/>
      <w:lvlJc w:val="left"/>
      <w:pPr>
        <w:ind w:left="1440" w:hanging="108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1800" w:hanging="1440"/>
      </w:pPr>
      <w:rPr>
        <w:rFonts w:hint="default"/>
      </w:rPr>
    </w:lvl>
    <w:lvl w:ilvl="8" w:tentative="0">
      <w:start w:val="1"/>
      <w:numFmt w:val="decimal"/>
      <w:isLgl/>
      <w:lvlText w:val="%1.%2.%3.%4.%5.%6.%7.%8.%9"/>
      <w:lvlJc w:val="left"/>
      <w:pPr>
        <w:ind w:left="2160" w:hanging="1800"/>
      </w:pPr>
      <w:rPr>
        <w:rFonts w:hint="default"/>
      </w:rPr>
    </w:lvl>
  </w:abstractNum>
  <w:abstractNum w:abstractNumId="36">
    <w:nsid w:val="7A666031"/>
    <w:multiLevelType w:val="multilevel"/>
    <w:tmpl w:val="7A666031"/>
    <w:lvl w:ilvl="0" w:tentative="0">
      <w:start w:val="4"/>
      <w:numFmt w:val="decimal"/>
      <w:lvlText w:val="%1"/>
      <w:lvlJc w:val="left"/>
      <w:pPr>
        <w:ind w:left="480" w:hanging="480"/>
      </w:pPr>
      <w:rPr>
        <w:rFonts w:hint="default"/>
      </w:rPr>
    </w:lvl>
    <w:lvl w:ilvl="1" w:tentative="0">
      <w:start w:val="1"/>
      <w:numFmt w:val="decimal"/>
      <w:lvlText w:val="%1.%2"/>
      <w:lvlJc w:val="left"/>
      <w:pPr>
        <w:ind w:left="510" w:hanging="480"/>
      </w:pPr>
      <w:rPr>
        <w:rFonts w:hint="default"/>
      </w:rPr>
    </w:lvl>
    <w:lvl w:ilvl="2" w:tentative="0">
      <w:start w:val="3"/>
      <w:numFmt w:val="decimal"/>
      <w:lvlText w:val="%1.%2.%3"/>
      <w:lvlJc w:val="left"/>
      <w:pPr>
        <w:ind w:left="780" w:hanging="720"/>
      </w:pPr>
      <w:rPr>
        <w:rFonts w:hint="default"/>
      </w:rPr>
    </w:lvl>
    <w:lvl w:ilvl="3" w:tentative="0">
      <w:start w:val="1"/>
      <w:numFmt w:val="decimal"/>
      <w:lvlText w:val="%1.%2.%3.%4"/>
      <w:lvlJc w:val="left"/>
      <w:pPr>
        <w:ind w:left="810" w:hanging="720"/>
      </w:pPr>
      <w:rPr>
        <w:rFonts w:hint="default"/>
      </w:rPr>
    </w:lvl>
    <w:lvl w:ilvl="4" w:tentative="0">
      <w:start w:val="1"/>
      <w:numFmt w:val="decimalZero"/>
      <w:lvlText w:val="%1.%2.%3.%4.%5"/>
      <w:lvlJc w:val="left"/>
      <w:pPr>
        <w:ind w:left="1200" w:hanging="1080"/>
      </w:pPr>
      <w:rPr>
        <w:rFonts w:hint="default"/>
      </w:rPr>
    </w:lvl>
    <w:lvl w:ilvl="5" w:tentative="0">
      <w:start w:val="1"/>
      <w:numFmt w:val="decimal"/>
      <w:lvlText w:val="%1.%2.%3.%4.%5.%6"/>
      <w:lvlJc w:val="left"/>
      <w:pPr>
        <w:ind w:left="1230" w:hanging="1080"/>
      </w:pPr>
      <w:rPr>
        <w:rFonts w:hint="default"/>
      </w:rPr>
    </w:lvl>
    <w:lvl w:ilvl="6" w:tentative="0">
      <w:start w:val="1"/>
      <w:numFmt w:val="decimal"/>
      <w:lvlText w:val="%1.%2.%3.%4.%5.%6.%7"/>
      <w:lvlJc w:val="left"/>
      <w:pPr>
        <w:ind w:left="1620" w:hanging="1440"/>
      </w:pPr>
      <w:rPr>
        <w:rFonts w:hint="default"/>
      </w:rPr>
    </w:lvl>
    <w:lvl w:ilvl="7" w:tentative="0">
      <w:start w:val="1"/>
      <w:numFmt w:val="decimal"/>
      <w:lvlText w:val="%1.%2.%3.%4.%5.%6.%7.%8"/>
      <w:lvlJc w:val="left"/>
      <w:pPr>
        <w:ind w:left="1650" w:hanging="1440"/>
      </w:pPr>
      <w:rPr>
        <w:rFonts w:hint="default"/>
      </w:rPr>
    </w:lvl>
    <w:lvl w:ilvl="8" w:tentative="0">
      <w:start w:val="1"/>
      <w:numFmt w:val="decimal"/>
      <w:lvlText w:val="%1.%2.%3.%4.%5.%6.%7.%8.%9"/>
      <w:lvlJc w:val="left"/>
      <w:pPr>
        <w:ind w:left="2040" w:hanging="1800"/>
      </w:pPr>
      <w:rPr>
        <w:rFonts w:hint="default"/>
      </w:rPr>
    </w:lvl>
  </w:abstractNum>
  <w:abstractNum w:abstractNumId="37">
    <w:nsid w:val="7AE56924"/>
    <w:multiLevelType w:val="multilevel"/>
    <w:tmpl w:val="7AE56924"/>
    <w:lvl w:ilvl="0" w:tentative="0">
      <w:start w:val="4"/>
      <w:numFmt w:val="decimal"/>
      <w:lvlText w:val="%1"/>
      <w:lvlJc w:val="left"/>
      <w:pPr>
        <w:ind w:left="360" w:hanging="360"/>
      </w:pPr>
      <w:rPr>
        <w:rFonts w:hint="default"/>
      </w:rPr>
    </w:lvl>
    <w:lvl w:ilvl="1" w:tentative="0">
      <w:start w:val="1"/>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38">
    <w:nsid w:val="7F7F08FF"/>
    <w:multiLevelType w:val="multilevel"/>
    <w:tmpl w:val="7F7F08FF"/>
    <w:lvl w:ilvl="0" w:tentative="0">
      <w:start w:val="1"/>
      <w:numFmt w:val="upperRoman"/>
      <w:lvlText w:val="%1)"/>
      <w:lvlJc w:val="left"/>
      <w:pPr>
        <w:ind w:left="2136" w:hanging="720"/>
      </w:pPr>
      <w:rPr>
        <w:rFonts w:hint="default"/>
      </w:rPr>
    </w:lvl>
    <w:lvl w:ilvl="1" w:tentative="0">
      <w:start w:val="1"/>
      <w:numFmt w:val="lowerLetter"/>
      <w:lvlText w:val="%2."/>
      <w:lvlJc w:val="left"/>
      <w:pPr>
        <w:ind w:left="2496" w:hanging="360"/>
      </w:pPr>
    </w:lvl>
    <w:lvl w:ilvl="2" w:tentative="0">
      <w:start w:val="1"/>
      <w:numFmt w:val="lowerRoman"/>
      <w:lvlText w:val="%3."/>
      <w:lvlJc w:val="right"/>
      <w:pPr>
        <w:ind w:left="3216" w:hanging="180"/>
      </w:pPr>
    </w:lvl>
    <w:lvl w:ilvl="3" w:tentative="0">
      <w:start w:val="1"/>
      <w:numFmt w:val="decimal"/>
      <w:lvlText w:val="%4."/>
      <w:lvlJc w:val="left"/>
      <w:pPr>
        <w:ind w:left="3936" w:hanging="360"/>
      </w:pPr>
    </w:lvl>
    <w:lvl w:ilvl="4" w:tentative="0">
      <w:start w:val="1"/>
      <w:numFmt w:val="lowerLetter"/>
      <w:lvlText w:val="%5."/>
      <w:lvlJc w:val="left"/>
      <w:pPr>
        <w:ind w:left="4656" w:hanging="360"/>
      </w:pPr>
    </w:lvl>
    <w:lvl w:ilvl="5" w:tentative="0">
      <w:start w:val="1"/>
      <w:numFmt w:val="lowerRoman"/>
      <w:lvlText w:val="%6."/>
      <w:lvlJc w:val="right"/>
      <w:pPr>
        <w:ind w:left="5376" w:hanging="180"/>
      </w:pPr>
    </w:lvl>
    <w:lvl w:ilvl="6" w:tentative="0">
      <w:start w:val="1"/>
      <w:numFmt w:val="decimal"/>
      <w:lvlText w:val="%7."/>
      <w:lvlJc w:val="left"/>
      <w:pPr>
        <w:ind w:left="6096" w:hanging="360"/>
      </w:pPr>
    </w:lvl>
    <w:lvl w:ilvl="7" w:tentative="0">
      <w:start w:val="1"/>
      <w:numFmt w:val="lowerLetter"/>
      <w:lvlText w:val="%8."/>
      <w:lvlJc w:val="left"/>
      <w:pPr>
        <w:ind w:left="6816" w:hanging="360"/>
      </w:pPr>
    </w:lvl>
    <w:lvl w:ilvl="8" w:tentative="0">
      <w:start w:val="1"/>
      <w:numFmt w:val="lowerRoman"/>
      <w:lvlText w:val="%9."/>
      <w:lvlJc w:val="right"/>
      <w:pPr>
        <w:ind w:left="7536" w:hanging="180"/>
      </w:pPr>
    </w:lvl>
  </w:abstractNum>
  <w:num w:numId="1">
    <w:abstractNumId w:val="0"/>
  </w:num>
  <w:num w:numId="2">
    <w:abstractNumId w:val="8"/>
  </w:num>
  <w:num w:numId="3">
    <w:abstractNumId w:val="26"/>
  </w:num>
  <w:num w:numId="4">
    <w:abstractNumId w:val="18"/>
  </w:num>
  <w:num w:numId="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4"/>
  </w:num>
  <w:num w:numId="8">
    <w:abstractNumId w:val="30"/>
  </w:num>
  <w:num w:numId="9">
    <w:abstractNumId w:val="29"/>
  </w:num>
  <w:num w:numId="10">
    <w:abstractNumId w:val="27"/>
  </w:num>
  <w:num w:numId="11">
    <w:abstractNumId w:val="5"/>
  </w:num>
  <w:num w:numId="12">
    <w:abstractNumId w:val="12"/>
  </w:num>
  <w:num w:numId="13">
    <w:abstractNumId w:val="13"/>
  </w:num>
  <w:num w:numId="14">
    <w:abstractNumId w:val="25"/>
  </w:num>
  <w:num w:numId="15">
    <w:abstractNumId w:val="21"/>
  </w:num>
  <w:num w:numId="16">
    <w:abstractNumId w:val="33"/>
  </w:num>
  <w:num w:numId="17">
    <w:abstractNumId w:val="35"/>
  </w:num>
  <w:num w:numId="18">
    <w:abstractNumId w:val="36"/>
  </w:num>
  <w:num w:numId="19">
    <w:abstractNumId w:val="15"/>
  </w:num>
  <w:num w:numId="20">
    <w:abstractNumId w:val="8"/>
    <w:lvlOverride w:ilvl="0">
      <w:startOverride w:val="7"/>
    </w:lvlOverride>
    <w:lvlOverride w:ilvl="1">
      <w:startOverride w:val="2"/>
    </w:lvlOverride>
  </w:num>
  <w:num w:numId="21">
    <w:abstractNumId w:val="38"/>
  </w:num>
  <w:num w:numId="22">
    <w:abstractNumId w:val="11"/>
  </w:num>
  <w:num w:numId="23">
    <w:abstractNumId w:val="31"/>
  </w:num>
  <w:num w:numId="24">
    <w:abstractNumId w:val="32"/>
  </w:num>
  <w:num w:numId="25">
    <w:abstractNumId w:val="24"/>
  </w:num>
  <w:num w:numId="26">
    <w:abstractNumId w:val="19"/>
  </w:num>
  <w:num w:numId="27">
    <w:abstractNumId w:val="23"/>
  </w:num>
  <w:num w:numId="28">
    <w:abstractNumId w:val="20"/>
  </w:num>
  <w:num w:numId="29">
    <w:abstractNumId w:val="10"/>
  </w:num>
  <w:num w:numId="30">
    <w:abstractNumId w:val="1"/>
  </w:num>
  <w:num w:numId="31">
    <w:abstractNumId w:val="4"/>
  </w:num>
  <w:num w:numId="32">
    <w:abstractNumId w:val="34"/>
  </w:num>
  <w:num w:numId="33">
    <w:abstractNumId w:val="16"/>
  </w:num>
  <w:num w:numId="34">
    <w:abstractNumId w:val="37"/>
  </w:num>
  <w:num w:numId="35">
    <w:abstractNumId w:val="6"/>
  </w:num>
  <w:num w:numId="36">
    <w:abstractNumId w:val="22"/>
  </w:num>
  <w:num w:numId="37">
    <w:abstractNumId w:val="7"/>
  </w:num>
  <w:num w:numId="38">
    <w:abstractNumId w:val="28"/>
  </w:num>
  <w:num w:numId="39">
    <w:abstractNumId w:val="17"/>
  </w:num>
  <w:num w:numId="40">
    <w:abstractNumId w:val="3"/>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autoHyphenation/>
  <w:hyphenationZone w:val="425"/>
  <w:characterSpacingControl w:val="doNotCompress"/>
  <w:hdrShapeDefaults>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28C"/>
    <w:rsid w:val="000202D1"/>
    <w:rsid w:val="00020F2E"/>
    <w:rsid w:val="000257C5"/>
    <w:rsid w:val="00025885"/>
    <w:rsid w:val="00027B72"/>
    <w:rsid w:val="00031950"/>
    <w:rsid w:val="00035BA0"/>
    <w:rsid w:val="00037FC5"/>
    <w:rsid w:val="00040310"/>
    <w:rsid w:val="000405D8"/>
    <w:rsid w:val="000406AA"/>
    <w:rsid w:val="00044645"/>
    <w:rsid w:val="00045051"/>
    <w:rsid w:val="00045A4B"/>
    <w:rsid w:val="0005170B"/>
    <w:rsid w:val="00051BE6"/>
    <w:rsid w:val="000556E8"/>
    <w:rsid w:val="0006387F"/>
    <w:rsid w:val="000679D6"/>
    <w:rsid w:val="000717EE"/>
    <w:rsid w:val="00074676"/>
    <w:rsid w:val="00074FED"/>
    <w:rsid w:val="000751F7"/>
    <w:rsid w:val="000771F4"/>
    <w:rsid w:val="00077D06"/>
    <w:rsid w:val="00083239"/>
    <w:rsid w:val="00095E50"/>
    <w:rsid w:val="000A3915"/>
    <w:rsid w:val="000A64DE"/>
    <w:rsid w:val="000A67BE"/>
    <w:rsid w:val="000B251C"/>
    <w:rsid w:val="000C0B58"/>
    <w:rsid w:val="000C13CA"/>
    <w:rsid w:val="000C4057"/>
    <w:rsid w:val="000C5A75"/>
    <w:rsid w:val="000C709E"/>
    <w:rsid w:val="000C7F42"/>
    <w:rsid w:val="000D3009"/>
    <w:rsid w:val="000D30AB"/>
    <w:rsid w:val="000D6D31"/>
    <w:rsid w:val="000E0496"/>
    <w:rsid w:val="000E2F7C"/>
    <w:rsid w:val="000E3880"/>
    <w:rsid w:val="000E6E27"/>
    <w:rsid w:val="000F0389"/>
    <w:rsid w:val="000F3885"/>
    <w:rsid w:val="000F6D5A"/>
    <w:rsid w:val="00104F7A"/>
    <w:rsid w:val="00107C3C"/>
    <w:rsid w:val="001104B5"/>
    <w:rsid w:val="00111FDD"/>
    <w:rsid w:val="00113D99"/>
    <w:rsid w:val="00114AB6"/>
    <w:rsid w:val="00120F86"/>
    <w:rsid w:val="00121979"/>
    <w:rsid w:val="001251EF"/>
    <w:rsid w:val="001271E1"/>
    <w:rsid w:val="00130824"/>
    <w:rsid w:val="001318D3"/>
    <w:rsid w:val="001320F7"/>
    <w:rsid w:val="00141F91"/>
    <w:rsid w:val="001429E4"/>
    <w:rsid w:val="001463E8"/>
    <w:rsid w:val="00146ED8"/>
    <w:rsid w:val="00147A28"/>
    <w:rsid w:val="001531D5"/>
    <w:rsid w:val="00160772"/>
    <w:rsid w:val="00163E26"/>
    <w:rsid w:val="00167F2A"/>
    <w:rsid w:val="001729F2"/>
    <w:rsid w:val="00173796"/>
    <w:rsid w:val="00176266"/>
    <w:rsid w:val="001764C9"/>
    <w:rsid w:val="001776B3"/>
    <w:rsid w:val="00184505"/>
    <w:rsid w:val="001859D3"/>
    <w:rsid w:val="00187459"/>
    <w:rsid w:val="001A32DE"/>
    <w:rsid w:val="001B126F"/>
    <w:rsid w:val="001B2E69"/>
    <w:rsid w:val="001B3254"/>
    <w:rsid w:val="001B3944"/>
    <w:rsid w:val="001B40A9"/>
    <w:rsid w:val="001C5368"/>
    <w:rsid w:val="001C78E6"/>
    <w:rsid w:val="001D34E1"/>
    <w:rsid w:val="001D5413"/>
    <w:rsid w:val="001E1246"/>
    <w:rsid w:val="001E22FA"/>
    <w:rsid w:val="001E3192"/>
    <w:rsid w:val="001F4944"/>
    <w:rsid w:val="002028F0"/>
    <w:rsid w:val="002143E4"/>
    <w:rsid w:val="00216B5C"/>
    <w:rsid w:val="0021714D"/>
    <w:rsid w:val="00217B88"/>
    <w:rsid w:val="0022172F"/>
    <w:rsid w:val="00221A10"/>
    <w:rsid w:val="0023005A"/>
    <w:rsid w:val="00230953"/>
    <w:rsid w:val="00230B94"/>
    <w:rsid w:val="0023148F"/>
    <w:rsid w:val="002321FD"/>
    <w:rsid w:val="00232911"/>
    <w:rsid w:val="00235AF3"/>
    <w:rsid w:val="00240404"/>
    <w:rsid w:val="00247D43"/>
    <w:rsid w:val="00250C33"/>
    <w:rsid w:val="002533E1"/>
    <w:rsid w:val="002538DA"/>
    <w:rsid w:val="00256A7C"/>
    <w:rsid w:val="00266404"/>
    <w:rsid w:val="002664BA"/>
    <w:rsid w:val="00270247"/>
    <w:rsid w:val="00272797"/>
    <w:rsid w:val="00277F73"/>
    <w:rsid w:val="00282FD3"/>
    <w:rsid w:val="00283D86"/>
    <w:rsid w:val="002841FB"/>
    <w:rsid w:val="0029014E"/>
    <w:rsid w:val="00294388"/>
    <w:rsid w:val="002A0A60"/>
    <w:rsid w:val="002A2BFA"/>
    <w:rsid w:val="002A627D"/>
    <w:rsid w:val="002A6417"/>
    <w:rsid w:val="002A78D0"/>
    <w:rsid w:val="002B0B0E"/>
    <w:rsid w:val="002B24A5"/>
    <w:rsid w:val="002B599D"/>
    <w:rsid w:val="002C36BE"/>
    <w:rsid w:val="002C515C"/>
    <w:rsid w:val="002D60B2"/>
    <w:rsid w:val="002E0CC4"/>
    <w:rsid w:val="002E3330"/>
    <w:rsid w:val="002F6377"/>
    <w:rsid w:val="00304F0B"/>
    <w:rsid w:val="003128FA"/>
    <w:rsid w:val="00315541"/>
    <w:rsid w:val="0031579E"/>
    <w:rsid w:val="003214F4"/>
    <w:rsid w:val="00323E58"/>
    <w:rsid w:val="00324B56"/>
    <w:rsid w:val="00331591"/>
    <w:rsid w:val="00331715"/>
    <w:rsid w:val="0033254E"/>
    <w:rsid w:val="00332F0A"/>
    <w:rsid w:val="003345A0"/>
    <w:rsid w:val="00337DBA"/>
    <w:rsid w:val="00340743"/>
    <w:rsid w:val="003417FB"/>
    <w:rsid w:val="0034352B"/>
    <w:rsid w:val="00344730"/>
    <w:rsid w:val="00344E3B"/>
    <w:rsid w:val="00355BC0"/>
    <w:rsid w:val="00366214"/>
    <w:rsid w:val="003700D7"/>
    <w:rsid w:val="0037163C"/>
    <w:rsid w:val="0037207F"/>
    <w:rsid w:val="003767F8"/>
    <w:rsid w:val="00382860"/>
    <w:rsid w:val="00384F9A"/>
    <w:rsid w:val="00391E04"/>
    <w:rsid w:val="00393A17"/>
    <w:rsid w:val="00397BDC"/>
    <w:rsid w:val="003A4C57"/>
    <w:rsid w:val="003A5A75"/>
    <w:rsid w:val="003B4234"/>
    <w:rsid w:val="003C0206"/>
    <w:rsid w:val="003C1A8B"/>
    <w:rsid w:val="003C323F"/>
    <w:rsid w:val="003C76FA"/>
    <w:rsid w:val="003D0CF6"/>
    <w:rsid w:val="003D3C9E"/>
    <w:rsid w:val="003D40C3"/>
    <w:rsid w:val="003D7939"/>
    <w:rsid w:val="003D7D7B"/>
    <w:rsid w:val="003E0975"/>
    <w:rsid w:val="003E09FF"/>
    <w:rsid w:val="003E0DDD"/>
    <w:rsid w:val="003E1D82"/>
    <w:rsid w:val="003E20C1"/>
    <w:rsid w:val="003E27EF"/>
    <w:rsid w:val="003E5740"/>
    <w:rsid w:val="003E5E51"/>
    <w:rsid w:val="003E619C"/>
    <w:rsid w:val="003E7007"/>
    <w:rsid w:val="0040427E"/>
    <w:rsid w:val="00405CDA"/>
    <w:rsid w:val="0040776F"/>
    <w:rsid w:val="00424ED0"/>
    <w:rsid w:val="004254CF"/>
    <w:rsid w:val="00431C8B"/>
    <w:rsid w:val="00432C95"/>
    <w:rsid w:val="00435A52"/>
    <w:rsid w:val="00437514"/>
    <w:rsid w:val="00444A76"/>
    <w:rsid w:val="00444A77"/>
    <w:rsid w:val="00447216"/>
    <w:rsid w:val="00450D2A"/>
    <w:rsid w:val="0045468A"/>
    <w:rsid w:val="00454CCF"/>
    <w:rsid w:val="004559A1"/>
    <w:rsid w:val="004602B5"/>
    <w:rsid w:val="0046493C"/>
    <w:rsid w:val="004665A0"/>
    <w:rsid w:val="0046683E"/>
    <w:rsid w:val="004704A0"/>
    <w:rsid w:val="00470939"/>
    <w:rsid w:val="004726B0"/>
    <w:rsid w:val="0047340A"/>
    <w:rsid w:val="004763C3"/>
    <w:rsid w:val="004767A3"/>
    <w:rsid w:val="00476D47"/>
    <w:rsid w:val="004831F0"/>
    <w:rsid w:val="004849DB"/>
    <w:rsid w:val="00486CDD"/>
    <w:rsid w:val="00487583"/>
    <w:rsid w:val="004908F4"/>
    <w:rsid w:val="00490D9F"/>
    <w:rsid w:val="0049319D"/>
    <w:rsid w:val="004A188D"/>
    <w:rsid w:val="004A3C73"/>
    <w:rsid w:val="004B12CD"/>
    <w:rsid w:val="004B352F"/>
    <w:rsid w:val="004B5B36"/>
    <w:rsid w:val="004B7AF9"/>
    <w:rsid w:val="004C3540"/>
    <w:rsid w:val="004C66A4"/>
    <w:rsid w:val="004D2307"/>
    <w:rsid w:val="004D37B5"/>
    <w:rsid w:val="004D5B77"/>
    <w:rsid w:val="004D6171"/>
    <w:rsid w:val="004D7EDE"/>
    <w:rsid w:val="004F0660"/>
    <w:rsid w:val="004F0C08"/>
    <w:rsid w:val="004F2164"/>
    <w:rsid w:val="004F2C1E"/>
    <w:rsid w:val="004F384D"/>
    <w:rsid w:val="004F4B21"/>
    <w:rsid w:val="004F5749"/>
    <w:rsid w:val="00502E9B"/>
    <w:rsid w:val="00506241"/>
    <w:rsid w:val="00506F18"/>
    <w:rsid w:val="00507F23"/>
    <w:rsid w:val="00515173"/>
    <w:rsid w:val="00521FD6"/>
    <w:rsid w:val="00522BCC"/>
    <w:rsid w:val="00523380"/>
    <w:rsid w:val="005279D3"/>
    <w:rsid w:val="00533344"/>
    <w:rsid w:val="00533402"/>
    <w:rsid w:val="0054412D"/>
    <w:rsid w:val="005548A2"/>
    <w:rsid w:val="00570DBB"/>
    <w:rsid w:val="00571F5A"/>
    <w:rsid w:val="0057378D"/>
    <w:rsid w:val="00574A66"/>
    <w:rsid w:val="00577DE1"/>
    <w:rsid w:val="00590D6A"/>
    <w:rsid w:val="005952B6"/>
    <w:rsid w:val="005A6B9A"/>
    <w:rsid w:val="005A70B1"/>
    <w:rsid w:val="005B208F"/>
    <w:rsid w:val="005B762D"/>
    <w:rsid w:val="005D15F8"/>
    <w:rsid w:val="005D66C6"/>
    <w:rsid w:val="005F0392"/>
    <w:rsid w:val="006005F2"/>
    <w:rsid w:val="006035DC"/>
    <w:rsid w:val="00611B61"/>
    <w:rsid w:val="00617220"/>
    <w:rsid w:val="006232DF"/>
    <w:rsid w:val="0062608B"/>
    <w:rsid w:val="006270EE"/>
    <w:rsid w:val="0063540A"/>
    <w:rsid w:val="006424C9"/>
    <w:rsid w:val="00644183"/>
    <w:rsid w:val="00644259"/>
    <w:rsid w:val="00650653"/>
    <w:rsid w:val="00652888"/>
    <w:rsid w:val="00664CFB"/>
    <w:rsid w:val="00665F1D"/>
    <w:rsid w:val="00674D62"/>
    <w:rsid w:val="006751A4"/>
    <w:rsid w:val="006752F1"/>
    <w:rsid w:val="006758B4"/>
    <w:rsid w:val="00683E3B"/>
    <w:rsid w:val="0068697E"/>
    <w:rsid w:val="00686CAB"/>
    <w:rsid w:val="00687B67"/>
    <w:rsid w:val="00693411"/>
    <w:rsid w:val="00693DE7"/>
    <w:rsid w:val="006941B8"/>
    <w:rsid w:val="006954C5"/>
    <w:rsid w:val="0069596A"/>
    <w:rsid w:val="006A0B76"/>
    <w:rsid w:val="006A518F"/>
    <w:rsid w:val="006B2DF2"/>
    <w:rsid w:val="006B2FEB"/>
    <w:rsid w:val="006B3C7B"/>
    <w:rsid w:val="006B7C94"/>
    <w:rsid w:val="006C06DA"/>
    <w:rsid w:val="006C0A60"/>
    <w:rsid w:val="006E1229"/>
    <w:rsid w:val="006E4947"/>
    <w:rsid w:val="006E4AC0"/>
    <w:rsid w:val="006E7DC0"/>
    <w:rsid w:val="006F11ED"/>
    <w:rsid w:val="00702360"/>
    <w:rsid w:val="007059B6"/>
    <w:rsid w:val="007126BD"/>
    <w:rsid w:val="00714673"/>
    <w:rsid w:val="0072247A"/>
    <w:rsid w:val="00722A61"/>
    <w:rsid w:val="00723E2A"/>
    <w:rsid w:val="0073251B"/>
    <w:rsid w:val="00732ED9"/>
    <w:rsid w:val="007362CB"/>
    <w:rsid w:val="0074039A"/>
    <w:rsid w:val="00741264"/>
    <w:rsid w:val="007474BB"/>
    <w:rsid w:val="00747DAD"/>
    <w:rsid w:val="00754B8F"/>
    <w:rsid w:val="00754BE7"/>
    <w:rsid w:val="00760B8C"/>
    <w:rsid w:val="00761A02"/>
    <w:rsid w:val="00761A96"/>
    <w:rsid w:val="00765F36"/>
    <w:rsid w:val="00766253"/>
    <w:rsid w:val="00771CF4"/>
    <w:rsid w:val="00772599"/>
    <w:rsid w:val="00782BFB"/>
    <w:rsid w:val="0078364F"/>
    <w:rsid w:val="00785C02"/>
    <w:rsid w:val="00791BE3"/>
    <w:rsid w:val="0079347E"/>
    <w:rsid w:val="00796416"/>
    <w:rsid w:val="00796952"/>
    <w:rsid w:val="007A193C"/>
    <w:rsid w:val="007B5550"/>
    <w:rsid w:val="007B67E4"/>
    <w:rsid w:val="007B75A6"/>
    <w:rsid w:val="007C1E38"/>
    <w:rsid w:val="007C2829"/>
    <w:rsid w:val="007C6314"/>
    <w:rsid w:val="007C7786"/>
    <w:rsid w:val="007D0C25"/>
    <w:rsid w:val="007D15A6"/>
    <w:rsid w:val="007D200A"/>
    <w:rsid w:val="007D33F4"/>
    <w:rsid w:val="007D5BBC"/>
    <w:rsid w:val="007E5780"/>
    <w:rsid w:val="007F4491"/>
    <w:rsid w:val="007F44FE"/>
    <w:rsid w:val="007F702E"/>
    <w:rsid w:val="007F74F5"/>
    <w:rsid w:val="00804297"/>
    <w:rsid w:val="00811AF2"/>
    <w:rsid w:val="00814024"/>
    <w:rsid w:val="00814D3C"/>
    <w:rsid w:val="008165D5"/>
    <w:rsid w:val="00816F8E"/>
    <w:rsid w:val="00821AE7"/>
    <w:rsid w:val="00822DBE"/>
    <w:rsid w:val="00823C3B"/>
    <w:rsid w:val="00824E49"/>
    <w:rsid w:val="00824ED0"/>
    <w:rsid w:val="00830DE9"/>
    <w:rsid w:val="00833B76"/>
    <w:rsid w:val="008458A5"/>
    <w:rsid w:val="00852A21"/>
    <w:rsid w:val="00853D2A"/>
    <w:rsid w:val="0085790E"/>
    <w:rsid w:val="00864DB9"/>
    <w:rsid w:val="008651CE"/>
    <w:rsid w:val="0086577B"/>
    <w:rsid w:val="00871001"/>
    <w:rsid w:val="008752D4"/>
    <w:rsid w:val="00876A5C"/>
    <w:rsid w:val="008772C6"/>
    <w:rsid w:val="008807F7"/>
    <w:rsid w:val="00880938"/>
    <w:rsid w:val="0088228C"/>
    <w:rsid w:val="008822C0"/>
    <w:rsid w:val="008902C1"/>
    <w:rsid w:val="00892676"/>
    <w:rsid w:val="00893271"/>
    <w:rsid w:val="008A53EA"/>
    <w:rsid w:val="008B3AD8"/>
    <w:rsid w:val="008B7244"/>
    <w:rsid w:val="008C21E9"/>
    <w:rsid w:val="008C28CB"/>
    <w:rsid w:val="008C6B27"/>
    <w:rsid w:val="008D03A2"/>
    <w:rsid w:val="008D1742"/>
    <w:rsid w:val="008D1E5B"/>
    <w:rsid w:val="008D332C"/>
    <w:rsid w:val="008D5F5D"/>
    <w:rsid w:val="008E1384"/>
    <w:rsid w:val="008E2D29"/>
    <w:rsid w:val="008E348C"/>
    <w:rsid w:val="008E34C6"/>
    <w:rsid w:val="008E3876"/>
    <w:rsid w:val="008F03AE"/>
    <w:rsid w:val="008F129C"/>
    <w:rsid w:val="008F158F"/>
    <w:rsid w:val="008F3E3B"/>
    <w:rsid w:val="008F6D6D"/>
    <w:rsid w:val="00900E69"/>
    <w:rsid w:val="0090144F"/>
    <w:rsid w:val="00903234"/>
    <w:rsid w:val="00903CC6"/>
    <w:rsid w:val="0091181E"/>
    <w:rsid w:val="00917C09"/>
    <w:rsid w:val="00922C54"/>
    <w:rsid w:val="009308BC"/>
    <w:rsid w:val="00931065"/>
    <w:rsid w:val="00932E1D"/>
    <w:rsid w:val="00937E2E"/>
    <w:rsid w:val="00944046"/>
    <w:rsid w:val="00952067"/>
    <w:rsid w:val="00952D13"/>
    <w:rsid w:val="00955B6E"/>
    <w:rsid w:val="009627D7"/>
    <w:rsid w:val="00970FB8"/>
    <w:rsid w:val="00983BB7"/>
    <w:rsid w:val="00984467"/>
    <w:rsid w:val="00985527"/>
    <w:rsid w:val="0099397A"/>
    <w:rsid w:val="00994826"/>
    <w:rsid w:val="00995D93"/>
    <w:rsid w:val="009A22F1"/>
    <w:rsid w:val="009A6675"/>
    <w:rsid w:val="009B1D8C"/>
    <w:rsid w:val="009B4775"/>
    <w:rsid w:val="009B6073"/>
    <w:rsid w:val="009C1E59"/>
    <w:rsid w:val="009C41D9"/>
    <w:rsid w:val="009D2B4A"/>
    <w:rsid w:val="009D2EFB"/>
    <w:rsid w:val="009D5FC6"/>
    <w:rsid w:val="009E3784"/>
    <w:rsid w:val="009F2E17"/>
    <w:rsid w:val="009F55B5"/>
    <w:rsid w:val="009F60AB"/>
    <w:rsid w:val="009F724B"/>
    <w:rsid w:val="00A035BB"/>
    <w:rsid w:val="00A11862"/>
    <w:rsid w:val="00A12ED2"/>
    <w:rsid w:val="00A16027"/>
    <w:rsid w:val="00A176CF"/>
    <w:rsid w:val="00A20543"/>
    <w:rsid w:val="00A238C1"/>
    <w:rsid w:val="00A26E6F"/>
    <w:rsid w:val="00A27111"/>
    <w:rsid w:val="00A27C94"/>
    <w:rsid w:val="00A30095"/>
    <w:rsid w:val="00A34409"/>
    <w:rsid w:val="00A44A42"/>
    <w:rsid w:val="00A457B5"/>
    <w:rsid w:val="00A46D5F"/>
    <w:rsid w:val="00A47165"/>
    <w:rsid w:val="00A51471"/>
    <w:rsid w:val="00A52880"/>
    <w:rsid w:val="00A6486B"/>
    <w:rsid w:val="00A65C20"/>
    <w:rsid w:val="00A71EF6"/>
    <w:rsid w:val="00A72DB7"/>
    <w:rsid w:val="00A82F95"/>
    <w:rsid w:val="00A850E8"/>
    <w:rsid w:val="00A85252"/>
    <w:rsid w:val="00AA1F74"/>
    <w:rsid w:val="00AA2710"/>
    <w:rsid w:val="00AA2C2E"/>
    <w:rsid w:val="00AA7819"/>
    <w:rsid w:val="00AB0277"/>
    <w:rsid w:val="00AB2889"/>
    <w:rsid w:val="00AB3FC7"/>
    <w:rsid w:val="00AB5C07"/>
    <w:rsid w:val="00AC1D18"/>
    <w:rsid w:val="00AC3B81"/>
    <w:rsid w:val="00AC6D86"/>
    <w:rsid w:val="00AC7908"/>
    <w:rsid w:val="00AD1BC2"/>
    <w:rsid w:val="00AD4002"/>
    <w:rsid w:val="00AD5A1D"/>
    <w:rsid w:val="00AD6420"/>
    <w:rsid w:val="00AE24D0"/>
    <w:rsid w:val="00AE3CD7"/>
    <w:rsid w:val="00AE575D"/>
    <w:rsid w:val="00AF6AF2"/>
    <w:rsid w:val="00B00BA5"/>
    <w:rsid w:val="00B144DC"/>
    <w:rsid w:val="00B15D0B"/>
    <w:rsid w:val="00B22DFF"/>
    <w:rsid w:val="00B231BA"/>
    <w:rsid w:val="00B238A8"/>
    <w:rsid w:val="00B244EC"/>
    <w:rsid w:val="00B255B6"/>
    <w:rsid w:val="00B31F4F"/>
    <w:rsid w:val="00B37577"/>
    <w:rsid w:val="00B526B7"/>
    <w:rsid w:val="00B57E3E"/>
    <w:rsid w:val="00B664D5"/>
    <w:rsid w:val="00B70495"/>
    <w:rsid w:val="00B72AEB"/>
    <w:rsid w:val="00B7497B"/>
    <w:rsid w:val="00B75AAD"/>
    <w:rsid w:val="00B75B79"/>
    <w:rsid w:val="00B84723"/>
    <w:rsid w:val="00B943E7"/>
    <w:rsid w:val="00B96614"/>
    <w:rsid w:val="00B97087"/>
    <w:rsid w:val="00B97D66"/>
    <w:rsid w:val="00BA0334"/>
    <w:rsid w:val="00BA34C0"/>
    <w:rsid w:val="00BB366A"/>
    <w:rsid w:val="00BB6AA0"/>
    <w:rsid w:val="00BC1602"/>
    <w:rsid w:val="00BC2A88"/>
    <w:rsid w:val="00BC6710"/>
    <w:rsid w:val="00BC6DEA"/>
    <w:rsid w:val="00BD015D"/>
    <w:rsid w:val="00BD1A34"/>
    <w:rsid w:val="00BD25C3"/>
    <w:rsid w:val="00BE174D"/>
    <w:rsid w:val="00BE5F2F"/>
    <w:rsid w:val="00BE6790"/>
    <w:rsid w:val="00BE6E55"/>
    <w:rsid w:val="00BF19BD"/>
    <w:rsid w:val="00BF2F2E"/>
    <w:rsid w:val="00C103C2"/>
    <w:rsid w:val="00C119FE"/>
    <w:rsid w:val="00C1462C"/>
    <w:rsid w:val="00C15450"/>
    <w:rsid w:val="00C160B2"/>
    <w:rsid w:val="00C24A8E"/>
    <w:rsid w:val="00C30B7C"/>
    <w:rsid w:val="00C41298"/>
    <w:rsid w:val="00C41725"/>
    <w:rsid w:val="00C41788"/>
    <w:rsid w:val="00C43AF8"/>
    <w:rsid w:val="00C45715"/>
    <w:rsid w:val="00C45AA0"/>
    <w:rsid w:val="00C45B6C"/>
    <w:rsid w:val="00C46EB7"/>
    <w:rsid w:val="00C5276E"/>
    <w:rsid w:val="00C53A6F"/>
    <w:rsid w:val="00C550CA"/>
    <w:rsid w:val="00C55681"/>
    <w:rsid w:val="00C56BB9"/>
    <w:rsid w:val="00C57E82"/>
    <w:rsid w:val="00C71F09"/>
    <w:rsid w:val="00C720E4"/>
    <w:rsid w:val="00C74874"/>
    <w:rsid w:val="00C74DE4"/>
    <w:rsid w:val="00C75C0D"/>
    <w:rsid w:val="00C75E9F"/>
    <w:rsid w:val="00C77593"/>
    <w:rsid w:val="00C82D2D"/>
    <w:rsid w:val="00C850F4"/>
    <w:rsid w:val="00C9196E"/>
    <w:rsid w:val="00C92E02"/>
    <w:rsid w:val="00C94540"/>
    <w:rsid w:val="00C95186"/>
    <w:rsid w:val="00CA1545"/>
    <w:rsid w:val="00CA250F"/>
    <w:rsid w:val="00CA3384"/>
    <w:rsid w:val="00CB0008"/>
    <w:rsid w:val="00CB1A04"/>
    <w:rsid w:val="00CC1670"/>
    <w:rsid w:val="00CC527C"/>
    <w:rsid w:val="00CC5DE0"/>
    <w:rsid w:val="00CC6096"/>
    <w:rsid w:val="00CC61FE"/>
    <w:rsid w:val="00CD1066"/>
    <w:rsid w:val="00CD1415"/>
    <w:rsid w:val="00CD45E2"/>
    <w:rsid w:val="00CE0D72"/>
    <w:rsid w:val="00CF1AC9"/>
    <w:rsid w:val="00D02176"/>
    <w:rsid w:val="00D02F77"/>
    <w:rsid w:val="00D04FC1"/>
    <w:rsid w:val="00D05090"/>
    <w:rsid w:val="00D06332"/>
    <w:rsid w:val="00D07C37"/>
    <w:rsid w:val="00D104DE"/>
    <w:rsid w:val="00D117C3"/>
    <w:rsid w:val="00D1409A"/>
    <w:rsid w:val="00D158D5"/>
    <w:rsid w:val="00D207B7"/>
    <w:rsid w:val="00D20A29"/>
    <w:rsid w:val="00D21DE7"/>
    <w:rsid w:val="00D26D82"/>
    <w:rsid w:val="00D26E47"/>
    <w:rsid w:val="00D426D9"/>
    <w:rsid w:val="00D52023"/>
    <w:rsid w:val="00D52528"/>
    <w:rsid w:val="00D57E00"/>
    <w:rsid w:val="00D60C86"/>
    <w:rsid w:val="00D638F1"/>
    <w:rsid w:val="00D67EE9"/>
    <w:rsid w:val="00D74792"/>
    <w:rsid w:val="00D84597"/>
    <w:rsid w:val="00D86DBF"/>
    <w:rsid w:val="00D93CDC"/>
    <w:rsid w:val="00D94AF4"/>
    <w:rsid w:val="00DA0D5E"/>
    <w:rsid w:val="00DA6CD3"/>
    <w:rsid w:val="00DB3598"/>
    <w:rsid w:val="00DB6E3C"/>
    <w:rsid w:val="00DB7A0F"/>
    <w:rsid w:val="00DC04D0"/>
    <w:rsid w:val="00DD0185"/>
    <w:rsid w:val="00DD1B7F"/>
    <w:rsid w:val="00DD563F"/>
    <w:rsid w:val="00DE041C"/>
    <w:rsid w:val="00DE17DC"/>
    <w:rsid w:val="00DE6A32"/>
    <w:rsid w:val="00DF23E1"/>
    <w:rsid w:val="00DF2E00"/>
    <w:rsid w:val="00DF6678"/>
    <w:rsid w:val="00DF6D2C"/>
    <w:rsid w:val="00E10F4D"/>
    <w:rsid w:val="00E1302F"/>
    <w:rsid w:val="00E15095"/>
    <w:rsid w:val="00E1591C"/>
    <w:rsid w:val="00E176A8"/>
    <w:rsid w:val="00E17ECA"/>
    <w:rsid w:val="00E20DE5"/>
    <w:rsid w:val="00E231A0"/>
    <w:rsid w:val="00E25DC5"/>
    <w:rsid w:val="00E26CF5"/>
    <w:rsid w:val="00E27C9D"/>
    <w:rsid w:val="00E30ED5"/>
    <w:rsid w:val="00E32325"/>
    <w:rsid w:val="00E34DA0"/>
    <w:rsid w:val="00E352FB"/>
    <w:rsid w:val="00E37737"/>
    <w:rsid w:val="00E500E1"/>
    <w:rsid w:val="00E5741A"/>
    <w:rsid w:val="00E62D73"/>
    <w:rsid w:val="00E63E4E"/>
    <w:rsid w:val="00E67BEA"/>
    <w:rsid w:val="00E81F84"/>
    <w:rsid w:val="00E82274"/>
    <w:rsid w:val="00E85131"/>
    <w:rsid w:val="00E94400"/>
    <w:rsid w:val="00E96FCF"/>
    <w:rsid w:val="00EA1A80"/>
    <w:rsid w:val="00EA37DB"/>
    <w:rsid w:val="00EA54F4"/>
    <w:rsid w:val="00EA74D5"/>
    <w:rsid w:val="00EA7CD5"/>
    <w:rsid w:val="00EB29C3"/>
    <w:rsid w:val="00EB2A3A"/>
    <w:rsid w:val="00EB5BC9"/>
    <w:rsid w:val="00EC6BC7"/>
    <w:rsid w:val="00ED0C0C"/>
    <w:rsid w:val="00ED249A"/>
    <w:rsid w:val="00ED4C45"/>
    <w:rsid w:val="00ED66E9"/>
    <w:rsid w:val="00ED7F1B"/>
    <w:rsid w:val="00EE1BEB"/>
    <w:rsid w:val="00EE2BC1"/>
    <w:rsid w:val="00EE35E4"/>
    <w:rsid w:val="00EE673F"/>
    <w:rsid w:val="00EF199A"/>
    <w:rsid w:val="00EF3235"/>
    <w:rsid w:val="00EF79A6"/>
    <w:rsid w:val="00F0122C"/>
    <w:rsid w:val="00F01DFB"/>
    <w:rsid w:val="00F05669"/>
    <w:rsid w:val="00F077D6"/>
    <w:rsid w:val="00F1154A"/>
    <w:rsid w:val="00F20CC0"/>
    <w:rsid w:val="00F2154E"/>
    <w:rsid w:val="00F22750"/>
    <w:rsid w:val="00F23E4F"/>
    <w:rsid w:val="00F30199"/>
    <w:rsid w:val="00F314DF"/>
    <w:rsid w:val="00F47AEE"/>
    <w:rsid w:val="00F51D66"/>
    <w:rsid w:val="00F551D1"/>
    <w:rsid w:val="00F557DA"/>
    <w:rsid w:val="00F6219F"/>
    <w:rsid w:val="00F6629D"/>
    <w:rsid w:val="00F706CC"/>
    <w:rsid w:val="00F71257"/>
    <w:rsid w:val="00F773F8"/>
    <w:rsid w:val="00F77C07"/>
    <w:rsid w:val="00F84364"/>
    <w:rsid w:val="00F86945"/>
    <w:rsid w:val="00F8783C"/>
    <w:rsid w:val="00F93C37"/>
    <w:rsid w:val="00FA029D"/>
    <w:rsid w:val="00FB055E"/>
    <w:rsid w:val="00FB0EF5"/>
    <w:rsid w:val="00FB0FB2"/>
    <w:rsid w:val="00FB177E"/>
    <w:rsid w:val="00FB2D71"/>
    <w:rsid w:val="00FB3440"/>
    <w:rsid w:val="00FB697B"/>
    <w:rsid w:val="00FB759B"/>
    <w:rsid w:val="00FC020A"/>
    <w:rsid w:val="00FC02FC"/>
    <w:rsid w:val="00FC3EE2"/>
    <w:rsid w:val="00FC4224"/>
    <w:rsid w:val="00FC4662"/>
    <w:rsid w:val="00FD0172"/>
    <w:rsid w:val="00FD2855"/>
    <w:rsid w:val="00FD45D7"/>
    <w:rsid w:val="00FD4EA9"/>
    <w:rsid w:val="00FE1721"/>
    <w:rsid w:val="00FE222E"/>
    <w:rsid w:val="00FE3C37"/>
    <w:rsid w:val="00FE4A3D"/>
    <w:rsid w:val="00FE5087"/>
    <w:rsid w:val="00FE7592"/>
    <w:rsid w:val="00FE75B3"/>
    <w:rsid w:val="00FF1087"/>
    <w:rsid w:val="0EB129D3"/>
    <w:rsid w:val="2358620C"/>
    <w:rsid w:val="370C57E4"/>
    <w:rsid w:val="46A10DE6"/>
    <w:rsid w:val="4A77782A"/>
    <w:rsid w:val="506900B7"/>
    <w:rsid w:val="5A4B6C6D"/>
    <w:rsid w:val="5FF63F7F"/>
    <w:rsid w:val="680A7466"/>
    <w:rsid w:val="68DE6E9B"/>
    <w:rsid w:val="6C54676A"/>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nhideWhenUsed="0" w:uiPriority="0" w:semiHidden="0" w:name="heading 5"/>
    <w:lsdException w:qFormat="1"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uiPriority="99" w:semiHidden="0" w:name="header"/>
    <w:lsdException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semiHidden="0" w:name="List 2"/>
    <w:lsdException w:uiPriority="99" w:semiHidden="0" w:name="List 3"/>
    <w:lsdException w:uiPriority="99" w:semiHidden="0" w:name="List 4"/>
    <w:lsdException w:uiPriority="99" w:semiHidden="0" w:name="List 5"/>
    <w:lsdException w:uiPriority="99" w:name="List Bullet 2"/>
    <w:lsdException w:uiPriority="99" w:name="List Bullet 3"/>
    <w:lsdException w:uiPriority="99" w:name="List Bullet 4"/>
    <w:lsdException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0" w:semiHidden="0" w:name="Body Text Indent"/>
    <w:lsdException w:uiPriority="99" w:name="List Continue"/>
    <w:lsdException w:uiPriority="99" w:name="List Continue 2"/>
    <w:lsdException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semiHidden="0" w:name="Body Text First Indent"/>
    <w:lsdException w:uiPriority="99" w:semiHidden="0" w:name="Body Text First Indent 2"/>
    <w:lsdException w:uiPriority="99" w:name="Note Heading"/>
    <w:lsdException w:unhideWhenUsed="0" w:uiPriority="99" w:semiHidden="0" w:name="Body Text 2"/>
    <w:lsdException w:unhideWhenUsed="0" w:uiPriority="0" w:semiHidden="0" w:name="Body Text 3"/>
    <w:lsdException w:uiPriority="0"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nhideWhenUsed="0" w:uiPriority="0"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unhideWhenUsed="0" w:uiPriority="39" w:semiHidden="0" w:name="Table Grid"/>
    <w:lsdException w:uiPriority="99" w:name="Table Theme"/>
    <w:lsdException w:unhideWhenUsed="0" w:uiPriority="67" w:name="Placeholder Text"/>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pPr>
      <w:suppressAutoHyphens/>
    </w:pPr>
    <w:rPr>
      <w:rFonts w:ascii="Times New Roman" w:hAnsi="Times New Roman" w:eastAsia="Times New Roman" w:cs="Times New Roman"/>
      <w:sz w:val="24"/>
      <w:lang w:val="pt-BR" w:eastAsia="ar-SA" w:bidi="ar-SA"/>
    </w:rPr>
  </w:style>
  <w:style w:type="paragraph" w:styleId="2">
    <w:name w:val="heading 1"/>
    <w:basedOn w:val="1"/>
    <w:next w:val="1"/>
    <w:link w:val="50"/>
    <w:qFormat/>
    <w:uiPriority w:val="9"/>
    <w:pPr>
      <w:keepNext/>
      <w:keepLines/>
      <w:spacing w:before="240"/>
      <w:outlineLvl w:val="0"/>
    </w:pPr>
    <w:rPr>
      <w:rFonts w:ascii="Cambria" w:hAnsi="Cambria" w:eastAsia="Cambria" w:cs="Cambria"/>
      <w:color w:val="365F91"/>
      <w:sz w:val="32"/>
      <w:szCs w:val="32"/>
    </w:rPr>
  </w:style>
  <w:style w:type="paragraph" w:styleId="3">
    <w:name w:val="heading 2"/>
    <w:basedOn w:val="1"/>
    <w:next w:val="1"/>
    <w:link w:val="58"/>
    <w:qFormat/>
    <w:uiPriority w:val="0"/>
    <w:pPr>
      <w:keepNext/>
      <w:tabs>
        <w:tab w:val="left" w:pos="1701"/>
      </w:tabs>
      <w:suppressAutoHyphens w:val="0"/>
      <w:ind w:right="-1"/>
      <w:jc w:val="center"/>
      <w:outlineLvl w:val="1"/>
    </w:pPr>
    <w:rPr>
      <w:rFonts w:eastAsia="Calibri"/>
      <w:b/>
      <w:color w:val="000000"/>
      <w:lang w:eastAsia="pt-BR"/>
    </w:rPr>
  </w:style>
  <w:style w:type="paragraph" w:styleId="4">
    <w:name w:val="heading 3"/>
    <w:basedOn w:val="1"/>
    <w:next w:val="1"/>
    <w:link w:val="47"/>
    <w:qFormat/>
    <w:uiPriority w:val="9"/>
    <w:pPr>
      <w:keepNext/>
      <w:tabs>
        <w:tab w:val="left" w:pos="0"/>
      </w:tabs>
      <w:ind w:left="720" w:hanging="720"/>
      <w:jc w:val="center"/>
      <w:outlineLvl w:val="2"/>
    </w:pPr>
    <w:rPr>
      <w:rFonts w:ascii="Garamond" w:hAnsi="Garamond"/>
      <w:b/>
      <w:i/>
    </w:rPr>
  </w:style>
  <w:style w:type="paragraph" w:styleId="5">
    <w:name w:val="heading 4"/>
    <w:basedOn w:val="1"/>
    <w:next w:val="1"/>
    <w:link w:val="59"/>
    <w:unhideWhenUsed/>
    <w:qFormat/>
    <w:uiPriority w:val="0"/>
    <w:pPr>
      <w:keepNext/>
      <w:keepLines/>
      <w:suppressAutoHyphens w:val="0"/>
      <w:spacing w:before="40"/>
      <w:outlineLvl w:val="3"/>
    </w:pPr>
    <w:rPr>
      <w:rFonts w:ascii="Cambria" w:hAnsi="Cambria" w:eastAsia="Cambria" w:cs="Cambria"/>
      <w:i/>
      <w:iCs/>
      <w:color w:val="365F91"/>
      <w:szCs w:val="24"/>
      <w:lang w:eastAsia="pt-BR"/>
    </w:rPr>
  </w:style>
  <w:style w:type="paragraph" w:styleId="6">
    <w:name w:val="heading 5"/>
    <w:basedOn w:val="1"/>
    <w:next w:val="1"/>
    <w:link w:val="272"/>
    <w:qFormat/>
    <w:uiPriority w:val="0"/>
    <w:pPr>
      <w:tabs>
        <w:tab w:val="left" w:pos="1858"/>
      </w:tabs>
      <w:spacing w:before="240" w:after="60"/>
      <w:ind w:left="1858" w:hanging="1008"/>
      <w:outlineLvl w:val="4"/>
    </w:pPr>
    <w:rPr>
      <w:rFonts w:ascii="Calibri" w:hAnsi="Calibri" w:cs="Calibri"/>
      <w:b/>
      <w:bCs/>
      <w:i/>
      <w:iCs/>
      <w:sz w:val="26"/>
      <w:szCs w:val="26"/>
      <w:lang w:val="zh-CN" w:eastAsia="zh-CN"/>
    </w:rPr>
  </w:style>
  <w:style w:type="paragraph" w:styleId="7">
    <w:name w:val="heading 6"/>
    <w:basedOn w:val="1"/>
    <w:next w:val="1"/>
    <w:link w:val="192"/>
    <w:unhideWhenUsed/>
    <w:qFormat/>
    <w:uiPriority w:val="9"/>
    <w:pPr>
      <w:keepNext/>
      <w:keepLines/>
      <w:suppressAutoHyphens w:val="0"/>
      <w:spacing w:before="40" w:line="259" w:lineRule="auto"/>
      <w:outlineLvl w:val="5"/>
    </w:pPr>
    <w:rPr>
      <w:rFonts w:ascii="Calibri" w:hAnsi="Calibri" w:eastAsia="MS Gothic"/>
      <w:color w:val="243F60"/>
      <w:sz w:val="22"/>
      <w:szCs w:val="22"/>
      <w:lang w:eastAsia="en-US"/>
    </w:rPr>
  </w:style>
  <w:style w:type="paragraph" w:styleId="8">
    <w:name w:val="heading 7"/>
    <w:basedOn w:val="1"/>
    <w:next w:val="1"/>
    <w:link w:val="273"/>
    <w:qFormat/>
    <w:uiPriority w:val="0"/>
    <w:pPr>
      <w:tabs>
        <w:tab w:val="left" w:pos="2146"/>
      </w:tabs>
      <w:spacing w:before="240" w:after="60"/>
      <w:ind w:left="2146" w:hanging="1296"/>
      <w:outlineLvl w:val="6"/>
    </w:pPr>
    <w:rPr>
      <w:rFonts w:ascii="Calibri" w:hAnsi="Calibri" w:cs="Calibri"/>
      <w:szCs w:val="24"/>
      <w:lang w:val="zh-CN" w:eastAsia="zh-CN"/>
    </w:rPr>
  </w:style>
  <w:style w:type="paragraph" w:styleId="9">
    <w:name w:val="heading 8"/>
    <w:basedOn w:val="1"/>
    <w:next w:val="1"/>
    <w:link w:val="274"/>
    <w:qFormat/>
    <w:uiPriority w:val="0"/>
    <w:pPr>
      <w:keepNext/>
      <w:keepLines/>
      <w:widowControl w:val="0"/>
      <w:tabs>
        <w:tab w:val="left" w:pos="2290"/>
      </w:tabs>
      <w:overflowPunct w:val="0"/>
      <w:autoSpaceDE w:val="0"/>
      <w:spacing w:before="20"/>
      <w:ind w:firstLine="709"/>
      <w:jc w:val="center"/>
      <w:textAlignment w:val="baseline"/>
      <w:outlineLvl w:val="7"/>
    </w:pPr>
    <w:rPr>
      <w:rFonts w:ascii="Tahoma" w:hAnsi="Tahoma" w:cs="Tahoma"/>
      <w:b/>
      <w:sz w:val="22"/>
      <w:lang w:val="zh-CN" w:eastAsia="zh-CN"/>
    </w:rPr>
  </w:style>
  <w:style w:type="paragraph" w:styleId="10">
    <w:name w:val="heading 9"/>
    <w:basedOn w:val="1"/>
    <w:next w:val="1"/>
    <w:link w:val="275"/>
    <w:qFormat/>
    <w:uiPriority w:val="0"/>
    <w:pPr>
      <w:keepNext/>
      <w:keepLines/>
      <w:widowControl w:val="0"/>
      <w:tabs>
        <w:tab w:val="left" w:pos="709"/>
        <w:tab w:val="left" w:pos="1134"/>
        <w:tab w:val="left" w:pos="2434"/>
      </w:tabs>
      <w:overflowPunct w:val="0"/>
      <w:autoSpaceDE w:val="0"/>
      <w:spacing w:before="20"/>
      <w:ind w:left="2434" w:hanging="1584"/>
      <w:jc w:val="both"/>
      <w:textAlignment w:val="baseline"/>
      <w:outlineLvl w:val="8"/>
    </w:pPr>
    <w:rPr>
      <w:rFonts w:ascii="Tahoma" w:hAnsi="Tahoma" w:cs="Tahoma"/>
      <w:b/>
      <w:i/>
      <w:iCs/>
      <w:sz w:val="22"/>
      <w:u w:val="single"/>
      <w:lang w:val="zh-CN" w:eastAsia="zh-CN"/>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qFormat/>
    <w:uiPriority w:val="22"/>
    <w:rPr>
      <w:b/>
      <w:bCs/>
    </w:rPr>
  </w:style>
  <w:style w:type="character" w:styleId="14">
    <w:name w:val="annotation reference"/>
    <w:unhideWhenUsed/>
    <w:qFormat/>
    <w:uiPriority w:val="0"/>
    <w:rPr>
      <w:sz w:val="16"/>
      <w:szCs w:val="16"/>
    </w:rPr>
  </w:style>
  <w:style w:type="character" w:styleId="15">
    <w:name w:val="FollowedHyperlink"/>
    <w:semiHidden/>
    <w:unhideWhenUsed/>
    <w:qFormat/>
    <w:uiPriority w:val="99"/>
    <w:rPr>
      <w:color w:val="800080"/>
      <w:u w:val="single"/>
    </w:rPr>
  </w:style>
  <w:style w:type="character" w:styleId="16">
    <w:name w:val="Emphasis"/>
    <w:qFormat/>
    <w:uiPriority w:val="20"/>
    <w:rPr>
      <w:i/>
      <w:iCs/>
    </w:rPr>
  </w:style>
  <w:style w:type="character" w:styleId="17">
    <w:name w:val="Hyperlink"/>
    <w:qFormat/>
    <w:uiPriority w:val="0"/>
    <w:rPr>
      <w:color w:val="000080"/>
      <w:u w:val="single"/>
    </w:rPr>
  </w:style>
  <w:style w:type="character" w:styleId="18">
    <w:name w:val="page number"/>
    <w:qFormat/>
    <w:uiPriority w:val="0"/>
  </w:style>
  <w:style w:type="paragraph" w:styleId="19">
    <w:name w:val="List"/>
    <w:basedOn w:val="20"/>
    <w:qFormat/>
    <w:uiPriority w:val="0"/>
    <w:rPr>
      <w:rFonts w:cs="Lohit Devanagari"/>
    </w:rPr>
  </w:style>
  <w:style w:type="paragraph" w:styleId="20">
    <w:name w:val="Body Text"/>
    <w:basedOn w:val="1"/>
    <w:link w:val="82"/>
    <w:qFormat/>
    <w:uiPriority w:val="99"/>
    <w:pPr>
      <w:spacing w:after="140" w:line="276" w:lineRule="auto"/>
    </w:pPr>
  </w:style>
  <w:style w:type="paragraph" w:styleId="21">
    <w:name w:val="Body Text First Indent 2"/>
    <w:basedOn w:val="22"/>
    <w:link w:val="374"/>
    <w:unhideWhenUsed/>
    <w:uiPriority w:val="99"/>
    <w:pPr>
      <w:ind w:firstLine="210"/>
    </w:pPr>
    <w:rPr>
      <w:sz w:val="20"/>
      <w:lang w:eastAsia="zh-CN"/>
    </w:rPr>
  </w:style>
  <w:style w:type="paragraph" w:styleId="22">
    <w:name w:val="Body Text Indent"/>
    <w:basedOn w:val="1"/>
    <w:link w:val="95"/>
    <w:unhideWhenUsed/>
    <w:uiPriority w:val="0"/>
    <w:pPr>
      <w:spacing w:after="120"/>
      <w:ind w:left="283"/>
    </w:pPr>
  </w:style>
  <w:style w:type="paragraph" w:styleId="23">
    <w:name w:val="annotation text"/>
    <w:basedOn w:val="1"/>
    <w:link w:val="68"/>
    <w:unhideWhenUsed/>
    <w:qFormat/>
    <w:uiPriority w:val="0"/>
    <w:pPr>
      <w:suppressAutoHyphens w:val="0"/>
    </w:pPr>
    <w:rPr>
      <w:rFonts w:ascii="Ecofont_Spranq_eco_Sans" w:hAnsi="Ecofont_Spranq_eco_Sans" w:eastAsia="Calibri" w:cs="Tahoma"/>
      <w:sz w:val="20"/>
      <w:lang w:eastAsia="pt-BR"/>
    </w:rPr>
  </w:style>
  <w:style w:type="paragraph" w:styleId="24">
    <w:name w:val="Body Text Indent 2"/>
    <w:basedOn w:val="1"/>
    <w:link w:val="96"/>
    <w:semiHidden/>
    <w:unhideWhenUsed/>
    <w:uiPriority w:val="0"/>
    <w:pPr>
      <w:spacing w:after="120" w:line="480" w:lineRule="auto"/>
      <w:ind w:left="283"/>
    </w:pPr>
  </w:style>
  <w:style w:type="paragraph" w:styleId="25">
    <w:name w:val="Title"/>
    <w:basedOn w:val="1"/>
    <w:next w:val="20"/>
    <w:link w:val="72"/>
    <w:qFormat/>
    <w:uiPriority w:val="0"/>
    <w:pPr>
      <w:keepNext/>
      <w:spacing w:before="240" w:after="120"/>
    </w:pPr>
    <w:rPr>
      <w:rFonts w:ascii="Liberation Sans" w:hAnsi="Liberation Sans" w:eastAsia="Noto Sans CJK SC" w:cs="Lohit Devanagari"/>
      <w:sz w:val="28"/>
      <w:szCs w:val="28"/>
    </w:rPr>
  </w:style>
  <w:style w:type="paragraph" w:styleId="26">
    <w:name w:val="List 4"/>
    <w:basedOn w:val="1"/>
    <w:unhideWhenUsed/>
    <w:uiPriority w:val="99"/>
    <w:pPr>
      <w:ind w:left="1132" w:hanging="283"/>
      <w:contextualSpacing/>
    </w:pPr>
    <w:rPr>
      <w:sz w:val="20"/>
      <w:lang w:eastAsia="zh-CN"/>
    </w:rPr>
  </w:style>
  <w:style w:type="paragraph" w:styleId="27">
    <w:name w:val="List Bullet 5"/>
    <w:basedOn w:val="1"/>
    <w:uiPriority w:val="0"/>
    <w:pPr>
      <w:numPr>
        <w:ilvl w:val="0"/>
        <w:numId w:val="1"/>
      </w:numPr>
      <w:suppressAutoHyphens w:val="0"/>
      <w:contextualSpacing/>
    </w:pPr>
    <w:rPr>
      <w:rFonts w:ascii="Ecofont_Spranq_eco_Sans" w:hAnsi="Ecofont_Spranq_eco_Sans" w:eastAsia="Calibri" w:cs="Tahoma"/>
      <w:szCs w:val="24"/>
      <w:lang w:eastAsia="pt-BR"/>
    </w:rPr>
  </w:style>
  <w:style w:type="paragraph" w:styleId="28">
    <w:name w:val="Normal (Web)"/>
    <w:basedOn w:val="1"/>
    <w:unhideWhenUsed/>
    <w:qFormat/>
    <w:uiPriority w:val="99"/>
    <w:pPr>
      <w:suppressAutoHyphens w:val="0"/>
      <w:spacing w:beforeAutospacing="1" w:afterAutospacing="1"/>
    </w:pPr>
    <w:rPr>
      <w:szCs w:val="24"/>
      <w:lang w:eastAsia="pt-BR"/>
    </w:rPr>
  </w:style>
  <w:style w:type="paragraph" w:styleId="29">
    <w:name w:val="Body Text 3"/>
    <w:basedOn w:val="1"/>
    <w:link w:val="136"/>
    <w:uiPriority w:val="0"/>
    <w:pPr>
      <w:suppressAutoHyphens w:val="0"/>
      <w:jc w:val="both"/>
    </w:pPr>
    <w:rPr>
      <w:lang w:eastAsia="pt-BR"/>
    </w:rPr>
  </w:style>
  <w:style w:type="paragraph" w:styleId="30">
    <w:name w:val="HTML Preformatted"/>
    <w:basedOn w:val="1"/>
    <w:link w:val="191"/>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paragraph" w:styleId="31">
    <w:name w:val="Body Text 2"/>
    <w:basedOn w:val="1"/>
    <w:link w:val="135"/>
    <w:uiPriority w:val="99"/>
    <w:pPr>
      <w:suppressAutoHyphens w:val="0"/>
      <w:jc w:val="center"/>
    </w:pPr>
    <w:rPr>
      <w:lang w:eastAsia="pt-BR"/>
    </w:rPr>
  </w:style>
  <w:style w:type="paragraph" w:styleId="32">
    <w:name w:val="header"/>
    <w:basedOn w:val="1"/>
    <w:link w:val="45"/>
    <w:unhideWhenUsed/>
    <w:uiPriority w:val="99"/>
    <w:pPr>
      <w:tabs>
        <w:tab w:val="center" w:pos="4252"/>
        <w:tab w:val="right" w:pos="8504"/>
      </w:tabs>
      <w:suppressAutoHyphens w:val="0"/>
    </w:pPr>
    <w:rPr>
      <w:rFonts w:ascii="Calibri" w:hAnsi="Calibri" w:eastAsia="Calibri" w:cs="Calibri"/>
      <w:sz w:val="22"/>
      <w:szCs w:val="22"/>
      <w:lang w:eastAsia="en-US"/>
    </w:rPr>
  </w:style>
  <w:style w:type="paragraph" w:styleId="33">
    <w:name w:val="annotation subject"/>
    <w:basedOn w:val="23"/>
    <w:next w:val="23"/>
    <w:link w:val="69"/>
    <w:semiHidden/>
    <w:unhideWhenUsed/>
    <w:uiPriority w:val="99"/>
    <w:rPr>
      <w:b/>
      <w:bCs/>
    </w:rPr>
  </w:style>
  <w:style w:type="paragraph" w:styleId="34">
    <w:name w:val="List Continue 3"/>
    <w:basedOn w:val="1"/>
    <w:unhideWhenUsed/>
    <w:uiPriority w:val="99"/>
    <w:pPr>
      <w:spacing w:after="120"/>
      <w:ind w:left="849"/>
      <w:contextualSpacing/>
    </w:pPr>
    <w:rPr>
      <w:sz w:val="20"/>
      <w:lang w:eastAsia="zh-CN"/>
    </w:rPr>
  </w:style>
  <w:style w:type="paragraph" w:styleId="35">
    <w:name w:val="footer"/>
    <w:basedOn w:val="1"/>
    <w:link w:val="46"/>
    <w:unhideWhenUsed/>
    <w:uiPriority w:val="99"/>
    <w:pPr>
      <w:tabs>
        <w:tab w:val="center" w:pos="4252"/>
        <w:tab w:val="right" w:pos="8504"/>
      </w:tabs>
      <w:suppressAutoHyphens w:val="0"/>
    </w:pPr>
    <w:rPr>
      <w:rFonts w:ascii="Calibri" w:hAnsi="Calibri" w:eastAsia="Calibri" w:cs="Calibri"/>
      <w:sz w:val="22"/>
      <w:szCs w:val="22"/>
      <w:lang w:eastAsia="en-US"/>
    </w:rPr>
  </w:style>
  <w:style w:type="paragraph" w:styleId="36">
    <w:name w:val="Document Map"/>
    <w:basedOn w:val="1"/>
    <w:link w:val="134"/>
    <w:semiHidden/>
    <w:uiPriority w:val="0"/>
    <w:pPr>
      <w:shd w:val="clear" w:color="auto" w:fill="000080"/>
      <w:suppressAutoHyphens w:val="0"/>
    </w:pPr>
    <w:rPr>
      <w:rFonts w:ascii="Tahoma" w:hAnsi="Tahoma"/>
      <w:sz w:val="20"/>
      <w:lang w:eastAsia="pt-BR"/>
    </w:rPr>
  </w:style>
  <w:style w:type="paragraph" w:styleId="37">
    <w:name w:val="caption"/>
    <w:basedOn w:val="1"/>
    <w:qFormat/>
    <w:uiPriority w:val="0"/>
    <w:pPr>
      <w:suppressLineNumbers/>
      <w:spacing w:before="120" w:after="120"/>
    </w:pPr>
    <w:rPr>
      <w:rFonts w:cs="Lohit Devanagari"/>
      <w:i/>
      <w:iCs/>
      <w:szCs w:val="24"/>
    </w:rPr>
  </w:style>
  <w:style w:type="paragraph" w:styleId="38">
    <w:name w:val="List 3"/>
    <w:basedOn w:val="1"/>
    <w:unhideWhenUsed/>
    <w:uiPriority w:val="99"/>
    <w:pPr>
      <w:ind w:left="849" w:hanging="283"/>
      <w:contextualSpacing/>
    </w:pPr>
    <w:rPr>
      <w:sz w:val="20"/>
      <w:lang w:eastAsia="zh-CN"/>
    </w:rPr>
  </w:style>
  <w:style w:type="paragraph" w:styleId="39">
    <w:name w:val="List 5"/>
    <w:basedOn w:val="1"/>
    <w:unhideWhenUsed/>
    <w:uiPriority w:val="99"/>
    <w:pPr>
      <w:ind w:left="1415" w:hanging="283"/>
      <w:contextualSpacing/>
    </w:pPr>
    <w:rPr>
      <w:sz w:val="20"/>
      <w:lang w:eastAsia="zh-CN"/>
    </w:rPr>
  </w:style>
  <w:style w:type="paragraph" w:styleId="40">
    <w:name w:val="Balloon Text"/>
    <w:basedOn w:val="1"/>
    <w:link w:val="60"/>
    <w:uiPriority w:val="99"/>
    <w:pPr>
      <w:suppressAutoHyphens w:val="0"/>
    </w:pPr>
    <w:rPr>
      <w:rFonts w:ascii="Tahoma" w:hAnsi="Tahoma" w:eastAsia="Calibri" w:cs="Tahoma"/>
      <w:sz w:val="16"/>
      <w:szCs w:val="16"/>
      <w:lang w:eastAsia="pt-BR"/>
    </w:rPr>
  </w:style>
  <w:style w:type="paragraph" w:styleId="41">
    <w:name w:val="List 2"/>
    <w:basedOn w:val="1"/>
    <w:unhideWhenUsed/>
    <w:uiPriority w:val="99"/>
    <w:pPr>
      <w:ind w:left="566" w:hanging="283"/>
      <w:contextualSpacing/>
    </w:pPr>
    <w:rPr>
      <w:sz w:val="20"/>
      <w:lang w:eastAsia="zh-CN"/>
    </w:rPr>
  </w:style>
  <w:style w:type="paragraph" w:styleId="42">
    <w:name w:val="toc 1"/>
    <w:basedOn w:val="1"/>
    <w:next w:val="1"/>
    <w:autoRedefine/>
    <w:unhideWhenUsed/>
    <w:uiPriority w:val="39"/>
    <w:pPr>
      <w:tabs>
        <w:tab w:val="left" w:pos="426"/>
        <w:tab w:val="right" w:leader="dot" w:pos="9628"/>
      </w:tabs>
      <w:suppressAutoHyphens w:val="0"/>
      <w:spacing w:after="100"/>
    </w:pPr>
    <w:rPr>
      <w:rFonts w:ascii="Arial" w:hAnsi="Arial" w:cs="Tahoma"/>
      <w:sz w:val="20"/>
      <w:szCs w:val="24"/>
      <w:lang w:eastAsia="pt-BR"/>
    </w:rPr>
  </w:style>
  <w:style w:type="paragraph" w:styleId="43">
    <w:name w:val="Body Text First Indent"/>
    <w:basedOn w:val="20"/>
    <w:link w:val="373"/>
    <w:unhideWhenUsed/>
    <w:uiPriority w:val="99"/>
    <w:pPr>
      <w:spacing w:after="120" w:line="240" w:lineRule="auto"/>
      <w:ind w:firstLine="210"/>
    </w:pPr>
    <w:rPr>
      <w:sz w:val="20"/>
      <w:lang w:eastAsia="zh-CN"/>
    </w:rPr>
  </w:style>
  <w:style w:type="table" w:styleId="44">
    <w:name w:val="Table Grid"/>
    <w:basedOn w:val="12"/>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5">
    <w:name w:val="Cabeçalho Char"/>
    <w:basedOn w:val="11"/>
    <w:link w:val="32"/>
    <w:qFormat/>
    <w:uiPriority w:val="99"/>
  </w:style>
  <w:style w:type="character" w:customStyle="1" w:styleId="46">
    <w:name w:val="Rodapé Char"/>
    <w:basedOn w:val="11"/>
    <w:link w:val="35"/>
    <w:qFormat/>
    <w:uiPriority w:val="99"/>
  </w:style>
  <w:style w:type="character" w:customStyle="1" w:styleId="47">
    <w:name w:val="Título 3 Char"/>
    <w:link w:val="4"/>
    <w:qFormat/>
    <w:uiPriority w:val="9"/>
    <w:rPr>
      <w:rFonts w:ascii="Garamond" w:hAnsi="Garamond" w:eastAsia="Times New Roman" w:cs="Times New Roman"/>
      <w:b/>
      <w:i/>
      <w:sz w:val="24"/>
      <w:szCs w:val="20"/>
      <w:lang w:eastAsia="ar-SA"/>
    </w:rPr>
  </w:style>
  <w:style w:type="character" w:customStyle="1" w:styleId="48">
    <w:name w:val="Absatz-Standardschriftart"/>
    <w:qFormat/>
    <w:uiPriority w:val="0"/>
  </w:style>
  <w:style w:type="character" w:customStyle="1" w:styleId="49">
    <w:name w:val="apple-converted-space"/>
    <w:basedOn w:val="11"/>
    <w:qFormat/>
    <w:uiPriority w:val="0"/>
  </w:style>
  <w:style w:type="character" w:customStyle="1" w:styleId="50">
    <w:name w:val="Título 1 Char"/>
    <w:link w:val="2"/>
    <w:qFormat/>
    <w:uiPriority w:val="9"/>
    <w:rPr>
      <w:rFonts w:ascii="Cambria" w:hAnsi="Cambria" w:eastAsia="Cambria" w:cs="Cambria"/>
      <w:color w:val="365F91"/>
      <w:sz w:val="32"/>
      <w:szCs w:val="32"/>
      <w:lang w:eastAsia="ar-SA"/>
    </w:rPr>
  </w:style>
  <w:style w:type="character" w:customStyle="1" w:styleId="51">
    <w:name w:val="ui-pdp-color--black"/>
    <w:basedOn w:val="11"/>
    <w:qFormat/>
    <w:uiPriority w:val="0"/>
  </w:style>
  <w:style w:type="character" w:customStyle="1" w:styleId="52">
    <w:name w:val="text_exposed_show"/>
    <w:basedOn w:val="11"/>
    <w:qFormat/>
    <w:uiPriority w:val="0"/>
  </w:style>
  <w:style w:type="paragraph" w:customStyle="1" w:styleId="53">
    <w:name w:val="Índice"/>
    <w:basedOn w:val="1"/>
    <w:qFormat/>
    <w:uiPriority w:val="0"/>
    <w:pPr>
      <w:suppressLineNumbers/>
    </w:pPr>
    <w:rPr>
      <w:rFonts w:cs="Lohit Devanagari"/>
    </w:rPr>
  </w:style>
  <w:style w:type="paragraph" w:customStyle="1" w:styleId="54">
    <w:name w:val="Cabeçalho e Rodapé"/>
    <w:basedOn w:val="1"/>
    <w:qFormat/>
    <w:uiPriority w:val="0"/>
  </w:style>
  <w:style w:type="paragraph" w:styleId="55">
    <w:name w:val="List Paragraph"/>
    <w:basedOn w:val="1"/>
    <w:link w:val="212"/>
    <w:qFormat/>
    <w:uiPriority w:val="34"/>
    <w:pPr>
      <w:ind w:left="720"/>
      <w:contextualSpacing/>
    </w:pPr>
  </w:style>
  <w:style w:type="paragraph" w:customStyle="1" w:styleId="56">
    <w:name w:val="Default"/>
    <w:qFormat/>
    <w:uiPriority w:val="0"/>
    <w:pPr>
      <w:suppressAutoHyphens/>
    </w:pPr>
    <w:rPr>
      <w:rFonts w:ascii="Times New Roman" w:hAnsi="Times New Roman" w:eastAsia="Calibri" w:cs="Times New Roman"/>
      <w:color w:val="000000"/>
      <w:sz w:val="24"/>
      <w:szCs w:val="24"/>
      <w:lang w:val="pt-BR" w:eastAsia="en-US" w:bidi="ar-SA"/>
    </w:rPr>
  </w:style>
  <w:style w:type="paragraph" w:customStyle="1" w:styleId="57">
    <w:name w:val="ui-pdp-family--regular"/>
    <w:basedOn w:val="1"/>
    <w:qFormat/>
    <w:uiPriority w:val="0"/>
    <w:pPr>
      <w:suppressAutoHyphens w:val="0"/>
      <w:spacing w:beforeAutospacing="1" w:afterAutospacing="1"/>
    </w:pPr>
    <w:rPr>
      <w:szCs w:val="24"/>
      <w:lang w:eastAsia="pt-BR"/>
    </w:rPr>
  </w:style>
  <w:style w:type="character" w:customStyle="1" w:styleId="58">
    <w:name w:val="Título 2 Char"/>
    <w:link w:val="3"/>
    <w:uiPriority w:val="0"/>
    <w:rPr>
      <w:rFonts w:ascii="Times New Roman" w:hAnsi="Times New Roman" w:eastAsia="Calibri" w:cs="Times New Roman"/>
      <w:b/>
      <w:color w:val="000000"/>
      <w:sz w:val="24"/>
      <w:szCs w:val="20"/>
      <w:lang w:eastAsia="pt-BR"/>
    </w:rPr>
  </w:style>
  <w:style w:type="character" w:customStyle="1" w:styleId="59">
    <w:name w:val="Título 4 Char"/>
    <w:link w:val="5"/>
    <w:uiPriority w:val="0"/>
    <w:rPr>
      <w:rFonts w:ascii="Cambria" w:hAnsi="Cambria" w:eastAsia="Cambria" w:cs="Cambria"/>
      <w:i/>
      <w:iCs/>
      <w:color w:val="365F91"/>
      <w:sz w:val="24"/>
      <w:szCs w:val="24"/>
      <w:lang w:eastAsia="pt-BR"/>
    </w:rPr>
  </w:style>
  <w:style w:type="character" w:customStyle="1" w:styleId="60">
    <w:name w:val="Texto de balão Char"/>
    <w:link w:val="40"/>
    <w:uiPriority w:val="99"/>
    <w:rPr>
      <w:rFonts w:ascii="Tahoma" w:hAnsi="Tahoma" w:eastAsia="Calibri" w:cs="Tahoma"/>
      <w:sz w:val="16"/>
      <w:szCs w:val="16"/>
      <w:lang w:eastAsia="pt-BR"/>
    </w:rPr>
  </w:style>
  <w:style w:type="paragraph" w:customStyle="1" w:styleId="61">
    <w:name w:val="Nível 2"/>
    <w:basedOn w:val="1"/>
    <w:next w:val="1"/>
    <w:uiPriority w:val="0"/>
    <w:pPr>
      <w:suppressAutoHyphens w:val="0"/>
      <w:spacing w:after="120"/>
      <w:jc w:val="both"/>
    </w:pPr>
    <w:rPr>
      <w:rFonts w:ascii="Arial" w:hAnsi="Arial" w:eastAsia="Calibri"/>
      <w:b/>
      <w:lang w:eastAsia="pt-BR"/>
    </w:rPr>
  </w:style>
  <w:style w:type="character" w:customStyle="1" w:styleId="62">
    <w:name w:val="normal__char1"/>
    <w:uiPriority w:val="0"/>
    <w:rPr>
      <w:rFonts w:hint="default" w:ascii="Arial" w:hAnsi="Arial" w:cs="Arial"/>
      <w:sz w:val="24"/>
      <w:szCs w:val="24"/>
      <w:u w:val="none"/>
    </w:rPr>
  </w:style>
  <w:style w:type="character" w:customStyle="1" w:styleId="63">
    <w:name w:val="apple-style-span"/>
    <w:basedOn w:val="11"/>
    <w:uiPriority w:val="0"/>
  </w:style>
  <w:style w:type="paragraph" w:styleId="64">
    <w:name w:val="Quote"/>
    <w:basedOn w:val="1"/>
    <w:next w:val="1"/>
    <w:link w:val="65"/>
    <w:qFormat/>
    <w:uiPriority w:val="0"/>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Arial" w:hAnsi="Arial" w:eastAsia="Calibri" w:cs="Tahoma"/>
      <w:i/>
      <w:iCs/>
      <w:color w:val="000000"/>
      <w:sz w:val="20"/>
      <w:szCs w:val="24"/>
      <w:lang w:eastAsia="en-US"/>
    </w:rPr>
  </w:style>
  <w:style w:type="character" w:customStyle="1" w:styleId="65">
    <w:name w:val="Citação Char"/>
    <w:link w:val="64"/>
    <w:qFormat/>
    <w:uiPriority w:val="0"/>
    <w:rPr>
      <w:rFonts w:ascii="Arial" w:hAnsi="Arial" w:eastAsia="Calibri" w:cs="Tahoma"/>
      <w:i/>
      <w:iCs/>
      <w:color w:val="000000"/>
      <w:szCs w:val="24"/>
      <w:shd w:val="clear" w:color="auto" w:fill="FFFFCC"/>
    </w:rPr>
  </w:style>
  <w:style w:type="paragraph" w:customStyle="1" w:styleId="66">
    <w:name w:val="citação 2"/>
    <w:basedOn w:val="64"/>
    <w:link w:val="67"/>
    <w:qFormat/>
    <w:uiPriority w:val="0"/>
    <w:rPr>
      <w:szCs w:val="20"/>
    </w:rPr>
  </w:style>
  <w:style w:type="character" w:customStyle="1" w:styleId="67">
    <w:name w:val="citação 2 Char"/>
    <w:link w:val="66"/>
    <w:uiPriority w:val="0"/>
    <w:rPr>
      <w:rFonts w:ascii="Arial" w:hAnsi="Arial" w:eastAsia="Calibri" w:cs="Tahoma"/>
      <w:i/>
      <w:iCs/>
      <w:color w:val="000000"/>
      <w:szCs w:val="20"/>
      <w:shd w:val="clear" w:color="auto" w:fill="FFFFCC"/>
    </w:rPr>
  </w:style>
  <w:style w:type="character" w:customStyle="1" w:styleId="68">
    <w:name w:val="Texto de comentário Char"/>
    <w:link w:val="23"/>
    <w:qFormat/>
    <w:uiPriority w:val="0"/>
    <w:rPr>
      <w:rFonts w:ascii="Ecofont_Spranq_eco_Sans" w:hAnsi="Ecofont_Spranq_eco_Sans" w:eastAsia="Calibri" w:cs="Tahoma"/>
      <w:szCs w:val="20"/>
      <w:lang w:eastAsia="pt-BR"/>
    </w:rPr>
  </w:style>
  <w:style w:type="character" w:customStyle="1" w:styleId="69">
    <w:name w:val="Assunto do comentário Char"/>
    <w:link w:val="33"/>
    <w:semiHidden/>
    <w:uiPriority w:val="99"/>
    <w:rPr>
      <w:rFonts w:ascii="Ecofont_Spranq_eco_Sans" w:hAnsi="Ecofont_Spranq_eco_Sans" w:eastAsia="Calibri" w:cs="Tahoma"/>
      <w:b/>
      <w:bCs/>
      <w:szCs w:val="20"/>
      <w:lang w:eastAsia="pt-BR"/>
    </w:rPr>
  </w:style>
  <w:style w:type="paragraph" w:customStyle="1" w:styleId="70">
    <w:name w:val="Nivel 01"/>
    <w:basedOn w:val="2"/>
    <w:next w:val="1"/>
    <w:link w:val="73"/>
    <w:qFormat/>
    <w:uiPriority w:val="0"/>
    <w:pPr>
      <w:numPr>
        <w:ilvl w:val="0"/>
        <w:numId w:val="2"/>
      </w:numPr>
      <w:tabs>
        <w:tab w:val="left" w:pos="567"/>
      </w:tabs>
      <w:suppressAutoHyphens w:val="0"/>
      <w:jc w:val="both"/>
    </w:pPr>
    <w:rPr>
      <w:rFonts w:ascii="Ecofont_Spranq_eco_Sans" w:hAnsi="Ecofont_Spranq_eco_Sans" w:eastAsia="Noto Sans CJK SC" w:cs="Times New Roman"/>
      <w:b/>
      <w:bCs/>
      <w:color w:val="000000"/>
      <w:sz w:val="28"/>
      <w:szCs w:val="20"/>
    </w:rPr>
  </w:style>
  <w:style w:type="paragraph" w:customStyle="1" w:styleId="71">
    <w:name w:val="Nivel_01_Titulo"/>
    <w:basedOn w:val="70"/>
    <w:link w:val="74"/>
    <w:qFormat/>
    <w:uiPriority w:val="0"/>
    <w:pPr>
      <w:jc w:val="left"/>
    </w:pPr>
    <w:rPr>
      <w:rFonts w:cs="Cambria"/>
      <w:szCs w:val="52"/>
    </w:rPr>
  </w:style>
  <w:style w:type="character" w:customStyle="1" w:styleId="72">
    <w:name w:val="Título Char"/>
    <w:link w:val="25"/>
    <w:uiPriority w:val="0"/>
    <w:rPr>
      <w:rFonts w:ascii="Liberation Sans" w:hAnsi="Liberation Sans" w:eastAsia="Noto Sans CJK SC" w:cs="Lohit Devanagari"/>
      <w:sz w:val="28"/>
      <w:szCs w:val="28"/>
      <w:lang w:eastAsia="ar-SA"/>
    </w:rPr>
  </w:style>
  <w:style w:type="character" w:customStyle="1" w:styleId="73">
    <w:name w:val="Nivel 01 Char"/>
    <w:link w:val="70"/>
    <w:qFormat/>
    <w:uiPriority w:val="0"/>
    <w:rPr>
      <w:rFonts w:ascii="Ecofont_Spranq_eco_Sans" w:hAnsi="Ecofont_Spranq_eco_Sans" w:eastAsia="Noto Sans CJK SC" w:cs="Times New Roman"/>
      <w:b/>
      <w:bCs/>
      <w:color w:val="000000"/>
      <w:sz w:val="28"/>
      <w:lang w:eastAsia="ar-SA"/>
    </w:rPr>
  </w:style>
  <w:style w:type="character" w:customStyle="1" w:styleId="74">
    <w:name w:val="Nivel_01_Titulo Char"/>
    <w:link w:val="71"/>
    <w:qFormat/>
    <w:uiPriority w:val="0"/>
    <w:rPr>
      <w:rFonts w:ascii="Ecofont_Spranq_eco_Sans" w:hAnsi="Ecofont_Spranq_eco_Sans" w:eastAsia="Noto Sans CJK SC" w:cs="Cambria"/>
      <w:b/>
      <w:bCs/>
      <w:color w:val="000000"/>
      <w:sz w:val="28"/>
      <w:szCs w:val="52"/>
      <w:lang w:eastAsia="ar-SA"/>
    </w:rPr>
  </w:style>
  <w:style w:type="paragraph" w:customStyle="1" w:styleId="75">
    <w:name w:val="PADRÃO"/>
    <w:qFormat/>
    <w:uiPriority w:val="0"/>
    <w:pPr>
      <w:keepNext/>
      <w:widowControl w:val="0"/>
      <w:shd w:val="clear" w:color="auto" w:fill="FFFFFF"/>
      <w:spacing w:before="119" w:after="119" w:line="276" w:lineRule="auto"/>
      <w:ind w:firstLine="567"/>
      <w:jc w:val="both"/>
      <w:textAlignment w:val="baseline"/>
    </w:pPr>
    <w:rPr>
      <w:rFonts w:ascii="Ecofont_Spranq_eco_Sans" w:hAnsi="Ecofont_Spranq_eco_Sans" w:eastAsia="WenQuanYi Micro Hei" w:cs="Lohit Hindi"/>
      <w:szCs w:val="24"/>
      <w:lang w:val="pt-BR" w:eastAsia="zh-CN" w:bidi="hi-IN"/>
    </w:rPr>
  </w:style>
  <w:style w:type="character" w:customStyle="1" w:styleId="76">
    <w:name w:val="Quote Char"/>
    <w:link w:val="77"/>
    <w:uiPriority w:val="0"/>
    <w:rPr>
      <w:rFonts w:ascii="Ecofont_Spranq_eco_Sans" w:hAnsi="Ecofont_Spranq_eco_Sans" w:eastAsia="Calibri" w:cs="Tahoma"/>
      <w:i/>
      <w:iCs/>
      <w:color w:val="000000"/>
      <w:shd w:val="clear" w:color="auto" w:fill="FFFFCC"/>
    </w:rPr>
  </w:style>
  <w:style w:type="paragraph" w:customStyle="1" w:styleId="77">
    <w:name w:val="Citação1"/>
    <w:basedOn w:val="1"/>
    <w:next w:val="1"/>
    <w:link w:val="76"/>
    <w:qFormat/>
    <w:uiPriority w:val="0"/>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Ecofont_Spranq_eco_Sans" w:hAnsi="Ecofont_Spranq_eco_Sans" w:eastAsia="Calibri" w:cs="Tahoma"/>
      <w:i/>
      <w:iCs/>
      <w:color w:val="000000"/>
      <w:sz w:val="20"/>
      <w:szCs w:val="22"/>
      <w:lang w:eastAsia="en-US"/>
    </w:rPr>
  </w:style>
  <w:style w:type="paragraph" w:customStyle="1" w:styleId="78">
    <w:name w:val="paragraph"/>
    <w:basedOn w:val="1"/>
    <w:uiPriority w:val="0"/>
    <w:pPr>
      <w:suppressAutoHyphens w:val="0"/>
      <w:spacing w:before="100" w:beforeAutospacing="1" w:after="100" w:afterAutospacing="1"/>
    </w:pPr>
    <w:rPr>
      <w:szCs w:val="24"/>
      <w:lang w:eastAsia="pt-BR"/>
    </w:rPr>
  </w:style>
  <w:style w:type="character" w:customStyle="1" w:styleId="79">
    <w:name w:val="normaltextrun"/>
    <w:basedOn w:val="11"/>
    <w:qFormat/>
    <w:uiPriority w:val="0"/>
  </w:style>
  <w:style w:type="character" w:customStyle="1" w:styleId="80">
    <w:name w:val="eop"/>
    <w:basedOn w:val="11"/>
    <w:uiPriority w:val="0"/>
  </w:style>
  <w:style w:type="character" w:customStyle="1" w:styleId="81">
    <w:name w:val="spellingerror"/>
    <w:basedOn w:val="11"/>
    <w:uiPriority w:val="0"/>
  </w:style>
  <w:style w:type="character" w:customStyle="1" w:styleId="82">
    <w:name w:val="Corpo de texto Char"/>
    <w:link w:val="20"/>
    <w:uiPriority w:val="99"/>
    <w:rPr>
      <w:rFonts w:ascii="Times New Roman" w:hAnsi="Times New Roman" w:eastAsia="Times New Roman" w:cs="Times New Roman"/>
      <w:sz w:val="24"/>
      <w:szCs w:val="20"/>
      <w:lang w:eastAsia="ar-SA"/>
    </w:rPr>
  </w:style>
  <w:style w:type="paragraph" w:customStyle="1" w:styleId="83">
    <w:name w:val="Nivel1"/>
    <w:basedOn w:val="2"/>
    <w:link w:val="84"/>
    <w:qFormat/>
    <w:uiPriority w:val="0"/>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84">
    <w:name w:val="Nivel1 Char"/>
    <w:link w:val="83"/>
    <w:uiPriority w:val="0"/>
    <w:rPr>
      <w:rFonts w:ascii="Arial" w:hAnsi="Arial" w:eastAsia="Cambria" w:cs="Arial"/>
      <w:b/>
      <w:color w:val="000000"/>
      <w:sz w:val="28"/>
      <w:szCs w:val="28"/>
      <w:lang w:eastAsia="pt-BR"/>
    </w:rPr>
  </w:style>
  <w:style w:type="paragraph" w:customStyle="1" w:styleId="85">
    <w:name w:val="Parágrafo da Lista1"/>
    <w:basedOn w:val="1"/>
    <w:qFormat/>
    <w:uiPriority w:val="0"/>
    <w:pPr>
      <w:suppressAutoHyphens w:val="0"/>
      <w:ind w:left="720"/>
    </w:pPr>
    <w:rPr>
      <w:rFonts w:ascii="Ecofont_Spranq_eco_Sans" w:hAnsi="Ecofont_Spranq_eco_Sans" w:cs="Ecofont_Spranq_eco_Sans"/>
      <w:szCs w:val="24"/>
      <w:lang w:eastAsia="pt-BR"/>
    </w:rPr>
  </w:style>
  <w:style w:type="paragraph" w:customStyle="1" w:styleId="86">
    <w:name w:val="Nivel 2"/>
    <w:link w:val="103"/>
    <w:qFormat/>
    <w:uiPriority w:val="0"/>
    <w:pPr>
      <w:numPr>
        <w:ilvl w:val="1"/>
        <w:numId w:val="3"/>
      </w:numPr>
      <w:spacing w:before="120" w:after="120" w:line="276" w:lineRule="auto"/>
      <w:jc w:val="both"/>
    </w:pPr>
    <w:rPr>
      <w:rFonts w:ascii="Ecofont_Spranq_eco_Sans" w:hAnsi="Ecofont_Spranq_eco_Sans" w:eastAsia="Arial Unicode MS" w:cs="Times New Roman"/>
      <w:lang w:val="pt-BR" w:eastAsia="pt-BR" w:bidi="ar-SA"/>
    </w:rPr>
  </w:style>
  <w:style w:type="paragraph" w:customStyle="1" w:styleId="87">
    <w:name w:val="Nivel 1"/>
    <w:basedOn w:val="86"/>
    <w:next w:val="86"/>
    <w:qFormat/>
    <w:uiPriority w:val="0"/>
    <w:pPr>
      <w:numPr>
        <w:ilvl w:val="0"/>
      </w:numPr>
    </w:pPr>
    <w:rPr>
      <w:rFonts w:cs="Arial"/>
      <w:b/>
    </w:rPr>
  </w:style>
  <w:style w:type="paragraph" w:customStyle="1" w:styleId="88">
    <w:name w:val="Nivel 3"/>
    <w:basedOn w:val="86"/>
    <w:link w:val="227"/>
    <w:qFormat/>
    <w:uiPriority w:val="0"/>
    <w:pPr>
      <w:numPr>
        <w:ilvl w:val="2"/>
      </w:numPr>
    </w:pPr>
    <w:rPr>
      <w:rFonts w:cs="Arial"/>
      <w:color w:val="000000"/>
    </w:rPr>
  </w:style>
  <w:style w:type="paragraph" w:customStyle="1" w:styleId="89">
    <w:name w:val="Nivel 4"/>
    <w:basedOn w:val="88"/>
    <w:link w:val="91"/>
    <w:qFormat/>
    <w:uiPriority w:val="0"/>
    <w:pPr>
      <w:numPr>
        <w:ilvl w:val="3"/>
      </w:numPr>
    </w:pPr>
    <w:rPr>
      <w:color w:val="auto"/>
    </w:rPr>
  </w:style>
  <w:style w:type="paragraph" w:customStyle="1" w:styleId="90">
    <w:name w:val="Nivel 5"/>
    <w:basedOn w:val="89"/>
    <w:qFormat/>
    <w:uiPriority w:val="0"/>
    <w:pPr>
      <w:numPr>
        <w:ilvl w:val="4"/>
      </w:numPr>
      <w:tabs>
        <w:tab w:val="left" w:pos="360"/>
      </w:tabs>
      <w:ind w:left="3348" w:hanging="1080"/>
    </w:pPr>
  </w:style>
  <w:style w:type="character" w:customStyle="1" w:styleId="91">
    <w:name w:val="Nivel 4 Char"/>
    <w:link w:val="89"/>
    <w:qFormat/>
    <w:uiPriority w:val="0"/>
    <w:rPr>
      <w:rFonts w:ascii="Ecofont_Spranq_eco_Sans" w:hAnsi="Ecofont_Spranq_eco_Sans" w:eastAsia="Arial Unicode MS" w:cs="Arial"/>
    </w:rPr>
  </w:style>
  <w:style w:type="paragraph" w:customStyle="1" w:styleId="92">
    <w:name w:val="textbody"/>
    <w:basedOn w:val="1"/>
    <w:qFormat/>
    <w:uiPriority w:val="0"/>
    <w:pPr>
      <w:suppressAutoHyphens w:val="0"/>
      <w:spacing w:before="100" w:beforeAutospacing="1" w:after="100" w:afterAutospacing="1"/>
    </w:pPr>
    <w:rPr>
      <w:szCs w:val="24"/>
      <w:lang w:eastAsia="pt-BR"/>
    </w:rPr>
  </w:style>
  <w:style w:type="character" w:customStyle="1" w:styleId="93">
    <w:name w:val="Menção Pendente1"/>
    <w:semiHidden/>
    <w:unhideWhenUsed/>
    <w:uiPriority w:val="99"/>
    <w:rPr>
      <w:color w:val="605E5C"/>
      <w:shd w:val="clear" w:color="auto" w:fill="E1DFDD"/>
    </w:rPr>
  </w:style>
  <w:style w:type="character" w:customStyle="1" w:styleId="94">
    <w:name w:val="Menção Pendente2"/>
    <w:semiHidden/>
    <w:unhideWhenUsed/>
    <w:qFormat/>
    <w:uiPriority w:val="99"/>
    <w:rPr>
      <w:color w:val="605E5C"/>
      <w:shd w:val="clear" w:color="auto" w:fill="E1DFDD"/>
    </w:rPr>
  </w:style>
  <w:style w:type="character" w:customStyle="1" w:styleId="95">
    <w:name w:val="Recuo de corpo de texto Char"/>
    <w:link w:val="22"/>
    <w:qFormat/>
    <w:uiPriority w:val="0"/>
    <w:rPr>
      <w:rFonts w:ascii="Times New Roman" w:hAnsi="Times New Roman" w:eastAsia="Times New Roman" w:cs="Times New Roman"/>
      <w:sz w:val="24"/>
      <w:szCs w:val="20"/>
      <w:lang w:eastAsia="ar-SA"/>
    </w:rPr>
  </w:style>
  <w:style w:type="character" w:customStyle="1" w:styleId="96">
    <w:name w:val="Recuo de corpo de texto 2 Char"/>
    <w:link w:val="24"/>
    <w:qFormat/>
    <w:uiPriority w:val="0"/>
    <w:rPr>
      <w:rFonts w:ascii="Times New Roman" w:hAnsi="Times New Roman" w:eastAsia="Times New Roman" w:cs="Times New Roman"/>
      <w:sz w:val="24"/>
      <w:szCs w:val="20"/>
      <w:lang w:eastAsia="ar-SA"/>
    </w:rPr>
  </w:style>
  <w:style w:type="paragraph" w:customStyle="1" w:styleId="97">
    <w:name w:val="Recuo de corpo de texto 21"/>
    <w:basedOn w:val="1"/>
    <w:qFormat/>
    <w:uiPriority w:val="0"/>
    <w:pPr>
      <w:ind w:left="360"/>
      <w:jc w:val="both"/>
    </w:pPr>
    <w:rPr>
      <w:lang w:eastAsia="zh-CN"/>
    </w:rPr>
  </w:style>
  <w:style w:type="paragraph" w:customStyle="1" w:styleId="98">
    <w:name w:val="Corpo de texto1"/>
    <w:qFormat/>
    <w:uiPriority w:val="0"/>
    <w:pPr>
      <w:suppressAutoHyphens/>
      <w:jc w:val="center"/>
    </w:pPr>
    <w:rPr>
      <w:rFonts w:ascii="Bookman Old Style" w:hAnsi="Bookman Old Style" w:eastAsia="Times New Roman" w:cs="Bookman Old Style"/>
      <w:color w:val="000000"/>
      <w:sz w:val="24"/>
      <w:lang w:val="en-US" w:eastAsia="zh-CN" w:bidi="ar-SA"/>
    </w:rPr>
  </w:style>
  <w:style w:type="paragraph" w:customStyle="1" w:styleId="99">
    <w:name w:val="Corpo de texto 21"/>
    <w:basedOn w:val="1"/>
    <w:qFormat/>
    <w:uiPriority w:val="0"/>
    <w:pPr>
      <w:jc w:val="both"/>
    </w:pPr>
    <w:rPr>
      <w:b/>
      <w:sz w:val="28"/>
      <w:lang w:eastAsia="zh-CN"/>
    </w:rPr>
  </w:style>
  <w:style w:type="paragraph" w:styleId="100">
    <w:name w:val="No Spacing"/>
    <w:link w:val="101"/>
    <w:qFormat/>
    <w:uiPriority w:val="1"/>
    <w:rPr>
      <w:rFonts w:ascii="Calibri" w:hAnsi="Calibri" w:eastAsia="Calibri" w:cs="Calibri"/>
      <w:sz w:val="22"/>
      <w:szCs w:val="22"/>
      <w:lang w:val="pt-BR" w:eastAsia="pt-BR" w:bidi="ar-SA"/>
    </w:rPr>
  </w:style>
  <w:style w:type="character" w:customStyle="1" w:styleId="101">
    <w:name w:val="Sem Espaçamento Char"/>
    <w:link w:val="100"/>
    <w:qFormat/>
    <w:uiPriority w:val="1"/>
    <w:rPr>
      <w:rFonts w:eastAsia="Calibri"/>
      <w:sz w:val="22"/>
      <w:lang w:eastAsia="pt-BR"/>
    </w:rPr>
  </w:style>
  <w:style w:type="paragraph" w:customStyle="1" w:styleId="102">
    <w:name w:val="texto1"/>
    <w:basedOn w:val="1"/>
    <w:qFormat/>
    <w:uiPriority w:val="0"/>
    <w:pPr>
      <w:suppressAutoHyphens w:val="0"/>
      <w:spacing w:before="100" w:beforeAutospacing="1" w:after="100" w:afterAutospacing="1"/>
    </w:pPr>
    <w:rPr>
      <w:szCs w:val="24"/>
      <w:lang w:eastAsia="pt-BR"/>
    </w:rPr>
  </w:style>
  <w:style w:type="character" w:customStyle="1" w:styleId="103">
    <w:name w:val="Nivel 2 Char"/>
    <w:link w:val="86"/>
    <w:qFormat/>
    <w:uiPriority w:val="0"/>
    <w:rPr>
      <w:rFonts w:ascii="Ecofont_Spranq_eco_Sans" w:hAnsi="Ecofont_Spranq_eco_Sans" w:eastAsia="Arial Unicode MS" w:cs="Times New Roman"/>
    </w:rPr>
  </w:style>
  <w:style w:type="paragraph" w:customStyle="1" w:styleId="104">
    <w:name w:val="dou-paragraph"/>
    <w:basedOn w:val="1"/>
    <w:qFormat/>
    <w:uiPriority w:val="0"/>
    <w:pPr>
      <w:suppressAutoHyphens w:val="0"/>
      <w:spacing w:before="100" w:beforeAutospacing="1" w:after="100" w:afterAutospacing="1"/>
    </w:pPr>
    <w:rPr>
      <w:szCs w:val="24"/>
      <w:lang w:eastAsia="pt-BR"/>
    </w:rPr>
  </w:style>
  <w:style w:type="table" w:customStyle="1" w:styleId="105">
    <w:name w:val="Table Normal"/>
    <w:semiHidden/>
    <w:unhideWhenUsed/>
    <w:qFormat/>
    <w:uiPriority w:val="2"/>
    <w:pPr>
      <w:widowControl w:val="0"/>
      <w:autoSpaceDE w:val="0"/>
      <w:autoSpaceDN w:val="0"/>
    </w:pPr>
    <w:rPr>
      <w:rFonts w:cs="Times New Roman"/>
      <w:sz w:val="22"/>
      <w:szCs w:val="22"/>
      <w:lang w:val="en-US" w:eastAsia="en-US"/>
    </w:rPr>
    <w:tblPr>
      <w:tblCellMar>
        <w:top w:w="0" w:type="dxa"/>
        <w:left w:w="0" w:type="dxa"/>
        <w:bottom w:w="0" w:type="dxa"/>
        <w:right w:w="0" w:type="dxa"/>
      </w:tblCellMar>
    </w:tblPr>
  </w:style>
  <w:style w:type="paragraph" w:customStyle="1" w:styleId="106">
    <w:name w:val="Table Paragraph"/>
    <w:basedOn w:val="1"/>
    <w:qFormat/>
    <w:uiPriority w:val="1"/>
    <w:pPr>
      <w:widowControl w:val="0"/>
      <w:suppressAutoHyphens w:val="0"/>
      <w:autoSpaceDE w:val="0"/>
      <w:autoSpaceDN w:val="0"/>
      <w:spacing w:before="2"/>
    </w:pPr>
    <w:rPr>
      <w:rFonts w:ascii="Arial MT" w:hAnsi="Arial MT" w:eastAsia="Arial MT" w:cs="Arial MT"/>
      <w:sz w:val="22"/>
      <w:szCs w:val="22"/>
      <w:lang w:val="pt-PT" w:eastAsia="en-US"/>
    </w:rPr>
  </w:style>
  <w:style w:type="paragraph" w:customStyle="1" w:styleId="107">
    <w:name w:val="font5"/>
    <w:basedOn w:val="1"/>
    <w:uiPriority w:val="0"/>
    <w:pPr>
      <w:suppressAutoHyphens w:val="0"/>
      <w:spacing w:before="100" w:beforeAutospacing="1" w:after="100" w:afterAutospacing="1"/>
    </w:pPr>
    <w:rPr>
      <w:rFonts w:ascii="Arial" w:hAnsi="Arial" w:cs="Arial"/>
      <w:b/>
      <w:bCs/>
      <w:sz w:val="20"/>
      <w:lang w:eastAsia="pt-BR"/>
    </w:rPr>
  </w:style>
  <w:style w:type="paragraph" w:customStyle="1" w:styleId="108">
    <w:name w:val="font6"/>
    <w:basedOn w:val="1"/>
    <w:qFormat/>
    <w:uiPriority w:val="0"/>
    <w:pPr>
      <w:suppressAutoHyphens w:val="0"/>
      <w:spacing w:before="100" w:beforeAutospacing="1" w:after="100" w:afterAutospacing="1"/>
    </w:pPr>
    <w:rPr>
      <w:rFonts w:ascii="Arial MT" w:hAnsi="Arial MT"/>
      <w:sz w:val="14"/>
      <w:szCs w:val="14"/>
      <w:lang w:eastAsia="pt-BR"/>
    </w:rPr>
  </w:style>
  <w:style w:type="paragraph" w:customStyle="1" w:styleId="109">
    <w:name w:val="font7"/>
    <w:basedOn w:val="1"/>
    <w:qFormat/>
    <w:uiPriority w:val="0"/>
    <w:pPr>
      <w:suppressAutoHyphens w:val="0"/>
      <w:spacing w:before="100" w:beforeAutospacing="1" w:after="100" w:afterAutospacing="1"/>
    </w:pPr>
    <w:rPr>
      <w:rFonts w:ascii="Arial MT" w:hAnsi="Arial MT"/>
      <w:sz w:val="16"/>
      <w:szCs w:val="16"/>
      <w:lang w:eastAsia="pt-BR"/>
    </w:rPr>
  </w:style>
  <w:style w:type="paragraph" w:customStyle="1" w:styleId="110">
    <w:name w:val="font8"/>
    <w:basedOn w:val="1"/>
    <w:qFormat/>
    <w:uiPriority w:val="0"/>
    <w:pPr>
      <w:suppressAutoHyphens w:val="0"/>
      <w:spacing w:before="100" w:beforeAutospacing="1" w:after="100" w:afterAutospacing="1"/>
    </w:pPr>
    <w:rPr>
      <w:rFonts w:ascii="Arial" w:hAnsi="Arial" w:cs="Arial"/>
      <w:b/>
      <w:bCs/>
      <w:sz w:val="16"/>
      <w:szCs w:val="16"/>
      <w:lang w:eastAsia="pt-BR"/>
    </w:rPr>
  </w:style>
  <w:style w:type="paragraph" w:customStyle="1" w:styleId="111">
    <w:name w:val="xl65"/>
    <w:basedOn w:val="1"/>
    <w:qFormat/>
    <w:uiPriority w:val="0"/>
    <w:pPr>
      <w:pBdr>
        <w:top w:val="single" w:color="000000" w:sz="4" w:space="0"/>
        <w:left w:val="single" w:color="000000" w:sz="4" w:space="0"/>
        <w:bottom w:val="single" w:color="000000" w:sz="4" w:space="0"/>
        <w:right w:val="single" w:color="000000" w:sz="4" w:space="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112">
    <w:name w:val="xl66"/>
    <w:basedOn w:val="1"/>
    <w:qFormat/>
    <w:uiPriority w:val="0"/>
    <w:pPr>
      <w:pBdr>
        <w:top w:val="single" w:color="000000" w:sz="4" w:space="0"/>
        <w:left w:val="single" w:color="000000" w:sz="4" w:space="0"/>
        <w:bottom w:val="single" w:color="000000" w:sz="4" w:space="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113">
    <w:name w:val="xl67"/>
    <w:basedOn w:val="1"/>
    <w:qFormat/>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rFonts w:ascii="Arial MT" w:hAnsi="Arial MT"/>
      <w:sz w:val="16"/>
      <w:szCs w:val="16"/>
      <w:lang w:eastAsia="pt-BR"/>
    </w:rPr>
  </w:style>
  <w:style w:type="paragraph" w:customStyle="1" w:styleId="114">
    <w:name w:val="xl68"/>
    <w:basedOn w:val="1"/>
    <w:qFormat/>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rFonts w:ascii="Arial MT" w:hAnsi="Arial MT"/>
      <w:sz w:val="16"/>
      <w:szCs w:val="16"/>
      <w:lang w:eastAsia="pt-BR"/>
    </w:rPr>
  </w:style>
  <w:style w:type="paragraph" w:customStyle="1" w:styleId="115">
    <w:name w:val="xl69"/>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16">
    <w:name w:val="xl70"/>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textAlignment w:val="bottom"/>
    </w:pPr>
    <w:rPr>
      <w:szCs w:val="24"/>
      <w:lang w:eastAsia="pt-BR"/>
    </w:rPr>
  </w:style>
  <w:style w:type="paragraph" w:customStyle="1" w:styleId="117">
    <w:name w:val="xl71"/>
    <w:basedOn w:val="1"/>
    <w:uiPriority w:val="0"/>
    <w:pPr>
      <w:pBdr>
        <w:top w:val="single" w:color="000000" w:sz="4" w:space="0"/>
        <w:left w:val="single" w:color="000000" w:sz="4" w:space="0"/>
        <w:bottom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18">
    <w:name w:val="xl72"/>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jc w:val="right"/>
    </w:pPr>
    <w:rPr>
      <w:rFonts w:ascii="Arial MT" w:hAnsi="Arial MT"/>
      <w:sz w:val="16"/>
      <w:szCs w:val="16"/>
      <w:lang w:eastAsia="pt-BR"/>
    </w:rPr>
  </w:style>
  <w:style w:type="paragraph" w:customStyle="1" w:styleId="119">
    <w:name w:val="xl73"/>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textAlignment w:val="center"/>
    </w:pPr>
    <w:rPr>
      <w:szCs w:val="24"/>
      <w:lang w:eastAsia="pt-BR"/>
    </w:rPr>
  </w:style>
  <w:style w:type="paragraph" w:customStyle="1" w:styleId="120">
    <w:name w:val="xl74"/>
    <w:basedOn w:val="1"/>
    <w:uiPriority w:val="0"/>
    <w:pPr>
      <w:pBdr>
        <w:top w:val="single" w:color="000000" w:sz="4" w:space="0"/>
        <w:left w:val="single" w:color="000000" w:sz="4" w:space="0"/>
        <w:bottom w:val="single" w:color="000000" w:sz="4" w:space="0"/>
        <w:right w:val="single" w:color="000000" w:sz="4" w:space="0"/>
      </w:pBdr>
      <w:suppressAutoHyphens w:val="0"/>
      <w:spacing w:before="100" w:beforeAutospacing="1" w:after="100" w:afterAutospacing="1"/>
    </w:pPr>
    <w:rPr>
      <w:szCs w:val="24"/>
      <w:lang w:eastAsia="pt-BR"/>
    </w:rPr>
  </w:style>
  <w:style w:type="paragraph" w:customStyle="1" w:styleId="121">
    <w:name w:val="xl75"/>
    <w:basedOn w:val="1"/>
    <w:uiPriority w:val="0"/>
    <w:pPr>
      <w:pBdr>
        <w:top w:val="single" w:color="000000" w:sz="4" w:space="0"/>
        <w:left w:val="single" w:color="000000" w:sz="4" w:space="0"/>
        <w:bottom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22">
    <w:name w:val="xl76"/>
    <w:basedOn w:val="1"/>
    <w:uiPriority w:val="0"/>
    <w:pPr>
      <w:pBdr>
        <w:top w:val="single" w:color="000000" w:sz="4" w:space="0"/>
        <w:bottom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23">
    <w:name w:val="xl77"/>
    <w:basedOn w:val="1"/>
    <w:uiPriority w:val="0"/>
    <w:pPr>
      <w:pBdr>
        <w:top w:val="single" w:color="000000" w:sz="4" w:space="0"/>
        <w:bottom w:val="single" w:color="000000" w:sz="4" w:space="0"/>
        <w:right w:val="single" w:color="000000" w:sz="4" w:space="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124">
    <w:name w:val="xl78"/>
    <w:basedOn w:val="1"/>
    <w:uiPriority w:val="0"/>
    <w:pPr>
      <w:pBdr>
        <w:top w:val="single" w:color="000000" w:sz="4" w:space="0"/>
        <w:left w:val="single" w:color="000000" w:sz="4" w:space="0"/>
        <w:bottom w:val="single" w:color="000000" w:sz="4" w:space="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125">
    <w:name w:val="xl79"/>
    <w:basedOn w:val="1"/>
    <w:uiPriority w:val="0"/>
    <w:pPr>
      <w:pBdr>
        <w:top w:val="single" w:color="000000" w:sz="4" w:space="0"/>
        <w:left w:val="single" w:color="000000" w:sz="4" w:space="0"/>
        <w:bottom w:val="single" w:color="000000" w:sz="4" w:space="0"/>
      </w:pBdr>
      <w:suppressAutoHyphens w:val="0"/>
      <w:spacing w:before="100" w:beforeAutospacing="1" w:after="100" w:afterAutospacing="1"/>
    </w:pPr>
    <w:rPr>
      <w:rFonts w:ascii="Arial MT" w:hAnsi="Arial MT"/>
      <w:sz w:val="14"/>
      <w:szCs w:val="14"/>
      <w:lang w:eastAsia="pt-BR"/>
    </w:rPr>
  </w:style>
  <w:style w:type="paragraph" w:customStyle="1" w:styleId="126">
    <w:name w:val="xl80"/>
    <w:basedOn w:val="1"/>
    <w:qFormat/>
    <w:uiPriority w:val="0"/>
    <w:pPr>
      <w:pBdr>
        <w:top w:val="single" w:color="000000" w:sz="4" w:space="0"/>
        <w:left w:val="single" w:color="000000" w:sz="4" w:space="0"/>
        <w:bottom w:val="single" w:color="000000" w:sz="4" w:space="0"/>
      </w:pBdr>
      <w:suppressAutoHyphens w:val="0"/>
      <w:spacing w:before="100" w:beforeAutospacing="1" w:after="100" w:afterAutospacing="1"/>
    </w:pPr>
    <w:rPr>
      <w:szCs w:val="24"/>
      <w:lang w:eastAsia="pt-BR"/>
    </w:rPr>
  </w:style>
  <w:style w:type="paragraph" w:customStyle="1" w:styleId="127">
    <w:name w:val="Grade Colorida - Ênfase 11"/>
    <w:basedOn w:val="1"/>
    <w:next w:val="1"/>
    <w:link w:val="128"/>
    <w:qFormat/>
    <w:uiPriority w:val="29"/>
    <w:pPr>
      <w:pBdr>
        <w:top w:val="single" w:color="1F497D" w:sz="4" w:space="1"/>
        <w:left w:val="single" w:color="1F497D" w:sz="4" w:space="4"/>
        <w:bottom w:val="single" w:color="1F497D" w:sz="4" w:space="1"/>
        <w:right w:val="single" w:color="1F497D" w:sz="4" w:space="4"/>
      </w:pBdr>
      <w:shd w:val="clear" w:color="auto" w:fill="FFFFCC"/>
      <w:suppressAutoHyphens w:val="0"/>
      <w:spacing w:before="120"/>
      <w:jc w:val="both"/>
    </w:pPr>
    <w:rPr>
      <w:rFonts w:ascii="Arial" w:hAnsi="Arial" w:eastAsia="Calibri"/>
      <w:i/>
      <w:iCs/>
      <w:color w:val="000000"/>
      <w:sz w:val="20"/>
      <w:szCs w:val="24"/>
      <w:lang w:val="zh-CN" w:eastAsia="en-US"/>
    </w:rPr>
  </w:style>
  <w:style w:type="character" w:customStyle="1" w:styleId="128">
    <w:name w:val="Grade Colorida - Ênfase 1 Char"/>
    <w:link w:val="127"/>
    <w:uiPriority w:val="29"/>
    <w:rPr>
      <w:rFonts w:ascii="Arial" w:hAnsi="Arial" w:cs="Times New Roman"/>
      <w:i/>
      <w:iCs/>
      <w:color w:val="000000"/>
      <w:szCs w:val="24"/>
      <w:shd w:val="clear" w:color="auto" w:fill="FFFFCC"/>
      <w:lang w:val="zh-CN" w:eastAsia="en-US"/>
    </w:rPr>
  </w:style>
  <w:style w:type="paragraph" w:customStyle="1" w:styleId="129">
    <w:name w:val="Nivel_01"/>
    <w:basedOn w:val="2"/>
    <w:link w:val="130"/>
    <w:qFormat/>
    <w:uiPriority w:val="0"/>
    <w:pPr>
      <w:tabs>
        <w:tab w:val="left" w:pos="567"/>
      </w:tabs>
      <w:suppressAutoHyphens w:val="0"/>
      <w:jc w:val="both"/>
    </w:pPr>
    <w:rPr>
      <w:rFonts w:ascii="Ecofont_Spranq_eco_Sans" w:hAnsi="Ecofont_Spranq_eco_Sans" w:eastAsia="MS Gothic" w:cs="Times New Roman"/>
      <w:b/>
      <w:bCs/>
      <w:color w:val="auto"/>
      <w:sz w:val="20"/>
      <w:szCs w:val="20"/>
      <w:lang w:eastAsia="pt-BR"/>
    </w:rPr>
  </w:style>
  <w:style w:type="character" w:customStyle="1" w:styleId="130">
    <w:name w:val="Nivel_01 Char"/>
    <w:link w:val="129"/>
    <w:uiPriority w:val="0"/>
    <w:rPr>
      <w:rFonts w:ascii="Ecofont_Spranq_eco_Sans" w:hAnsi="Ecofont_Spranq_eco_Sans" w:eastAsia="MS Gothic" w:cs="Times New Roman"/>
      <w:b/>
      <w:bCs/>
    </w:rPr>
  </w:style>
  <w:style w:type="paragraph" w:customStyle="1" w:styleId="131">
    <w:name w:val="Sombreamento Médio 1 - Ênfase 31"/>
    <w:basedOn w:val="1"/>
    <w:next w:val="1"/>
    <w:uiPriority w:val="0"/>
    <w:pPr>
      <w:pBdr>
        <w:top w:val="single" w:color="000080" w:sz="4" w:space="1"/>
        <w:left w:val="single" w:color="000080" w:sz="4" w:space="4"/>
        <w:bottom w:val="single" w:color="000080" w:sz="4" w:space="1"/>
        <w:right w:val="single" w:color="000080" w:sz="4" w:space="4"/>
      </w:pBdr>
      <w:shd w:val="clear" w:color="auto" w:fill="FFFFCC"/>
      <w:spacing w:before="120"/>
      <w:jc w:val="both"/>
    </w:pPr>
    <w:rPr>
      <w:rFonts w:ascii="Ecofont_Spranq_eco_Sans" w:hAnsi="Ecofont_Spranq_eco_Sans" w:eastAsia="Calibri" w:cs="Tahoma"/>
      <w:i/>
      <w:iCs/>
      <w:color w:val="000000"/>
      <w:sz w:val="20"/>
      <w:szCs w:val="24"/>
      <w:lang w:eastAsia="zh-CN"/>
    </w:rPr>
  </w:style>
  <w:style w:type="character" w:customStyle="1" w:styleId="132">
    <w:name w:val="scayt-misspell-word"/>
    <w:uiPriority w:val="0"/>
  </w:style>
  <w:style w:type="character" w:customStyle="1" w:styleId="133">
    <w:name w:val="highlight"/>
    <w:uiPriority w:val="0"/>
  </w:style>
  <w:style w:type="character" w:customStyle="1" w:styleId="134">
    <w:name w:val="Mapa do Documento Char"/>
    <w:link w:val="36"/>
    <w:semiHidden/>
    <w:uiPriority w:val="0"/>
    <w:rPr>
      <w:rFonts w:ascii="Tahoma" w:hAnsi="Tahoma" w:eastAsia="Times New Roman" w:cs="Times New Roman"/>
      <w:shd w:val="clear" w:color="auto" w:fill="000080"/>
    </w:rPr>
  </w:style>
  <w:style w:type="character" w:customStyle="1" w:styleId="135">
    <w:name w:val="Corpo de texto 2 Char"/>
    <w:link w:val="31"/>
    <w:uiPriority w:val="99"/>
    <w:rPr>
      <w:rFonts w:ascii="Times New Roman" w:hAnsi="Times New Roman" w:eastAsia="Times New Roman" w:cs="Times New Roman"/>
      <w:sz w:val="24"/>
    </w:rPr>
  </w:style>
  <w:style w:type="character" w:customStyle="1" w:styleId="136">
    <w:name w:val="Corpo de texto 3 Char"/>
    <w:link w:val="29"/>
    <w:uiPriority w:val="0"/>
    <w:rPr>
      <w:rFonts w:ascii="Times New Roman" w:hAnsi="Times New Roman" w:eastAsia="Times New Roman" w:cs="Times New Roman"/>
      <w:sz w:val="24"/>
    </w:rPr>
  </w:style>
  <w:style w:type="paragraph" w:customStyle="1" w:styleId="137">
    <w:name w:val="texto_justificado"/>
    <w:basedOn w:val="1"/>
    <w:uiPriority w:val="0"/>
    <w:pPr>
      <w:suppressAutoHyphens w:val="0"/>
      <w:spacing w:before="100" w:beforeAutospacing="1" w:after="100" w:afterAutospacing="1"/>
    </w:pPr>
    <w:rPr>
      <w:szCs w:val="24"/>
      <w:lang w:eastAsia="pt-BR"/>
    </w:rPr>
  </w:style>
  <w:style w:type="paragraph" w:customStyle="1" w:styleId="138">
    <w:name w:val="tabela_texto_centralizado"/>
    <w:basedOn w:val="1"/>
    <w:uiPriority w:val="0"/>
    <w:pPr>
      <w:suppressAutoHyphens w:val="0"/>
      <w:spacing w:before="100" w:beforeAutospacing="1" w:after="100" w:afterAutospacing="1"/>
    </w:pPr>
    <w:rPr>
      <w:szCs w:val="24"/>
      <w:lang w:eastAsia="pt-BR"/>
    </w:rPr>
  </w:style>
  <w:style w:type="paragraph" w:customStyle="1" w:styleId="139">
    <w:name w:val="coment1"/>
    <w:basedOn w:val="1"/>
    <w:uiPriority w:val="0"/>
    <w:pPr>
      <w:suppressAutoHyphens w:val="0"/>
      <w:spacing w:before="100" w:beforeAutospacing="1" w:after="100" w:afterAutospacing="1"/>
    </w:pPr>
    <w:rPr>
      <w:szCs w:val="24"/>
      <w:lang w:eastAsia="pt-BR"/>
    </w:rPr>
  </w:style>
  <w:style w:type="paragraph" w:customStyle="1" w:styleId="140">
    <w:name w:val="item_nivel2"/>
    <w:basedOn w:val="1"/>
    <w:qFormat/>
    <w:uiPriority w:val="0"/>
    <w:pPr>
      <w:suppressAutoHyphens w:val="0"/>
      <w:spacing w:before="100" w:beforeAutospacing="1" w:after="100" w:afterAutospacing="1"/>
    </w:pPr>
    <w:rPr>
      <w:szCs w:val="24"/>
      <w:lang w:eastAsia="pt-BR"/>
    </w:rPr>
  </w:style>
  <w:style w:type="paragraph" w:customStyle="1" w:styleId="141">
    <w:name w:val="item_nivel3"/>
    <w:basedOn w:val="1"/>
    <w:uiPriority w:val="0"/>
    <w:pPr>
      <w:suppressAutoHyphens w:val="0"/>
      <w:spacing w:before="100" w:beforeAutospacing="1" w:after="100" w:afterAutospacing="1"/>
    </w:pPr>
    <w:rPr>
      <w:szCs w:val="24"/>
      <w:lang w:eastAsia="pt-BR"/>
    </w:rPr>
  </w:style>
  <w:style w:type="character" w:customStyle="1" w:styleId="142">
    <w:name w:val="Recuo de corpo de texto 2 Char1"/>
    <w:semiHidden/>
    <w:uiPriority w:val="99"/>
  </w:style>
  <w:style w:type="paragraph" w:customStyle="1" w:styleId="143">
    <w:name w:val="Style5"/>
    <w:basedOn w:val="1"/>
    <w:uiPriority w:val="99"/>
    <w:pPr>
      <w:widowControl w:val="0"/>
      <w:suppressAutoHyphens w:val="0"/>
      <w:autoSpaceDE w:val="0"/>
      <w:autoSpaceDN w:val="0"/>
      <w:adjustRightInd w:val="0"/>
      <w:spacing w:line="261" w:lineRule="exact"/>
      <w:jc w:val="both"/>
    </w:pPr>
    <w:rPr>
      <w:rFonts w:ascii="Arial Unicode MS" w:hAnsi="Calibri" w:eastAsia="Arial Unicode MS" w:cs="Arial Unicode MS"/>
      <w:szCs w:val="24"/>
      <w:lang w:eastAsia="pt-BR"/>
    </w:rPr>
  </w:style>
  <w:style w:type="character" w:customStyle="1" w:styleId="144">
    <w:name w:val="Font Style13"/>
    <w:uiPriority w:val="99"/>
    <w:rPr>
      <w:rFonts w:hint="eastAsia" w:ascii="Arial Unicode MS" w:hAnsi="Arial Unicode MS" w:eastAsia="Arial Unicode MS" w:cs="Arial Unicode MS"/>
      <w:b/>
      <w:bCs/>
      <w:sz w:val="18"/>
      <w:szCs w:val="18"/>
    </w:rPr>
  </w:style>
  <w:style w:type="character" w:customStyle="1" w:styleId="145">
    <w:name w:val="Font Style14"/>
    <w:uiPriority w:val="99"/>
    <w:rPr>
      <w:rFonts w:hint="eastAsia" w:ascii="Arial Unicode MS" w:hAnsi="Arial Unicode MS" w:eastAsia="Arial Unicode MS" w:cs="Arial Unicode MS"/>
      <w:sz w:val="18"/>
      <w:szCs w:val="18"/>
    </w:rPr>
  </w:style>
  <w:style w:type="paragraph" w:customStyle="1" w:styleId="146">
    <w:name w:val="font_8"/>
    <w:basedOn w:val="1"/>
    <w:uiPriority w:val="0"/>
    <w:pPr>
      <w:suppressAutoHyphens w:val="0"/>
      <w:spacing w:before="100" w:beforeAutospacing="1" w:after="100" w:afterAutospacing="1"/>
    </w:pPr>
    <w:rPr>
      <w:szCs w:val="24"/>
      <w:lang w:eastAsia="pt-BR"/>
    </w:rPr>
  </w:style>
  <w:style w:type="character" w:customStyle="1" w:styleId="147">
    <w:name w:val="color_15"/>
    <w:uiPriority w:val="0"/>
  </w:style>
  <w:style w:type="character" w:customStyle="1" w:styleId="148">
    <w:name w:val="wixguard"/>
    <w:uiPriority w:val="0"/>
  </w:style>
  <w:style w:type="character" w:customStyle="1" w:styleId="149">
    <w:name w:val="fontstyle01"/>
    <w:uiPriority w:val="0"/>
    <w:rPr>
      <w:rFonts w:hint="default" w:ascii="Arial" w:hAnsi="Arial" w:cs="Arial"/>
      <w:color w:val="000000"/>
      <w:sz w:val="20"/>
      <w:szCs w:val="20"/>
    </w:rPr>
  </w:style>
  <w:style w:type="table" w:customStyle="1" w:styleId="150">
    <w:name w:val="Tabela com grade1"/>
    <w:basedOn w:val="12"/>
    <w:uiPriority w:val="39"/>
    <w:rPr>
      <w:rFonts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1">
    <w:name w:val="Tabela com grade2"/>
    <w:basedOn w:val="12"/>
    <w:uiPriority w:val="59"/>
    <w:rPr>
      <w:rFonts w:cs="Arial"/>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2">
    <w:name w:val="01_Título"/>
    <w:basedOn w:val="2"/>
    <w:link w:val="153"/>
    <w:autoRedefine/>
    <w:qFormat/>
    <w:uiPriority w:val="0"/>
    <w:pPr>
      <w:keepLines w:val="0"/>
      <w:widowControl w:val="0"/>
      <w:shd w:val="clear" w:color="auto" w:fill="FFFFFF"/>
      <w:autoSpaceDN w:val="0"/>
      <w:spacing w:before="0"/>
      <w:jc w:val="both"/>
      <w:textAlignment w:val="baseline"/>
    </w:pPr>
    <w:rPr>
      <w:rFonts w:ascii="Courier New" w:hAnsi="Courier New" w:eastAsia="Times New Roman" w:cs="Courier New"/>
      <w:bCs/>
      <w:caps/>
      <w:color w:val="000000"/>
      <w:kern w:val="36"/>
      <w:sz w:val="20"/>
      <w:szCs w:val="20"/>
      <w:lang w:eastAsia="en-US"/>
    </w:rPr>
  </w:style>
  <w:style w:type="character" w:customStyle="1" w:styleId="153">
    <w:name w:val="01_Título Char"/>
    <w:link w:val="152"/>
    <w:uiPriority w:val="0"/>
    <w:rPr>
      <w:rFonts w:ascii="Courier New" w:hAnsi="Courier New" w:eastAsia="Times New Roman" w:cs="Courier New"/>
      <w:bCs/>
      <w:caps/>
      <w:color w:val="000000"/>
      <w:kern w:val="36"/>
      <w:shd w:val="clear" w:color="auto" w:fill="FFFFFF"/>
      <w:lang w:eastAsia="en-US"/>
    </w:rPr>
  </w:style>
  <w:style w:type="paragraph" w:customStyle="1" w:styleId="154">
    <w:name w:val="WW-Lista 2"/>
    <w:basedOn w:val="1"/>
    <w:uiPriority w:val="0"/>
    <w:pPr>
      <w:overflowPunct w:val="0"/>
      <w:autoSpaceDE w:val="0"/>
      <w:ind w:left="566" w:hanging="283"/>
      <w:textAlignment w:val="baseline"/>
    </w:pPr>
    <w:rPr>
      <w:lang w:eastAsia="zh-CN"/>
    </w:rPr>
  </w:style>
  <w:style w:type="character" w:customStyle="1" w:styleId="155">
    <w:name w:val="fontstyle21"/>
    <w:uiPriority w:val="0"/>
    <w:rPr>
      <w:rFonts w:hint="default" w:ascii="Calibri-Bold" w:hAnsi="Calibri-Bold"/>
      <w:b/>
      <w:bCs/>
      <w:color w:val="000000"/>
      <w:sz w:val="24"/>
      <w:szCs w:val="24"/>
    </w:rPr>
  </w:style>
  <w:style w:type="paragraph" w:customStyle="1" w:styleId="156">
    <w:name w:val="ui-pdp-description__content"/>
    <w:basedOn w:val="1"/>
    <w:uiPriority w:val="0"/>
    <w:pPr>
      <w:suppressAutoHyphens w:val="0"/>
      <w:spacing w:before="100" w:beforeAutospacing="1" w:after="100" w:afterAutospacing="1"/>
    </w:pPr>
    <w:rPr>
      <w:szCs w:val="24"/>
      <w:lang w:eastAsia="pt-BR"/>
    </w:rPr>
  </w:style>
  <w:style w:type="character" w:customStyle="1" w:styleId="157">
    <w:name w:val="base"/>
    <w:uiPriority w:val="0"/>
  </w:style>
  <w:style w:type="paragraph" w:customStyle="1" w:styleId="158">
    <w:name w:val="msonormal"/>
    <w:basedOn w:val="1"/>
    <w:uiPriority w:val="99"/>
    <w:pPr>
      <w:suppressAutoHyphens w:val="0"/>
      <w:spacing w:before="100" w:beforeAutospacing="1" w:after="100" w:afterAutospacing="1"/>
    </w:pPr>
    <w:rPr>
      <w:szCs w:val="24"/>
      <w:lang w:eastAsia="pt-BR"/>
    </w:rPr>
  </w:style>
  <w:style w:type="paragraph" w:customStyle="1" w:styleId="159">
    <w:name w:val="nome"/>
    <w:basedOn w:val="1"/>
    <w:semiHidden/>
    <w:uiPriority w:val="99"/>
    <w:pPr>
      <w:suppressAutoHyphens w:val="0"/>
      <w:spacing w:before="100" w:beforeAutospacing="1" w:after="100" w:afterAutospacing="1"/>
    </w:pPr>
    <w:rPr>
      <w:szCs w:val="24"/>
      <w:lang w:eastAsia="pt-BR"/>
    </w:rPr>
  </w:style>
  <w:style w:type="character" w:customStyle="1" w:styleId="160">
    <w:name w:val="Estilo1 Char"/>
    <w:semiHidden/>
    <w:locked/>
    <w:uiPriority w:val="0"/>
    <w:rPr>
      <w:rFonts w:ascii="Arial" w:hAnsi="Arial" w:eastAsia="Times New Roman" w:cs="Arial"/>
      <w:b/>
      <w:bCs/>
      <w:caps/>
      <w:color w:val="5B5B5B"/>
      <w:spacing w:val="4"/>
      <w:sz w:val="33"/>
      <w:szCs w:val="33"/>
      <w:shd w:val="clear" w:color="auto" w:fill="FFFFFF"/>
      <w:lang w:val="pt-PT" w:eastAsia="ar-SA"/>
    </w:rPr>
  </w:style>
  <w:style w:type="paragraph" w:customStyle="1" w:styleId="161">
    <w:name w:val="xl63"/>
    <w:basedOn w:val="1"/>
    <w:uiPriority w:val="0"/>
    <w:pPr>
      <w:suppressAutoHyphens w:val="0"/>
      <w:spacing w:before="100" w:beforeAutospacing="1" w:after="100" w:afterAutospacing="1"/>
    </w:pPr>
    <w:rPr>
      <w:sz w:val="20"/>
      <w:lang w:eastAsia="pt-BR"/>
    </w:rPr>
  </w:style>
  <w:style w:type="paragraph" w:customStyle="1" w:styleId="162">
    <w:name w:val="xl64"/>
    <w:basedOn w:val="1"/>
    <w:uiPriority w:val="0"/>
    <w:pPr>
      <w:suppressAutoHyphens w:val="0"/>
      <w:spacing w:before="100" w:beforeAutospacing="1" w:after="100" w:afterAutospacing="1"/>
      <w:jc w:val="center"/>
    </w:pPr>
    <w:rPr>
      <w:sz w:val="20"/>
      <w:lang w:eastAsia="pt-BR"/>
    </w:rPr>
  </w:style>
  <w:style w:type="paragraph" w:customStyle="1" w:styleId="163">
    <w:name w:val="xl81"/>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64">
    <w:name w:val="xl82"/>
    <w:basedOn w:val="1"/>
    <w:uiPriority w:val="0"/>
    <w:pPr>
      <w:pBdr>
        <w:top w:val="single" w:color="auto" w:sz="8" w:space="0"/>
        <w:left w:val="single" w:color="auto" w:sz="4" w:space="0"/>
        <w:bottom w:val="single" w:color="auto" w:sz="4"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65">
    <w:name w:val="xl83"/>
    <w:basedOn w:val="1"/>
    <w:uiPriority w:val="0"/>
    <w:pPr>
      <w:pBdr>
        <w:top w:val="single" w:color="auto" w:sz="4" w:space="0"/>
        <w:left w:val="single" w:color="auto" w:sz="8" w:space="0"/>
        <w:bottom w:val="single" w:color="auto" w:sz="4" w:space="0"/>
        <w:right w:val="single" w:color="auto" w:sz="4" w:space="0"/>
      </w:pBdr>
      <w:suppressAutoHyphens w:val="0"/>
      <w:spacing w:before="100" w:beforeAutospacing="1" w:after="100" w:afterAutospacing="1"/>
      <w:jc w:val="center"/>
    </w:pPr>
    <w:rPr>
      <w:sz w:val="20"/>
      <w:lang w:eastAsia="pt-BR"/>
    </w:rPr>
  </w:style>
  <w:style w:type="paragraph" w:customStyle="1" w:styleId="166">
    <w:name w:val="xl84"/>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67">
    <w:name w:val="xl85"/>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color w:val="000000"/>
      <w:szCs w:val="24"/>
      <w:lang w:eastAsia="pt-BR"/>
    </w:rPr>
  </w:style>
  <w:style w:type="paragraph" w:customStyle="1" w:styleId="168">
    <w:name w:val="xl86"/>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b/>
      <w:bCs/>
      <w:color w:val="000000"/>
      <w:szCs w:val="24"/>
      <w:lang w:eastAsia="pt-BR"/>
    </w:rPr>
  </w:style>
  <w:style w:type="paragraph" w:customStyle="1" w:styleId="169">
    <w:name w:val="xl87"/>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b/>
      <w:bCs/>
      <w:color w:val="000000"/>
      <w:szCs w:val="24"/>
      <w:lang w:eastAsia="pt-BR"/>
    </w:rPr>
  </w:style>
  <w:style w:type="paragraph" w:customStyle="1" w:styleId="170">
    <w:name w:val="xl88"/>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jc w:val="both"/>
    </w:pPr>
    <w:rPr>
      <w:szCs w:val="24"/>
      <w:lang w:eastAsia="pt-BR"/>
    </w:rPr>
  </w:style>
  <w:style w:type="paragraph" w:customStyle="1" w:styleId="171">
    <w:name w:val="xl89"/>
    <w:basedOn w:val="1"/>
    <w:uiPriority w:val="0"/>
    <w:pPr>
      <w:pBdr>
        <w:top w:val="single" w:color="auto" w:sz="4" w:space="0"/>
        <w:left w:val="single" w:color="auto" w:sz="4" w:space="0"/>
        <w:bottom w:val="single" w:color="auto" w:sz="8" w:space="0"/>
        <w:right w:val="single" w:color="auto" w:sz="4" w:space="0"/>
      </w:pBdr>
      <w:shd w:val="clear" w:color="auto" w:fill="00B050"/>
      <w:suppressAutoHyphens w:val="0"/>
      <w:spacing w:before="100" w:beforeAutospacing="1" w:after="100" w:afterAutospacing="1"/>
      <w:jc w:val="center"/>
    </w:pPr>
    <w:rPr>
      <w:sz w:val="20"/>
      <w:lang w:eastAsia="pt-BR"/>
    </w:rPr>
  </w:style>
  <w:style w:type="paragraph" w:customStyle="1" w:styleId="172">
    <w:name w:val="xl90"/>
    <w:basedOn w:val="1"/>
    <w:uiPriority w:val="0"/>
    <w:pPr>
      <w:pBdr>
        <w:top w:val="single" w:color="auto" w:sz="4" w:space="0"/>
        <w:left w:val="single" w:color="auto" w:sz="4" w:space="0"/>
        <w:bottom w:val="single" w:color="auto" w:sz="8" w:space="0"/>
        <w:right w:val="single" w:color="auto" w:sz="4" w:space="0"/>
      </w:pBdr>
      <w:shd w:val="clear" w:color="auto" w:fill="00B0F0"/>
      <w:suppressAutoHyphens w:val="0"/>
      <w:spacing w:before="100" w:beforeAutospacing="1" w:after="100" w:afterAutospacing="1"/>
      <w:jc w:val="center"/>
    </w:pPr>
    <w:rPr>
      <w:sz w:val="20"/>
      <w:lang w:eastAsia="pt-BR"/>
    </w:rPr>
  </w:style>
  <w:style w:type="paragraph" w:customStyle="1" w:styleId="173">
    <w:name w:val="xl91"/>
    <w:basedOn w:val="1"/>
    <w:uiPriority w:val="0"/>
    <w:pPr>
      <w:pBdr>
        <w:top w:val="single" w:color="auto" w:sz="8" w:space="0"/>
        <w:left w:val="single" w:color="auto" w:sz="4" w:space="0"/>
        <w:bottom w:val="single" w:color="auto" w:sz="4"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74">
    <w:name w:val="xl92"/>
    <w:basedOn w:val="1"/>
    <w:uiPriority w:val="0"/>
    <w:pPr>
      <w:pBdr>
        <w:top w:val="single" w:color="auto" w:sz="4" w:space="0"/>
        <w:left w:val="single" w:color="auto" w:sz="4" w:space="0"/>
        <w:bottom w:val="single" w:color="auto" w:sz="4"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75">
    <w:name w:val="xl93"/>
    <w:basedOn w:val="1"/>
    <w:uiPriority w:val="0"/>
    <w:pPr>
      <w:pBdr>
        <w:top w:val="single" w:color="auto" w:sz="4" w:space="0"/>
        <w:left w:val="single" w:color="auto" w:sz="8" w:space="0"/>
        <w:bottom w:val="single" w:color="auto" w:sz="8" w:space="0"/>
        <w:right w:val="single" w:color="auto" w:sz="4" w:space="0"/>
      </w:pBdr>
      <w:suppressAutoHyphens w:val="0"/>
      <w:spacing w:before="100" w:beforeAutospacing="1" w:after="100" w:afterAutospacing="1"/>
      <w:jc w:val="center"/>
    </w:pPr>
    <w:rPr>
      <w:sz w:val="20"/>
      <w:lang w:eastAsia="pt-BR"/>
    </w:rPr>
  </w:style>
  <w:style w:type="paragraph" w:customStyle="1" w:styleId="176">
    <w:name w:val="xl94"/>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szCs w:val="24"/>
      <w:lang w:eastAsia="pt-BR"/>
    </w:rPr>
  </w:style>
  <w:style w:type="paragraph" w:customStyle="1" w:styleId="177">
    <w:name w:val="xl95"/>
    <w:basedOn w:val="1"/>
    <w:uiPriority w:val="0"/>
    <w:pPr>
      <w:pBdr>
        <w:top w:val="single" w:color="auto" w:sz="4" w:space="0"/>
        <w:left w:val="single" w:color="auto" w:sz="4" w:space="0"/>
        <w:bottom w:val="single" w:color="auto" w:sz="4" w:space="0"/>
        <w:right w:val="single" w:color="auto" w:sz="4" w:space="0"/>
      </w:pBdr>
      <w:suppressAutoHyphens w:val="0"/>
      <w:spacing w:before="100" w:beforeAutospacing="1" w:after="100" w:afterAutospacing="1"/>
      <w:jc w:val="center"/>
    </w:pPr>
    <w:rPr>
      <w:sz w:val="20"/>
      <w:lang w:eastAsia="pt-BR"/>
    </w:rPr>
  </w:style>
  <w:style w:type="paragraph" w:customStyle="1" w:styleId="178">
    <w:name w:val="xl96"/>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paragraph" w:customStyle="1" w:styleId="179">
    <w:name w:val="xl97"/>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paragraph" w:customStyle="1" w:styleId="180">
    <w:name w:val="xl98"/>
    <w:basedOn w:val="1"/>
    <w:uiPriority w:val="0"/>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 w:val="20"/>
      <w:lang w:eastAsia="pt-BR"/>
    </w:rPr>
  </w:style>
  <w:style w:type="paragraph" w:customStyle="1" w:styleId="181">
    <w:name w:val="xl99"/>
    <w:basedOn w:val="1"/>
    <w:semiHidden/>
    <w:qFormat/>
    <w:uiPriority w:val="99"/>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 w:val="20"/>
      <w:lang w:eastAsia="pt-BR"/>
    </w:rPr>
  </w:style>
  <w:style w:type="paragraph" w:customStyle="1" w:styleId="182">
    <w:name w:val="xl100"/>
    <w:basedOn w:val="1"/>
    <w:semiHidden/>
    <w:uiPriority w:val="99"/>
    <w:pPr>
      <w:pBdr>
        <w:top w:val="single" w:color="auto" w:sz="4" w:space="0"/>
        <w:left w:val="single" w:color="auto" w:sz="4" w:space="0"/>
        <w:bottom w:val="single" w:color="auto" w:sz="8" w:space="0"/>
        <w:right w:val="single" w:color="auto" w:sz="4" w:space="0"/>
      </w:pBdr>
      <w:shd w:val="clear" w:color="auto" w:fill="BFBFBF"/>
      <w:suppressAutoHyphens w:val="0"/>
      <w:spacing w:before="100" w:beforeAutospacing="1" w:after="100" w:afterAutospacing="1"/>
      <w:jc w:val="center"/>
    </w:pPr>
    <w:rPr>
      <w:color w:val="000000"/>
      <w:sz w:val="20"/>
      <w:lang w:eastAsia="pt-BR"/>
    </w:rPr>
  </w:style>
  <w:style w:type="paragraph" w:customStyle="1" w:styleId="183">
    <w:name w:val="xl101"/>
    <w:basedOn w:val="1"/>
    <w:semiHidden/>
    <w:uiPriority w:val="99"/>
    <w:pPr>
      <w:pBdr>
        <w:top w:val="single" w:color="auto" w:sz="4" w:space="0"/>
        <w:left w:val="single" w:color="auto" w:sz="4" w:space="0"/>
        <w:bottom w:val="single" w:color="auto" w:sz="8" w:space="0"/>
        <w:right w:val="single" w:color="auto" w:sz="4" w:space="0"/>
      </w:pBdr>
      <w:suppressAutoHyphens w:val="0"/>
      <w:spacing w:before="100" w:beforeAutospacing="1" w:after="100" w:afterAutospacing="1"/>
      <w:jc w:val="center"/>
    </w:pPr>
    <w:rPr>
      <w:color w:val="000000"/>
      <w:szCs w:val="24"/>
      <w:lang w:eastAsia="pt-BR"/>
    </w:rPr>
  </w:style>
  <w:style w:type="paragraph" w:customStyle="1" w:styleId="184">
    <w:name w:val="xl102"/>
    <w:basedOn w:val="1"/>
    <w:semiHidden/>
    <w:uiPriority w:val="99"/>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85">
    <w:name w:val="xl103"/>
    <w:basedOn w:val="1"/>
    <w:semiHidden/>
    <w:uiPriority w:val="99"/>
    <w:pPr>
      <w:pBdr>
        <w:top w:val="single" w:color="auto" w:sz="8"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86">
    <w:name w:val="xl104"/>
    <w:basedOn w:val="1"/>
    <w:semiHidden/>
    <w:uiPriority w:val="99"/>
    <w:pPr>
      <w:pBdr>
        <w:top w:val="single" w:color="auto" w:sz="4" w:space="0"/>
        <w:left w:val="single" w:color="auto" w:sz="4" w:space="0"/>
        <w:bottom w:val="single" w:color="auto" w:sz="8"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87">
    <w:name w:val="xl105"/>
    <w:basedOn w:val="1"/>
    <w:semiHidden/>
    <w:uiPriority w:val="99"/>
    <w:pPr>
      <w:pBdr>
        <w:top w:val="single" w:color="auto" w:sz="8" w:space="0"/>
        <w:left w:val="single" w:color="auto" w:sz="4" w:space="0"/>
        <w:bottom w:val="single" w:color="auto" w:sz="4" w:space="0"/>
        <w:right w:val="single" w:color="auto" w:sz="8" w:space="0"/>
      </w:pBdr>
      <w:suppressAutoHyphens w:val="0"/>
      <w:spacing w:before="100" w:beforeAutospacing="1" w:after="100" w:afterAutospacing="1"/>
      <w:jc w:val="both"/>
    </w:pPr>
    <w:rPr>
      <w:color w:val="000000"/>
      <w:szCs w:val="24"/>
      <w:lang w:eastAsia="pt-BR"/>
    </w:rPr>
  </w:style>
  <w:style w:type="paragraph" w:customStyle="1" w:styleId="188">
    <w:name w:val="xl106"/>
    <w:basedOn w:val="1"/>
    <w:semiHidden/>
    <w:uiPriority w:val="99"/>
    <w:pPr>
      <w:pBdr>
        <w:top w:val="single" w:color="auto" w:sz="4" w:space="0"/>
        <w:left w:val="single" w:color="auto" w:sz="4" w:space="0"/>
        <w:bottom w:val="single" w:color="auto" w:sz="4" w:space="0"/>
        <w:right w:val="single" w:color="auto" w:sz="8" w:space="0"/>
      </w:pBdr>
      <w:suppressAutoHyphens w:val="0"/>
      <w:spacing w:before="100" w:beforeAutospacing="1" w:after="100" w:afterAutospacing="1"/>
    </w:pPr>
    <w:rPr>
      <w:szCs w:val="24"/>
      <w:lang w:eastAsia="pt-BR"/>
    </w:rPr>
  </w:style>
  <w:style w:type="character" w:customStyle="1" w:styleId="189">
    <w:name w:val="tex3b"/>
    <w:uiPriority w:val="0"/>
  </w:style>
  <w:style w:type="character" w:customStyle="1" w:styleId="190">
    <w:name w:val="tex3"/>
    <w:uiPriority w:val="0"/>
  </w:style>
  <w:style w:type="character" w:customStyle="1" w:styleId="191">
    <w:name w:val="Pré-formatação HTML Char"/>
    <w:link w:val="30"/>
    <w:uiPriority w:val="99"/>
    <w:rPr>
      <w:rFonts w:ascii="Courier New" w:hAnsi="Courier New" w:eastAsia="Times New Roman" w:cs="Courier New"/>
    </w:rPr>
  </w:style>
  <w:style w:type="character" w:customStyle="1" w:styleId="192">
    <w:name w:val="Título 6 Char"/>
    <w:link w:val="7"/>
    <w:uiPriority w:val="9"/>
    <w:rPr>
      <w:rFonts w:eastAsia="MS Gothic" w:cs="Times New Roman"/>
      <w:color w:val="243F60"/>
      <w:sz w:val="22"/>
      <w:szCs w:val="22"/>
      <w:lang w:eastAsia="en-US"/>
    </w:rPr>
  </w:style>
  <w:style w:type="paragraph" w:customStyle="1" w:styleId="193">
    <w:name w:val="Nota explicativa"/>
    <w:basedOn w:val="64"/>
    <w:link w:val="194"/>
    <w:qFormat/>
    <w:uiPriority w:val="0"/>
    <w:rPr>
      <w:szCs w:val="20"/>
    </w:rPr>
  </w:style>
  <w:style w:type="character" w:customStyle="1" w:styleId="194">
    <w:name w:val="Nota explicativa Char"/>
    <w:link w:val="193"/>
    <w:uiPriority w:val="0"/>
    <w:rPr>
      <w:rFonts w:ascii="Arial" w:hAnsi="Arial" w:cs="Tahoma"/>
      <w:i/>
      <w:iCs/>
      <w:color w:val="000000"/>
      <w:shd w:val="clear" w:color="auto" w:fill="FFFFCC"/>
      <w:lang w:eastAsia="en-US"/>
    </w:rPr>
  </w:style>
  <w:style w:type="paragraph" w:customStyle="1" w:styleId="195">
    <w:name w:val="em_0020ementa"/>
    <w:basedOn w:val="1"/>
    <w:uiPriority w:val="0"/>
    <w:pPr>
      <w:suppressAutoHyphens w:val="0"/>
      <w:ind w:left="4160"/>
      <w:jc w:val="both"/>
    </w:pPr>
    <w:rPr>
      <w:sz w:val="28"/>
      <w:szCs w:val="28"/>
      <w:lang w:eastAsia="pt-BR"/>
    </w:rPr>
  </w:style>
  <w:style w:type="character" w:customStyle="1" w:styleId="196">
    <w:name w:val="cp_0020corpodespacho__char1"/>
    <w:uiPriority w:val="0"/>
    <w:rPr>
      <w:rFonts w:hint="default" w:ascii="Times New Roman" w:hAnsi="Times New Roman" w:cs="Times New Roman"/>
      <w:sz w:val="26"/>
      <w:szCs w:val="26"/>
      <w:u w:val="none"/>
    </w:rPr>
  </w:style>
  <w:style w:type="character" w:customStyle="1" w:styleId="197">
    <w:name w:val="em_0020ementa__char1"/>
    <w:uiPriority w:val="0"/>
    <w:rPr>
      <w:rFonts w:hint="default" w:ascii="Times New Roman" w:hAnsi="Times New Roman" w:cs="Times New Roman"/>
      <w:sz w:val="28"/>
      <w:szCs w:val="28"/>
      <w:u w:val="none"/>
    </w:rPr>
  </w:style>
  <w:style w:type="paragraph" w:customStyle="1" w:styleId="198">
    <w:name w:val="Revisão1"/>
    <w:hidden/>
    <w:semiHidden/>
    <w:uiPriority w:val="99"/>
    <w:rPr>
      <w:rFonts w:ascii="Ecofont_Spranq_eco_Sans" w:hAnsi="Ecofont_Spranq_eco_Sans" w:eastAsia="Times New Roman" w:cs="Tahoma"/>
      <w:sz w:val="24"/>
      <w:szCs w:val="24"/>
      <w:lang w:val="pt-BR" w:eastAsia="pt-BR" w:bidi="ar-SA"/>
    </w:rPr>
  </w:style>
  <w:style w:type="character" w:customStyle="1" w:styleId="199">
    <w:name w:val="Manoel"/>
    <w:qFormat/>
    <w:uiPriority w:val="0"/>
    <w:rPr>
      <w:rFonts w:ascii="Arial" w:hAnsi="Arial" w:cs="Arial"/>
      <w:color w:val="7030A0"/>
      <w:sz w:val="20"/>
    </w:rPr>
  </w:style>
  <w:style w:type="character" w:customStyle="1" w:styleId="200">
    <w:name w:val="ListLabel 12"/>
    <w:uiPriority w:val="0"/>
    <w:rPr>
      <w:b/>
    </w:rPr>
  </w:style>
  <w:style w:type="paragraph" w:customStyle="1" w:styleId="201">
    <w:name w:val="x_western"/>
    <w:basedOn w:val="1"/>
    <w:uiPriority w:val="0"/>
    <w:pPr>
      <w:suppressAutoHyphens w:val="0"/>
      <w:spacing w:before="100" w:beforeAutospacing="1" w:after="100" w:afterAutospacing="1"/>
    </w:pPr>
    <w:rPr>
      <w:szCs w:val="24"/>
      <w:lang w:eastAsia="pt-BR"/>
    </w:rPr>
  </w:style>
  <w:style w:type="paragraph" w:customStyle="1" w:styleId="202">
    <w:name w:val="TCU - Ac - item 9 - §§_0"/>
    <w:basedOn w:val="1"/>
    <w:uiPriority w:val="0"/>
    <w:pPr>
      <w:suppressAutoHyphens w:val="0"/>
      <w:ind w:firstLine="1134"/>
      <w:jc w:val="both"/>
    </w:pPr>
    <w:rPr>
      <w:szCs w:val="22"/>
      <w:lang w:eastAsia="en-US"/>
    </w:rPr>
  </w:style>
  <w:style w:type="paragraph" w:customStyle="1" w:styleId="203">
    <w:name w:val="Normal_1"/>
    <w:uiPriority w:val="0"/>
    <w:rPr>
      <w:rFonts w:ascii="Times New Roman" w:hAnsi="Times New Roman" w:eastAsia="Times New Roman" w:cs="Times New Roman"/>
      <w:sz w:val="24"/>
      <w:szCs w:val="22"/>
      <w:lang w:val="pt-BR" w:eastAsia="en-US" w:bidi="ar-SA"/>
    </w:rPr>
  </w:style>
  <w:style w:type="paragraph" w:customStyle="1" w:styleId="204">
    <w:name w:val="tcu_-__ac_-_item_9_-_1ª_linha"/>
    <w:basedOn w:val="1"/>
    <w:uiPriority w:val="0"/>
    <w:pPr>
      <w:suppressAutoHyphens w:val="0"/>
      <w:spacing w:before="100" w:beforeAutospacing="1" w:after="100" w:afterAutospacing="1"/>
    </w:pPr>
    <w:rPr>
      <w:szCs w:val="24"/>
      <w:lang w:eastAsia="pt-BR"/>
    </w:rPr>
  </w:style>
  <w:style w:type="paragraph" w:customStyle="1" w:styleId="205">
    <w:name w:val="texto_justificado_recuo_primeira_linha"/>
    <w:basedOn w:val="1"/>
    <w:uiPriority w:val="0"/>
    <w:pPr>
      <w:suppressAutoHyphens w:val="0"/>
      <w:spacing w:before="100" w:beforeAutospacing="1" w:after="100" w:afterAutospacing="1"/>
    </w:pPr>
    <w:rPr>
      <w:szCs w:val="24"/>
      <w:lang w:eastAsia="pt-BR"/>
    </w:rPr>
  </w:style>
  <w:style w:type="character" w:customStyle="1" w:styleId="206">
    <w:name w:val="Menção Pendente21"/>
    <w:semiHidden/>
    <w:unhideWhenUsed/>
    <w:uiPriority w:val="99"/>
    <w:rPr>
      <w:color w:val="605E5C"/>
      <w:shd w:val="clear" w:color="auto" w:fill="E1DFDD"/>
    </w:rPr>
  </w:style>
  <w:style w:type="paragraph" w:customStyle="1" w:styleId="207">
    <w:name w:val="Nível 2 Opcional"/>
    <w:basedOn w:val="86"/>
    <w:link w:val="209"/>
    <w:uiPriority w:val="0"/>
    <w:pPr>
      <w:numPr>
        <w:ilvl w:val="0"/>
        <w:numId w:val="0"/>
      </w:numPr>
      <w:ind w:left="432" w:hanging="432"/>
    </w:pPr>
    <w:rPr>
      <w:rFonts w:ascii="Arial" w:hAnsi="Arial" w:eastAsia="Times New Roman" w:cs="Arial"/>
      <w:i/>
      <w:color w:val="FF0000"/>
    </w:rPr>
  </w:style>
  <w:style w:type="paragraph" w:customStyle="1" w:styleId="208">
    <w:name w:val="Nível 3 Opcional"/>
    <w:basedOn w:val="88"/>
    <w:link w:val="210"/>
    <w:uiPriority w:val="0"/>
    <w:pPr>
      <w:numPr>
        <w:ilvl w:val="0"/>
        <w:numId w:val="0"/>
      </w:numPr>
      <w:ind w:left="1072" w:hanging="504"/>
    </w:pPr>
    <w:rPr>
      <w:rFonts w:ascii="Arial" w:hAnsi="Arial" w:eastAsia="Times New Roman"/>
      <w:i/>
      <w:iCs/>
      <w:color w:val="FF0000"/>
    </w:rPr>
  </w:style>
  <w:style w:type="character" w:customStyle="1" w:styleId="209">
    <w:name w:val="Nível 2 Opcional Char"/>
    <w:link w:val="207"/>
    <w:uiPriority w:val="0"/>
    <w:rPr>
      <w:rFonts w:ascii="Arial" w:hAnsi="Arial" w:eastAsia="Times New Roman" w:cs="Arial"/>
      <w:i/>
      <w:color w:val="FF0000"/>
    </w:rPr>
  </w:style>
  <w:style w:type="character" w:customStyle="1" w:styleId="210">
    <w:name w:val="Nível 3 Opcional Char"/>
    <w:link w:val="208"/>
    <w:uiPriority w:val="0"/>
    <w:rPr>
      <w:rFonts w:ascii="Arial" w:hAnsi="Arial" w:eastAsia="Times New Roman" w:cs="Arial"/>
      <w:i/>
      <w:iCs/>
      <w:color w:val="FF0000"/>
    </w:rPr>
  </w:style>
  <w:style w:type="character" w:styleId="211">
    <w:name w:val="Placeholder Text"/>
    <w:semiHidden/>
    <w:uiPriority w:val="67"/>
    <w:rPr>
      <w:color w:val="808080"/>
    </w:rPr>
  </w:style>
  <w:style w:type="character" w:customStyle="1" w:styleId="212">
    <w:name w:val="Parágrafo da Lista Char"/>
    <w:link w:val="55"/>
    <w:qFormat/>
    <w:uiPriority w:val="34"/>
    <w:rPr>
      <w:rFonts w:ascii="Times New Roman" w:hAnsi="Times New Roman" w:eastAsia="Times New Roman" w:cs="Times New Roman"/>
      <w:sz w:val="24"/>
      <w:lang w:eastAsia="ar-SA"/>
    </w:rPr>
  </w:style>
  <w:style w:type="paragraph" w:customStyle="1" w:styleId="213">
    <w:name w:val="corpo"/>
    <w:basedOn w:val="1"/>
    <w:uiPriority w:val="0"/>
    <w:pPr>
      <w:suppressAutoHyphens w:val="0"/>
      <w:spacing w:before="100" w:beforeAutospacing="1" w:after="100" w:afterAutospacing="1"/>
    </w:pPr>
    <w:rPr>
      <w:szCs w:val="24"/>
      <w:lang w:eastAsia="pt-BR"/>
    </w:rPr>
  </w:style>
  <w:style w:type="paragraph" w:customStyle="1" w:styleId="214">
    <w:name w:val="item_nivel1"/>
    <w:basedOn w:val="1"/>
    <w:uiPriority w:val="0"/>
    <w:pPr>
      <w:suppressAutoHyphens w:val="0"/>
      <w:spacing w:before="100" w:beforeAutospacing="1" w:after="100" w:afterAutospacing="1"/>
    </w:pPr>
    <w:rPr>
      <w:szCs w:val="24"/>
      <w:lang w:eastAsia="pt-BR"/>
    </w:rPr>
  </w:style>
  <w:style w:type="paragraph" w:customStyle="1" w:styleId="215">
    <w:name w:val="item_alinea_letra"/>
    <w:basedOn w:val="1"/>
    <w:uiPriority w:val="0"/>
    <w:pPr>
      <w:suppressAutoHyphens w:val="0"/>
      <w:spacing w:before="100" w:beforeAutospacing="1" w:after="100" w:afterAutospacing="1"/>
    </w:pPr>
    <w:rPr>
      <w:szCs w:val="24"/>
      <w:lang w:eastAsia="pt-BR"/>
    </w:rPr>
  </w:style>
  <w:style w:type="character" w:customStyle="1" w:styleId="216">
    <w:name w:val="markedcontent"/>
    <w:basedOn w:val="11"/>
    <w:uiPriority w:val="0"/>
  </w:style>
  <w:style w:type="paragraph" w:customStyle="1" w:styleId="217">
    <w:name w:val="Standard"/>
    <w:qFormat/>
    <w:uiPriority w:val="0"/>
    <w:pPr>
      <w:suppressAutoHyphens/>
      <w:autoSpaceDN w:val="0"/>
    </w:pPr>
    <w:rPr>
      <w:rFonts w:ascii="Liberation Serif" w:hAnsi="Liberation Serif" w:eastAsia="NSimSun" w:cs="Lucida Sans"/>
      <w:kern w:val="3"/>
      <w:sz w:val="24"/>
      <w:szCs w:val="24"/>
      <w:lang w:val="pt-BR" w:eastAsia="zh-CN" w:bidi="hi-IN"/>
    </w:rPr>
  </w:style>
  <w:style w:type="paragraph" w:customStyle="1" w:styleId="218">
    <w:name w:val="Text body"/>
    <w:basedOn w:val="217"/>
    <w:uiPriority w:val="0"/>
    <w:pPr>
      <w:spacing w:after="140" w:line="276" w:lineRule="auto"/>
    </w:pPr>
  </w:style>
  <w:style w:type="character" w:customStyle="1" w:styleId="219">
    <w:name w:val="Menção Pendente3"/>
    <w:semiHidden/>
    <w:unhideWhenUsed/>
    <w:uiPriority w:val="99"/>
    <w:rPr>
      <w:color w:val="605E5C"/>
      <w:shd w:val="clear" w:color="auto" w:fill="E1DFDD"/>
    </w:rPr>
  </w:style>
  <w:style w:type="character" w:customStyle="1" w:styleId="220">
    <w:name w:val="Menção Pendente4"/>
    <w:semiHidden/>
    <w:unhideWhenUsed/>
    <w:uiPriority w:val="99"/>
    <w:rPr>
      <w:color w:val="605E5C"/>
      <w:shd w:val="clear" w:color="auto" w:fill="E1DFDD"/>
    </w:rPr>
  </w:style>
  <w:style w:type="paragraph" w:customStyle="1" w:styleId="221">
    <w:name w:val="ou"/>
    <w:basedOn w:val="55"/>
    <w:link w:val="222"/>
    <w:qFormat/>
    <w:uiPriority w:val="0"/>
    <w:pPr>
      <w:suppressAutoHyphens w:val="0"/>
      <w:spacing w:before="60" w:after="60" w:line="259" w:lineRule="auto"/>
      <w:ind w:left="0"/>
      <w:contextualSpacing w:val="0"/>
      <w:jc w:val="center"/>
    </w:pPr>
    <w:rPr>
      <w:rFonts w:ascii="Arial" w:hAnsi="Arial" w:eastAsia="Cambria" w:cs="Arial"/>
      <w:b/>
      <w:bCs/>
      <w:i/>
      <w:iCs/>
      <w:color w:val="FF0000"/>
      <w:szCs w:val="24"/>
      <w:u w:val="single"/>
      <w:lang w:eastAsia="pt-BR"/>
    </w:rPr>
  </w:style>
  <w:style w:type="character" w:customStyle="1" w:styleId="222">
    <w:name w:val="ou Char"/>
    <w:link w:val="221"/>
    <w:uiPriority w:val="0"/>
    <w:rPr>
      <w:rFonts w:ascii="Arial" w:hAnsi="Arial" w:eastAsia="Cambria" w:cs="Arial"/>
      <w:b/>
      <w:bCs/>
      <w:i/>
      <w:iCs/>
      <w:color w:val="FF0000"/>
      <w:sz w:val="24"/>
      <w:szCs w:val="24"/>
      <w:u w:val="single"/>
    </w:rPr>
  </w:style>
  <w:style w:type="paragraph" w:customStyle="1" w:styleId="223">
    <w:name w:val="Nível 2 -Red"/>
    <w:basedOn w:val="86"/>
    <w:link w:val="225"/>
    <w:qFormat/>
    <w:uiPriority w:val="0"/>
    <w:pPr>
      <w:numPr>
        <w:numId w:val="2"/>
      </w:numPr>
      <w:ind w:left="0" w:firstLine="0"/>
    </w:pPr>
    <w:rPr>
      <w:rFonts w:ascii="Arial" w:hAnsi="Arial" w:eastAsia="MS Mincho" w:cs="Arial"/>
      <w:i/>
      <w:iCs/>
      <w:color w:val="FF0000"/>
    </w:rPr>
  </w:style>
  <w:style w:type="paragraph" w:customStyle="1" w:styleId="224">
    <w:name w:val="Nível 3-R"/>
    <w:basedOn w:val="88"/>
    <w:link w:val="228"/>
    <w:qFormat/>
    <w:uiPriority w:val="0"/>
    <w:pPr>
      <w:numPr>
        <w:numId w:val="2"/>
      </w:numPr>
      <w:ind w:left="284" w:firstLine="0"/>
    </w:pPr>
    <w:rPr>
      <w:rFonts w:ascii="Arial" w:hAnsi="Arial" w:eastAsia="MS Mincho"/>
      <w:i/>
      <w:iCs/>
      <w:color w:val="FF0000"/>
    </w:rPr>
  </w:style>
  <w:style w:type="character" w:customStyle="1" w:styleId="225">
    <w:name w:val="Nível 2 -Red Char"/>
    <w:link w:val="223"/>
    <w:uiPriority w:val="0"/>
    <w:rPr>
      <w:rFonts w:ascii="Arial" w:hAnsi="Arial" w:eastAsia="MS Mincho" w:cs="Arial"/>
      <w:i/>
      <w:iCs/>
      <w:color w:val="FF0000"/>
    </w:rPr>
  </w:style>
  <w:style w:type="paragraph" w:customStyle="1" w:styleId="226">
    <w:name w:val="Nível 4-R"/>
    <w:basedOn w:val="89"/>
    <w:link w:val="230"/>
    <w:qFormat/>
    <w:uiPriority w:val="0"/>
    <w:pPr>
      <w:numPr>
        <w:numId w:val="2"/>
      </w:numPr>
      <w:ind w:left="567" w:firstLine="0"/>
    </w:pPr>
    <w:rPr>
      <w:rFonts w:ascii="Arial" w:hAnsi="Arial" w:eastAsia="MS Mincho"/>
      <w:i/>
      <w:iCs/>
      <w:color w:val="FF0000"/>
    </w:rPr>
  </w:style>
  <w:style w:type="character" w:customStyle="1" w:styleId="227">
    <w:name w:val="Nivel 3 Char"/>
    <w:link w:val="88"/>
    <w:uiPriority w:val="0"/>
    <w:rPr>
      <w:rFonts w:ascii="Ecofont_Spranq_eco_Sans" w:hAnsi="Ecofont_Spranq_eco_Sans" w:eastAsia="Arial Unicode MS" w:cs="Arial"/>
      <w:color w:val="000000"/>
    </w:rPr>
  </w:style>
  <w:style w:type="character" w:customStyle="1" w:styleId="228">
    <w:name w:val="Nível 3-R Char"/>
    <w:link w:val="224"/>
    <w:uiPriority w:val="0"/>
    <w:rPr>
      <w:rFonts w:ascii="Arial" w:hAnsi="Arial" w:eastAsia="MS Mincho" w:cs="Arial"/>
      <w:i/>
      <w:iCs/>
      <w:color w:val="FF0000"/>
    </w:rPr>
  </w:style>
  <w:style w:type="paragraph" w:customStyle="1" w:styleId="229">
    <w:name w:val="Nível 1-Sem Num"/>
    <w:basedOn w:val="70"/>
    <w:link w:val="232"/>
    <w:qFormat/>
    <w:uiPriority w:val="0"/>
    <w:pPr>
      <w:numPr>
        <w:numId w:val="0"/>
      </w:numPr>
      <w:spacing w:beforeLines="120" w:afterLines="120" w:line="312" w:lineRule="auto"/>
      <w:outlineLvl w:val="1"/>
    </w:pPr>
    <w:rPr>
      <w:rFonts w:ascii="Arial" w:hAnsi="Arial" w:eastAsia="MS Gothic" w:cs="Arial"/>
      <w:color w:val="FF0000"/>
      <w:sz w:val="20"/>
      <w:lang w:eastAsia="en-US"/>
    </w:rPr>
  </w:style>
  <w:style w:type="character" w:customStyle="1" w:styleId="230">
    <w:name w:val="Nível 4-R Char"/>
    <w:link w:val="226"/>
    <w:uiPriority w:val="0"/>
    <w:rPr>
      <w:rFonts w:ascii="Arial" w:hAnsi="Arial" w:eastAsia="MS Mincho" w:cs="Arial"/>
      <w:i/>
      <w:iCs/>
      <w:color w:val="FF0000"/>
    </w:rPr>
  </w:style>
  <w:style w:type="character" w:customStyle="1" w:styleId="231">
    <w:name w:val="Link da Internet"/>
    <w:unhideWhenUsed/>
    <w:uiPriority w:val="99"/>
    <w:rPr>
      <w:color w:val="0000FF"/>
      <w:u w:val="single"/>
    </w:rPr>
  </w:style>
  <w:style w:type="character" w:customStyle="1" w:styleId="232">
    <w:name w:val="Nível 1-Sem Num Char"/>
    <w:link w:val="229"/>
    <w:uiPriority w:val="0"/>
    <w:rPr>
      <w:rFonts w:ascii="Arial" w:hAnsi="Arial" w:eastAsia="MS Gothic" w:cs="Arial"/>
      <w:b/>
      <w:bCs/>
      <w:color w:val="FF0000"/>
      <w:lang w:eastAsia="en-US"/>
    </w:rPr>
  </w:style>
  <w:style w:type="paragraph" w:customStyle="1" w:styleId="233">
    <w:name w:val="Preâmbulo"/>
    <w:basedOn w:val="1"/>
    <w:link w:val="234"/>
    <w:qFormat/>
    <w:uiPriority w:val="0"/>
    <w:pPr>
      <w:suppressAutoHyphens w:val="0"/>
      <w:spacing w:before="480" w:after="120" w:line="360" w:lineRule="auto"/>
      <w:ind w:left="4253" w:right="-17"/>
      <w:jc w:val="both"/>
    </w:pPr>
    <w:rPr>
      <w:rFonts w:ascii="Arial" w:hAnsi="Arial" w:eastAsia="Arial" w:cs="Arial"/>
      <w:bCs/>
      <w:sz w:val="20"/>
      <w:lang w:eastAsia="pt-BR"/>
    </w:rPr>
  </w:style>
  <w:style w:type="character" w:customStyle="1" w:styleId="234">
    <w:name w:val="Preâmbulo Char"/>
    <w:link w:val="233"/>
    <w:uiPriority w:val="0"/>
    <w:rPr>
      <w:rFonts w:ascii="Arial" w:hAnsi="Arial" w:eastAsia="Arial" w:cs="Arial"/>
      <w:bCs/>
    </w:rPr>
  </w:style>
  <w:style w:type="character" w:customStyle="1" w:styleId="235">
    <w:name w:val="Menção Pendente5"/>
    <w:semiHidden/>
    <w:unhideWhenUsed/>
    <w:uiPriority w:val="99"/>
    <w:rPr>
      <w:color w:val="605E5C"/>
      <w:shd w:val="clear" w:color="auto" w:fill="E1DFDD"/>
    </w:rPr>
  </w:style>
  <w:style w:type="paragraph" w:customStyle="1" w:styleId="236">
    <w:name w:val="Cabeçalho do Sumário1"/>
    <w:basedOn w:val="2"/>
    <w:next w:val="1"/>
    <w:unhideWhenUsed/>
    <w:uiPriority w:val="39"/>
    <w:pPr>
      <w:suppressAutoHyphens w:val="0"/>
      <w:spacing w:line="259" w:lineRule="auto"/>
      <w:outlineLvl w:val="9"/>
    </w:pPr>
    <w:rPr>
      <w:rFonts w:ascii="Calibri" w:hAnsi="Calibri" w:eastAsia="MS Gothic" w:cs="Times New Roman"/>
      <w:lang w:eastAsia="pt-BR"/>
    </w:rPr>
  </w:style>
  <w:style w:type="character" w:customStyle="1" w:styleId="237">
    <w:name w:val="Menção Pendente6"/>
    <w:semiHidden/>
    <w:unhideWhenUsed/>
    <w:uiPriority w:val="99"/>
    <w:rPr>
      <w:color w:val="605E5C"/>
      <w:shd w:val="clear" w:color="auto" w:fill="E1DFDD"/>
    </w:rPr>
  </w:style>
  <w:style w:type="character" w:customStyle="1" w:styleId="238">
    <w:name w:val="Mention non résolue1"/>
    <w:semiHidden/>
    <w:unhideWhenUsed/>
    <w:uiPriority w:val="99"/>
    <w:rPr>
      <w:color w:val="605E5C"/>
      <w:shd w:val="clear" w:color="auto" w:fill="E1DFDD"/>
    </w:rPr>
  </w:style>
  <w:style w:type="character" w:customStyle="1" w:styleId="239">
    <w:name w:val="Menção Pendente7"/>
    <w:semiHidden/>
    <w:unhideWhenUsed/>
    <w:uiPriority w:val="99"/>
    <w:rPr>
      <w:color w:val="605E5C"/>
      <w:shd w:val="clear" w:color="auto" w:fill="E1DFDD"/>
    </w:rPr>
  </w:style>
  <w:style w:type="paragraph" w:customStyle="1" w:styleId="240">
    <w:name w:val="pf0"/>
    <w:basedOn w:val="1"/>
    <w:uiPriority w:val="0"/>
    <w:pPr>
      <w:suppressAutoHyphens w:val="0"/>
      <w:spacing w:before="100" w:beforeAutospacing="1" w:after="100" w:afterAutospacing="1"/>
    </w:pPr>
    <w:rPr>
      <w:szCs w:val="24"/>
      <w:lang w:eastAsia="pt-BR"/>
    </w:rPr>
  </w:style>
  <w:style w:type="character" w:customStyle="1" w:styleId="241">
    <w:name w:val="cf01"/>
    <w:uiPriority w:val="0"/>
    <w:rPr>
      <w:rFonts w:hint="default" w:ascii="Segoe UI" w:hAnsi="Segoe UI" w:cs="Segoe UI"/>
      <w:b/>
      <w:bCs/>
      <w:i/>
      <w:iCs/>
      <w:sz w:val="18"/>
      <w:szCs w:val="18"/>
    </w:rPr>
  </w:style>
  <w:style w:type="character" w:customStyle="1" w:styleId="242">
    <w:name w:val="cf11"/>
    <w:uiPriority w:val="0"/>
    <w:rPr>
      <w:rFonts w:hint="default" w:ascii="Segoe UI" w:hAnsi="Segoe UI" w:cs="Segoe UI"/>
      <w:i/>
      <w:iCs/>
      <w:sz w:val="18"/>
      <w:szCs w:val="18"/>
    </w:rPr>
  </w:style>
  <w:style w:type="character" w:customStyle="1" w:styleId="243">
    <w:name w:val="cf21"/>
    <w:uiPriority w:val="0"/>
    <w:rPr>
      <w:rFonts w:hint="default" w:ascii="Segoe UI" w:hAnsi="Segoe UI" w:cs="Segoe UI"/>
      <w:i/>
      <w:iCs/>
      <w:sz w:val="18"/>
      <w:szCs w:val="18"/>
    </w:rPr>
  </w:style>
  <w:style w:type="character" w:customStyle="1" w:styleId="244">
    <w:name w:val="Nível 1-Sem Num Preto Char"/>
    <w:link w:val="245"/>
    <w:locked/>
    <w:uiPriority w:val="0"/>
    <w:rPr>
      <w:rFonts w:ascii="Arial" w:hAnsi="Arial" w:cs="Arial"/>
      <w:b/>
      <w:bCs/>
      <w:color w:val="000000"/>
      <w:lang w:eastAsia="zh-CN" w:bidi="hi-IN"/>
    </w:rPr>
  </w:style>
  <w:style w:type="paragraph" w:customStyle="1" w:styleId="245">
    <w:name w:val="Nível 1-Sem Num Preto"/>
    <w:basedOn w:val="1"/>
    <w:link w:val="244"/>
    <w:qFormat/>
    <w:uiPriority w:val="0"/>
    <w:pPr>
      <w:keepNext/>
      <w:keepLines/>
      <w:tabs>
        <w:tab w:val="left" w:pos="567"/>
      </w:tabs>
      <w:suppressAutoHyphens w:val="0"/>
      <w:spacing w:before="240" w:after="120" w:line="276" w:lineRule="auto"/>
      <w:jc w:val="both"/>
      <w:outlineLvl w:val="1"/>
    </w:pPr>
    <w:rPr>
      <w:rFonts w:ascii="Arial" w:hAnsi="Arial" w:eastAsia="Calibri" w:cs="Arial"/>
      <w:b/>
      <w:bCs/>
      <w:color w:val="000000"/>
      <w:sz w:val="20"/>
      <w:lang w:eastAsia="zh-CN" w:bidi="hi-IN"/>
    </w:rPr>
  </w:style>
  <w:style w:type="character" w:customStyle="1" w:styleId="246">
    <w:name w:val="Menção Pendente8"/>
    <w:semiHidden/>
    <w:unhideWhenUsed/>
    <w:uiPriority w:val="99"/>
    <w:rPr>
      <w:color w:val="605E5C"/>
      <w:shd w:val="clear" w:color="auto" w:fill="E1DFDD"/>
    </w:rPr>
  </w:style>
  <w:style w:type="paragraph" w:customStyle="1" w:styleId="247">
    <w:name w:val="Nível 01-Sem Numeração"/>
    <w:basedOn w:val="1"/>
    <w:link w:val="248"/>
    <w:autoRedefine/>
    <w:qFormat/>
    <w:uiPriority w:val="1"/>
    <w:pPr>
      <w:keepNext/>
      <w:keepLines/>
      <w:suppressAutoHyphens w:val="0"/>
      <w:spacing w:before="240" w:after="120" w:line="276" w:lineRule="auto"/>
      <w:jc w:val="both"/>
      <w:outlineLvl w:val="1"/>
    </w:pPr>
    <w:rPr>
      <w:rFonts w:eastAsia="MS Gothic"/>
      <w:b/>
      <w:szCs w:val="24"/>
      <w:lang w:eastAsia="pt-BR"/>
    </w:rPr>
  </w:style>
  <w:style w:type="character" w:customStyle="1" w:styleId="248">
    <w:name w:val="Nível 01-Sem Numeração Char"/>
    <w:link w:val="247"/>
    <w:uiPriority w:val="1"/>
    <w:rPr>
      <w:rFonts w:ascii="Times New Roman" w:hAnsi="Times New Roman" w:eastAsia="MS Gothic" w:cs="Times New Roman"/>
      <w:b/>
      <w:sz w:val="24"/>
      <w:szCs w:val="24"/>
    </w:rPr>
  </w:style>
  <w:style w:type="paragraph" w:customStyle="1" w:styleId="249">
    <w:name w:val="Nível 3"/>
    <w:basedOn w:val="224"/>
    <w:link w:val="251"/>
    <w:qFormat/>
    <w:uiPriority w:val="0"/>
    <w:rPr>
      <w:rFonts w:eastAsia="Times New Roman"/>
      <w:i w:val="0"/>
      <w:iCs w:val="0"/>
      <w:color w:val="auto"/>
    </w:rPr>
  </w:style>
  <w:style w:type="paragraph" w:customStyle="1" w:styleId="250">
    <w:name w:val="Nível 4"/>
    <w:basedOn w:val="249"/>
    <w:link w:val="252"/>
    <w:qFormat/>
    <w:uiPriority w:val="0"/>
    <w:pPr>
      <w:numPr>
        <w:ilvl w:val="0"/>
        <w:numId w:val="0"/>
      </w:numPr>
      <w:ind w:left="567"/>
    </w:pPr>
  </w:style>
  <w:style w:type="character" w:customStyle="1" w:styleId="251">
    <w:name w:val="Nível 3 Char"/>
    <w:basedOn w:val="11"/>
    <w:link w:val="249"/>
    <w:uiPriority w:val="0"/>
    <w:rPr>
      <w:rFonts w:ascii="Arial" w:hAnsi="Arial" w:eastAsia="Times New Roman" w:cs="Arial"/>
    </w:rPr>
  </w:style>
  <w:style w:type="character" w:customStyle="1" w:styleId="252">
    <w:name w:val="Nível 4 Char"/>
    <w:basedOn w:val="251"/>
    <w:link w:val="250"/>
    <w:uiPriority w:val="0"/>
    <w:rPr>
      <w:rFonts w:ascii="Arial" w:hAnsi="Arial" w:eastAsia="Times New Roman" w:cs="Arial"/>
    </w:rPr>
  </w:style>
  <w:style w:type="character" w:customStyle="1" w:styleId="253">
    <w:name w:val="Menção Pendente9"/>
    <w:basedOn w:val="11"/>
    <w:semiHidden/>
    <w:unhideWhenUsed/>
    <w:uiPriority w:val="99"/>
    <w:rPr>
      <w:color w:val="605E5C"/>
      <w:shd w:val="clear" w:color="auto" w:fill="E1DFDD"/>
    </w:rPr>
  </w:style>
  <w:style w:type="character" w:customStyle="1" w:styleId="254">
    <w:name w:val="Menção Pendente10"/>
    <w:semiHidden/>
    <w:unhideWhenUsed/>
    <w:uiPriority w:val="99"/>
    <w:rPr>
      <w:color w:val="605E5C"/>
      <w:shd w:val="clear" w:color="auto" w:fill="E1DFDD"/>
    </w:rPr>
  </w:style>
  <w:style w:type="character" w:customStyle="1" w:styleId="255">
    <w:name w:val="findhit"/>
    <w:basedOn w:val="11"/>
    <w:qFormat/>
    <w:uiPriority w:val="0"/>
  </w:style>
  <w:style w:type="paragraph" w:customStyle="1" w:styleId="256">
    <w:name w:val="Nivel 3-erro"/>
    <w:basedOn w:val="88"/>
    <w:link w:val="257"/>
    <w:qFormat/>
    <w:uiPriority w:val="1"/>
    <w:pPr>
      <w:numPr>
        <w:numId w:val="4"/>
      </w:numPr>
      <w:spacing w:line="240" w:lineRule="auto"/>
      <w:ind w:left="425" w:firstLine="0"/>
    </w:pPr>
    <w:rPr>
      <w:rFonts w:ascii="Arial" w:hAnsi="Arial" w:cs="Tahoma" w:eastAsiaTheme="minorEastAsia"/>
      <w:color w:val="auto"/>
      <w:szCs w:val="24"/>
    </w:rPr>
  </w:style>
  <w:style w:type="character" w:customStyle="1" w:styleId="257">
    <w:name w:val="Nivel 3-erro Char"/>
    <w:basedOn w:val="11"/>
    <w:link w:val="256"/>
    <w:uiPriority w:val="1"/>
    <w:rPr>
      <w:rFonts w:ascii="Arial" w:hAnsi="Arial" w:cs="Tahoma" w:eastAsiaTheme="minorEastAsia"/>
      <w:szCs w:val="24"/>
    </w:rPr>
  </w:style>
  <w:style w:type="paragraph" w:customStyle="1" w:styleId="258">
    <w:name w:val="Alterações"/>
    <w:basedOn w:val="1"/>
    <w:link w:val="259"/>
    <w:uiPriority w:val="1"/>
    <w:pPr>
      <w:suppressAutoHyphens w:val="0"/>
      <w:spacing w:before="120" w:after="120" w:line="276" w:lineRule="auto"/>
      <w:jc w:val="both"/>
      <w:outlineLvl w:val="1"/>
    </w:pPr>
    <w:rPr>
      <w:rFonts w:ascii="Arial" w:hAnsi="Arial" w:cs="Arial" w:eastAsiaTheme="minorEastAsia"/>
      <w:i/>
      <w:iCs/>
      <w:color w:val="0000FF"/>
      <w:sz w:val="20"/>
      <w:lang w:eastAsia="pt-BR"/>
    </w:rPr>
  </w:style>
  <w:style w:type="character" w:customStyle="1" w:styleId="259">
    <w:name w:val="Alterações Char"/>
    <w:basedOn w:val="11"/>
    <w:link w:val="258"/>
    <w:uiPriority w:val="1"/>
    <w:rPr>
      <w:rFonts w:ascii="Arial" w:hAnsi="Arial" w:cs="Arial" w:eastAsiaTheme="minorEastAsia"/>
      <w:i/>
      <w:iCs/>
      <w:color w:val="0000FF"/>
    </w:rPr>
  </w:style>
  <w:style w:type="character" w:customStyle="1" w:styleId="260">
    <w:name w:val="Menção1"/>
    <w:basedOn w:val="11"/>
    <w:unhideWhenUsed/>
    <w:uiPriority w:val="99"/>
    <w:rPr>
      <w:color w:val="2B579A"/>
      <w:shd w:val="clear" w:color="auto" w:fill="E6E6E6"/>
    </w:rPr>
  </w:style>
  <w:style w:type="character" w:customStyle="1" w:styleId="261">
    <w:name w:val="cf41"/>
    <w:basedOn w:val="11"/>
    <w:uiPriority w:val="0"/>
    <w:rPr>
      <w:rFonts w:hint="default" w:ascii="Segoe UI" w:hAnsi="Segoe UI" w:cs="Segoe UI"/>
      <w:i/>
      <w:iCs/>
      <w:sz w:val="18"/>
      <w:szCs w:val="18"/>
    </w:rPr>
  </w:style>
  <w:style w:type="character" w:customStyle="1" w:styleId="262">
    <w:name w:val="cf31"/>
    <w:basedOn w:val="11"/>
    <w:uiPriority w:val="0"/>
    <w:rPr>
      <w:rFonts w:hint="default" w:ascii="Segoe UI" w:hAnsi="Segoe UI" w:cs="Segoe UI"/>
      <w:i/>
      <w:iCs/>
      <w:sz w:val="18"/>
      <w:szCs w:val="18"/>
    </w:rPr>
  </w:style>
  <w:style w:type="character" w:customStyle="1" w:styleId="263">
    <w:name w:val="Cabeçalho Char1"/>
    <w:basedOn w:val="11"/>
    <w:semiHidden/>
    <w:uiPriority w:val="0"/>
    <w:rPr>
      <w:rFonts w:ascii="Times New Roman" w:hAnsi="Times New Roman" w:eastAsia="Times New Roman" w:cs="Times New Roman"/>
      <w:sz w:val="24"/>
      <w:lang w:eastAsia="ar-SA"/>
    </w:rPr>
  </w:style>
  <w:style w:type="character" w:customStyle="1" w:styleId="264">
    <w:name w:val="Rodapé Char1"/>
    <w:basedOn w:val="11"/>
    <w:semiHidden/>
    <w:uiPriority w:val="99"/>
    <w:rPr>
      <w:rFonts w:ascii="Times New Roman" w:hAnsi="Times New Roman" w:eastAsia="Times New Roman" w:cs="Times New Roman"/>
      <w:sz w:val="24"/>
      <w:lang w:eastAsia="ar-SA"/>
    </w:rPr>
  </w:style>
  <w:style w:type="character" w:customStyle="1" w:styleId="265">
    <w:name w:val="Citação Char1"/>
    <w:basedOn w:val="11"/>
    <w:qFormat/>
    <w:uiPriority w:val="0"/>
    <w:rPr>
      <w:rFonts w:ascii="Ecofont_Spranq_eco_Sans" w:hAnsi="Ecofont_Spranq_eco_Sans" w:cs="Tahoma" w:eastAsiaTheme="minorEastAsia"/>
      <w:i/>
      <w:iCs/>
      <w:color w:val="404040" w:themeColor="text1" w:themeTint="BF"/>
      <w:sz w:val="24"/>
      <w:szCs w:val="24"/>
      <w14:textFill>
        <w14:solidFill>
          <w14:schemeClr w14:val="tx1">
            <w14:lumMod w14:val="75000"/>
            <w14:lumOff w14:val="25000"/>
          </w14:schemeClr>
        </w14:solidFill>
      </w14:textFill>
    </w:rPr>
  </w:style>
  <w:style w:type="character" w:customStyle="1" w:styleId="266">
    <w:name w:val="Menção Pendente11"/>
    <w:basedOn w:val="11"/>
    <w:semiHidden/>
    <w:unhideWhenUsed/>
    <w:qFormat/>
    <w:uiPriority w:val="99"/>
    <w:rPr>
      <w:color w:val="605E5C"/>
      <w:shd w:val="clear" w:color="auto" w:fill="E1DFDD"/>
    </w:rPr>
  </w:style>
  <w:style w:type="paragraph" w:customStyle="1" w:styleId="267">
    <w:name w:val="Body Text Indent 21"/>
    <w:basedOn w:val="1"/>
    <w:qFormat/>
    <w:uiPriority w:val="0"/>
    <w:pPr>
      <w:spacing w:after="120" w:line="480" w:lineRule="auto"/>
      <w:ind w:left="283"/>
    </w:pPr>
    <w:rPr>
      <w:sz w:val="20"/>
      <w:lang w:eastAsia="zh-CN"/>
    </w:rPr>
  </w:style>
  <w:style w:type="character" w:customStyle="1" w:styleId="268">
    <w:name w:val="Menção Pendente12"/>
    <w:basedOn w:val="11"/>
    <w:semiHidden/>
    <w:unhideWhenUsed/>
    <w:qFormat/>
    <w:uiPriority w:val="99"/>
    <w:rPr>
      <w:color w:val="605E5C"/>
      <w:shd w:val="clear" w:color="auto" w:fill="E1DFDD"/>
    </w:rPr>
  </w:style>
  <w:style w:type="character" w:customStyle="1" w:styleId="269">
    <w:name w:val="Menção Pendente13"/>
    <w:basedOn w:val="11"/>
    <w:semiHidden/>
    <w:unhideWhenUsed/>
    <w:uiPriority w:val="99"/>
    <w:rPr>
      <w:color w:val="605E5C"/>
      <w:shd w:val="clear" w:color="auto" w:fill="E1DFDD"/>
    </w:rPr>
  </w:style>
  <w:style w:type="character" w:customStyle="1" w:styleId="270">
    <w:name w:val="Internet link1"/>
    <w:basedOn w:val="11"/>
    <w:qFormat/>
    <w:uiPriority w:val="0"/>
    <w:rPr>
      <w:color w:val="0563C1"/>
      <w:u w:val="single"/>
    </w:rPr>
  </w:style>
  <w:style w:type="paragraph" w:customStyle="1" w:styleId="271">
    <w:name w:val="Texto Normal"/>
    <w:qFormat/>
    <w:uiPriority w:val="0"/>
    <w:pPr>
      <w:suppressAutoHyphens/>
      <w:spacing w:line="276" w:lineRule="auto"/>
      <w:jc w:val="both"/>
    </w:pPr>
    <w:rPr>
      <w:rFonts w:ascii="Arial" w:hAnsi="Arial" w:eastAsia="Calibri" w:cs="Times New Roman"/>
      <w:color w:val="000000"/>
      <w:sz w:val="24"/>
      <w:szCs w:val="24"/>
      <w:lang w:val="pt-BR" w:eastAsia="en-US" w:bidi="ar-SA"/>
    </w:rPr>
  </w:style>
  <w:style w:type="character" w:customStyle="1" w:styleId="272">
    <w:name w:val="Título 5 Char"/>
    <w:basedOn w:val="11"/>
    <w:link w:val="6"/>
    <w:uiPriority w:val="0"/>
    <w:rPr>
      <w:rFonts w:eastAsia="Times New Roman"/>
      <w:b/>
      <w:bCs/>
      <w:i/>
      <w:iCs/>
      <w:sz w:val="26"/>
      <w:szCs w:val="26"/>
      <w:lang w:val="zh-CN" w:eastAsia="zh-CN"/>
    </w:rPr>
  </w:style>
  <w:style w:type="character" w:customStyle="1" w:styleId="273">
    <w:name w:val="Título 7 Char"/>
    <w:basedOn w:val="11"/>
    <w:link w:val="8"/>
    <w:uiPriority w:val="0"/>
    <w:rPr>
      <w:rFonts w:eastAsia="Times New Roman"/>
      <w:sz w:val="24"/>
      <w:szCs w:val="24"/>
      <w:lang w:val="zh-CN" w:eastAsia="zh-CN"/>
    </w:rPr>
  </w:style>
  <w:style w:type="character" w:customStyle="1" w:styleId="274">
    <w:name w:val="Título 8 Char"/>
    <w:basedOn w:val="11"/>
    <w:link w:val="9"/>
    <w:uiPriority w:val="0"/>
    <w:rPr>
      <w:rFonts w:ascii="Tahoma" w:hAnsi="Tahoma" w:eastAsia="Times New Roman" w:cs="Tahoma"/>
      <w:b/>
      <w:sz w:val="22"/>
      <w:lang w:val="zh-CN" w:eastAsia="zh-CN"/>
    </w:rPr>
  </w:style>
  <w:style w:type="character" w:customStyle="1" w:styleId="275">
    <w:name w:val="Título 9 Char"/>
    <w:basedOn w:val="11"/>
    <w:link w:val="10"/>
    <w:uiPriority w:val="0"/>
    <w:rPr>
      <w:rFonts w:ascii="Tahoma" w:hAnsi="Tahoma" w:eastAsia="Times New Roman" w:cs="Tahoma"/>
      <w:b/>
      <w:i/>
      <w:iCs/>
      <w:sz w:val="22"/>
      <w:u w:val="single"/>
      <w:lang w:val="zh-CN" w:eastAsia="zh-CN"/>
    </w:rPr>
  </w:style>
  <w:style w:type="paragraph" w:customStyle="1" w:styleId="276">
    <w:name w:val="Revisão2"/>
    <w:hidden/>
    <w:semiHidden/>
    <w:uiPriority w:val="99"/>
    <w:rPr>
      <w:rFonts w:ascii="Ecofont_Spranq_eco_Sans" w:hAnsi="Ecofont_Spranq_eco_Sans" w:eastAsia="Times New Roman" w:cs="Tahoma"/>
      <w:sz w:val="24"/>
      <w:szCs w:val="24"/>
      <w:lang w:val="pt-BR" w:eastAsia="pt-BR" w:bidi="ar-SA"/>
    </w:rPr>
  </w:style>
  <w:style w:type="paragraph" w:customStyle="1" w:styleId="277">
    <w:name w:val="Cabeçalho do Sumário2"/>
    <w:basedOn w:val="2"/>
    <w:next w:val="1"/>
    <w:unhideWhenUsed/>
    <w:qFormat/>
    <w:uiPriority w:val="39"/>
    <w:pPr>
      <w:suppressAutoHyphens w:val="0"/>
      <w:spacing w:line="259" w:lineRule="auto"/>
      <w:outlineLvl w:val="9"/>
    </w:pPr>
    <w:rPr>
      <w:rFonts w:ascii="Calibri" w:hAnsi="Calibri" w:eastAsia="MS Gothic" w:cs="Times New Roman"/>
      <w:lang w:eastAsia="pt-BR"/>
    </w:rPr>
  </w:style>
  <w:style w:type="character" w:customStyle="1" w:styleId="278">
    <w:name w:val="WW8Num1z0"/>
    <w:uiPriority w:val="0"/>
    <w:rPr>
      <w:rFonts w:hint="default"/>
    </w:rPr>
  </w:style>
  <w:style w:type="character" w:customStyle="1" w:styleId="279">
    <w:name w:val="WW8Num2z0"/>
    <w:uiPriority w:val="0"/>
    <w:rPr>
      <w:rFonts w:hint="default"/>
    </w:rPr>
  </w:style>
  <w:style w:type="character" w:customStyle="1" w:styleId="280">
    <w:name w:val="WW8Num3z0"/>
    <w:uiPriority w:val="0"/>
    <w:rPr>
      <w:rFonts w:hint="default"/>
      <w:u w:val="none"/>
    </w:rPr>
  </w:style>
  <w:style w:type="character" w:customStyle="1" w:styleId="281">
    <w:name w:val="WW8Num4z0"/>
    <w:uiPriority w:val="0"/>
  </w:style>
  <w:style w:type="character" w:customStyle="1" w:styleId="282">
    <w:name w:val="WW8Num4z1"/>
    <w:uiPriority w:val="0"/>
    <w:rPr>
      <w:rFonts w:hint="default"/>
    </w:rPr>
  </w:style>
  <w:style w:type="character" w:customStyle="1" w:styleId="283">
    <w:name w:val="WW8Num5z0"/>
    <w:uiPriority w:val="0"/>
    <w:rPr>
      <w:rFonts w:hint="default"/>
    </w:rPr>
  </w:style>
  <w:style w:type="character" w:customStyle="1" w:styleId="284">
    <w:name w:val="WW8Num6z0"/>
    <w:uiPriority w:val="0"/>
    <w:rPr>
      <w:rFonts w:hint="default" w:ascii="Symbol" w:hAnsi="Symbol" w:cs="Symbol"/>
    </w:rPr>
  </w:style>
  <w:style w:type="character" w:customStyle="1" w:styleId="285">
    <w:name w:val="WW8Num7z0"/>
    <w:qFormat/>
    <w:uiPriority w:val="0"/>
    <w:rPr>
      <w:rFonts w:hint="default" w:ascii="Symbol" w:hAnsi="Symbol" w:cs="Symbol"/>
    </w:rPr>
  </w:style>
  <w:style w:type="character" w:customStyle="1" w:styleId="286">
    <w:name w:val="WW8Num8z0"/>
    <w:uiPriority w:val="0"/>
    <w:rPr>
      <w:rFonts w:hint="default"/>
    </w:rPr>
  </w:style>
  <w:style w:type="character" w:customStyle="1" w:styleId="287">
    <w:name w:val="WW8Num9z0"/>
    <w:uiPriority w:val="0"/>
    <w:rPr>
      <w:rFonts w:hint="default"/>
    </w:rPr>
  </w:style>
  <w:style w:type="character" w:customStyle="1" w:styleId="288">
    <w:name w:val="WW8Num10z0"/>
    <w:uiPriority w:val="0"/>
    <w:rPr>
      <w:rFonts w:hint="default"/>
    </w:rPr>
  </w:style>
  <w:style w:type="character" w:customStyle="1" w:styleId="289">
    <w:name w:val="WW8Num11z0"/>
    <w:uiPriority w:val="0"/>
    <w:rPr>
      <w:rFonts w:hint="default"/>
    </w:rPr>
  </w:style>
  <w:style w:type="character" w:customStyle="1" w:styleId="290">
    <w:name w:val="WW8Num12z0"/>
    <w:uiPriority w:val="0"/>
    <w:rPr>
      <w:rFonts w:hint="default"/>
      <w:color w:val="auto"/>
    </w:rPr>
  </w:style>
  <w:style w:type="character" w:customStyle="1" w:styleId="291">
    <w:name w:val="WW8Num13z0"/>
    <w:uiPriority w:val="0"/>
    <w:rPr>
      <w:rFonts w:hint="default"/>
    </w:rPr>
  </w:style>
  <w:style w:type="character" w:customStyle="1" w:styleId="292">
    <w:name w:val="WW8Num14z0"/>
    <w:uiPriority w:val="0"/>
  </w:style>
  <w:style w:type="character" w:customStyle="1" w:styleId="293">
    <w:name w:val="WW8Num15z0"/>
    <w:uiPriority w:val="0"/>
    <w:rPr>
      <w:rFonts w:hint="default"/>
      <w:i/>
    </w:rPr>
  </w:style>
  <w:style w:type="character" w:customStyle="1" w:styleId="294">
    <w:name w:val="WW8Num15z1"/>
    <w:uiPriority w:val="0"/>
  </w:style>
  <w:style w:type="character" w:customStyle="1" w:styleId="295">
    <w:name w:val="WW8Num15z2"/>
    <w:uiPriority w:val="0"/>
  </w:style>
  <w:style w:type="character" w:customStyle="1" w:styleId="296">
    <w:name w:val="WW8Num15z3"/>
    <w:uiPriority w:val="0"/>
  </w:style>
  <w:style w:type="character" w:customStyle="1" w:styleId="297">
    <w:name w:val="WW8Num15z4"/>
    <w:uiPriority w:val="0"/>
  </w:style>
  <w:style w:type="character" w:customStyle="1" w:styleId="298">
    <w:name w:val="WW8Num15z5"/>
    <w:uiPriority w:val="0"/>
  </w:style>
  <w:style w:type="character" w:customStyle="1" w:styleId="299">
    <w:name w:val="WW8Num15z6"/>
    <w:uiPriority w:val="0"/>
  </w:style>
  <w:style w:type="character" w:customStyle="1" w:styleId="300">
    <w:name w:val="WW8Num15z7"/>
    <w:uiPriority w:val="0"/>
  </w:style>
  <w:style w:type="character" w:customStyle="1" w:styleId="301">
    <w:name w:val="WW8Num15z8"/>
    <w:uiPriority w:val="0"/>
  </w:style>
  <w:style w:type="character" w:customStyle="1" w:styleId="302">
    <w:name w:val="WW8Num16z0"/>
    <w:uiPriority w:val="0"/>
    <w:rPr>
      <w:rFonts w:hint="default"/>
    </w:rPr>
  </w:style>
  <w:style w:type="character" w:customStyle="1" w:styleId="303">
    <w:name w:val="WW8Num17z0"/>
    <w:uiPriority w:val="0"/>
  </w:style>
  <w:style w:type="character" w:customStyle="1" w:styleId="304">
    <w:name w:val="WW8Num17z1"/>
    <w:uiPriority w:val="0"/>
  </w:style>
  <w:style w:type="character" w:customStyle="1" w:styleId="305">
    <w:name w:val="WW8Num17z2"/>
    <w:uiPriority w:val="0"/>
  </w:style>
  <w:style w:type="character" w:customStyle="1" w:styleId="306">
    <w:name w:val="WW8Num17z3"/>
    <w:uiPriority w:val="0"/>
  </w:style>
  <w:style w:type="character" w:customStyle="1" w:styleId="307">
    <w:name w:val="WW8Num17z4"/>
    <w:uiPriority w:val="0"/>
  </w:style>
  <w:style w:type="character" w:customStyle="1" w:styleId="308">
    <w:name w:val="WW8Num17z5"/>
    <w:uiPriority w:val="0"/>
  </w:style>
  <w:style w:type="character" w:customStyle="1" w:styleId="309">
    <w:name w:val="WW8Num17z6"/>
    <w:uiPriority w:val="0"/>
  </w:style>
  <w:style w:type="character" w:customStyle="1" w:styleId="310">
    <w:name w:val="WW8Num17z7"/>
    <w:uiPriority w:val="0"/>
  </w:style>
  <w:style w:type="character" w:customStyle="1" w:styleId="311">
    <w:name w:val="WW8Num17z8"/>
    <w:uiPriority w:val="0"/>
  </w:style>
  <w:style w:type="character" w:customStyle="1" w:styleId="312">
    <w:name w:val="WW8Num18z0"/>
    <w:uiPriority w:val="0"/>
    <w:rPr>
      <w:rFonts w:hint="default"/>
    </w:rPr>
  </w:style>
  <w:style w:type="character" w:customStyle="1" w:styleId="313">
    <w:name w:val="WW8Num19z0"/>
    <w:uiPriority w:val="0"/>
    <w:rPr>
      <w:rFonts w:hint="default"/>
    </w:rPr>
  </w:style>
  <w:style w:type="character" w:customStyle="1" w:styleId="314">
    <w:name w:val="WW8Num20z0"/>
    <w:uiPriority w:val="0"/>
    <w:rPr>
      <w:rFonts w:hint="default" w:cs="Times New Roman"/>
    </w:rPr>
  </w:style>
  <w:style w:type="character" w:customStyle="1" w:styleId="315">
    <w:name w:val="WW8Num21z0"/>
    <w:uiPriority w:val="0"/>
    <w:rPr>
      <w:rFonts w:hint="default" w:ascii="Symbol" w:hAnsi="Symbol" w:cs="Symbol"/>
    </w:rPr>
  </w:style>
  <w:style w:type="character" w:customStyle="1" w:styleId="316">
    <w:name w:val="WW8Num21z1"/>
    <w:uiPriority w:val="0"/>
    <w:rPr>
      <w:rFonts w:hint="default" w:ascii="Courier New" w:hAnsi="Courier New" w:cs="Courier New"/>
    </w:rPr>
  </w:style>
  <w:style w:type="character" w:customStyle="1" w:styleId="317">
    <w:name w:val="WW8Num21z2"/>
    <w:uiPriority w:val="0"/>
    <w:rPr>
      <w:rFonts w:hint="default" w:ascii="Wingdings" w:hAnsi="Wingdings" w:cs="Wingdings"/>
    </w:rPr>
  </w:style>
  <w:style w:type="character" w:customStyle="1" w:styleId="318">
    <w:name w:val="WW8Num22z0"/>
    <w:uiPriority w:val="0"/>
    <w:rPr>
      <w:rFonts w:hint="default"/>
    </w:rPr>
  </w:style>
  <w:style w:type="character" w:customStyle="1" w:styleId="319">
    <w:name w:val="WW8Num23z0"/>
    <w:uiPriority w:val="0"/>
    <w:rPr>
      <w:rFonts w:hint="default"/>
    </w:rPr>
  </w:style>
  <w:style w:type="character" w:customStyle="1" w:styleId="320">
    <w:name w:val="WW8Num24z0"/>
    <w:uiPriority w:val="0"/>
    <w:rPr>
      <w:rFonts w:hint="default"/>
    </w:rPr>
  </w:style>
  <w:style w:type="character" w:customStyle="1" w:styleId="321">
    <w:name w:val="WW8Num25z0"/>
    <w:uiPriority w:val="0"/>
    <w:rPr>
      <w:rFonts w:hint="default"/>
    </w:rPr>
  </w:style>
  <w:style w:type="character" w:customStyle="1" w:styleId="322">
    <w:name w:val="WW8Num26z0"/>
    <w:uiPriority w:val="0"/>
    <w:rPr>
      <w:rFonts w:hint="default"/>
    </w:rPr>
  </w:style>
  <w:style w:type="character" w:customStyle="1" w:styleId="323">
    <w:name w:val="WW8Num27z0"/>
    <w:uiPriority w:val="0"/>
    <w:rPr>
      <w:rFonts w:hint="default"/>
    </w:rPr>
  </w:style>
  <w:style w:type="character" w:customStyle="1" w:styleId="324">
    <w:name w:val="WW8Num28z0"/>
    <w:uiPriority w:val="0"/>
    <w:rPr>
      <w:rFonts w:hint="default" w:ascii="Symbol" w:hAnsi="Symbol" w:cs="Symbol"/>
    </w:rPr>
  </w:style>
  <w:style w:type="character" w:customStyle="1" w:styleId="325">
    <w:name w:val="WW8Num29z0"/>
    <w:uiPriority w:val="0"/>
    <w:rPr>
      <w:rFonts w:hint="default"/>
    </w:rPr>
  </w:style>
  <w:style w:type="character" w:customStyle="1" w:styleId="326">
    <w:name w:val="WW8Num30z0"/>
    <w:uiPriority w:val="0"/>
    <w:rPr>
      <w:rFonts w:hint="default"/>
    </w:rPr>
  </w:style>
  <w:style w:type="character" w:customStyle="1" w:styleId="327">
    <w:name w:val="WW8Num31z0"/>
    <w:uiPriority w:val="0"/>
    <w:rPr>
      <w:rFonts w:hint="default"/>
    </w:rPr>
  </w:style>
  <w:style w:type="character" w:customStyle="1" w:styleId="328">
    <w:name w:val="WW8Num32z0"/>
    <w:uiPriority w:val="0"/>
    <w:rPr>
      <w:rFonts w:hint="default"/>
    </w:rPr>
  </w:style>
  <w:style w:type="character" w:customStyle="1" w:styleId="329">
    <w:name w:val="WW8Num33z0"/>
    <w:uiPriority w:val="0"/>
    <w:rPr>
      <w:rFonts w:hint="default"/>
    </w:rPr>
  </w:style>
  <w:style w:type="character" w:customStyle="1" w:styleId="330">
    <w:name w:val="WW8Num34z0"/>
    <w:uiPriority w:val="0"/>
    <w:rPr>
      <w:rFonts w:hint="default"/>
    </w:rPr>
  </w:style>
  <w:style w:type="character" w:customStyle="1" w:styleId="331">
    <w:name w:val="WW8Num35z0"/>
    <w:uiPriority w:val="0"/>
    <w:rPr>
      <w:rFonts w:hint="default"/>
    </w:rPr>
  </w:style>
  <w:style w:type="character" w:customStyle="1" w:styleId="332">
    <w:name w:val="WW8Num36z0"/>
    <w:uiPriority w:val="0"/>
    <w:rPr>
      <w:rFonts w:hint="default"/>
      <w:color w:val="auto"/>
    </w:rPr>
  </w:style>
  <w:style w:type="character" w:customStyle="1" w:styleId="333">
    <w:name w:val="WW8Num37z0"/>
    <w:uiPriority w:val="0"/>
    <w:rPr>
      <w:rFonts w:hint="default" w:ascii="Symbol" w:hAnsi="Symbol" w:cs="Symbol"/>
    </w:rPr>
  </w:style>
  <w:style w:type="character" w:customStyle="1" w:styleId="334">
    <w:name w:val="WW8Num38z0"/>
    <w:uiPriority w:val="0"/>
    <w:rPr>
      <w:rFonts w:hint="default"/>
    </w:rPr>
  </w:style>
  <w:style w:type="character" w:customStyle="1" w:styleId="335">
    <w:name w:val="WW8Num38z3"/>
    <w:uiPriority w:val="0"/>
  </w:style>
  <w:style w:type="character" w:customStyle="1" w:styleId="336">
    <w:name w:val="WW8Num38z4"/>
    <w:uiPriority w:val="0"/>
  </w:style>
  <w:style w:type="character" w:customStyle="1" w:styleId="337">
    <w:name w:val="WW8Num38z5"/>
    <w:uiPriority w:val="0"/>
  </w:style>
  <w:style w:type="character" w:customStyle="1" w:styleId="338">
    <w:name w:val="WW8Num38z6"/>
    <w:uiPriority w:val="0"/>
  </w:style>
  <w:style w:type="character" w:customStyle="1" w:styleId="339">
    <w:name w:val="WW8Num38z7"/>
    <w:uiPriority w:val="0"/>
  </w:style>
  <w:style w:type="character" w:customStyle="1" w:styleId="340">
    <w:name w:val="WW8Num38z8"/>
    <w:uiPriority w:val="0"/>
  </w:style>
  <w:style w:type="character" w:customStyle="1" w:styleId="341">
    <w:name w:val="WW8Num39z0"/>
    <w:uiPriority w:val="0"/>
    <w:rPr>
      <w:rFonts w:hint="default" w:eastAsia="Times New Roman"/>
      <w:color w:val="auto"/>
    </w:rPr>
  </w:style>
  <w:style w:type="character" w:customStyle="1" w:styleId="342">
    <w:name w:val="WW8Num40z0"/>
    <w:uiPriority w:val="0"/>
    <w:rPr>
      <w:rFonts w:hint="default"/>
    </w:rPr>
  </w:style>
  <w:style w:type="character" w:customStyle="1" w:styleId="343">
    <w:name w:val="WW8Num41z0"/>
    <w:uiPriority w:val="0"/>
    <w:rPr>
      <w:rFonts w:hint="default"/>
    </w:rPr>
  </w:style>
  <w:style w:type="character" w:customStyle="1" w:styleId="344">
    <w:name w:val="WW8Num42z0"/>
    <w:uiPriority w:val="0"/>
    <w:rPr>
      <w:rFonts w:hint="default"/>
    </w:rPr>
  </w:style>
  <w:style w:type="character" w:customStyle="1" w:styleId="345">
    <w:name w:val="WW8Num43z0"/>
    <w:uiPriority w:val="0"/>
    <w:rPr>
      <w:rFonts w:hint="default" w:ascii="Tahoma" w:hAnsi="Tahoma" w:cs="Tahoma"/>
    </w:rPr>
  </w:style>
  <w:style w:type="character" w:customStyle="1" w:styleId="346">
    <w:name w:val="WW8Num43z1"/>
    <w:uiPriority w:val="0"/>
  </w:style>
  <w:style w:type="character" w:customStyle="1" w:styleId="347">
    <w:name w:val="WW8Num43z2"/>
    <w:uiPriority w:val="0"/>
  </w:style>
  <w:style w:type="character" w:customStyle="1" w:styleId="348">
    <w:name w:val="WW8Num43z3"/>
    <w:uiPriority w:val="0"/>
  </w:style>
  <w:style w:type="character" w:customStyle="1" w:styleId="349">
    <w:name w:val="WW8Num43z4"/>
    <w:uiPriority w:val="0"/>
  </w:style>
  <w:style w:type="character" w:customStyle="1" w:styleId="350">
    <w:name w:val="WW8Num43z5"/>
    <w:uiPriority w:val="0"/>
  </w:style>
  <w:style w:type="character" w:customStyle="1" w:styleId="351">
    <w:name w:val="WW8Num43z6"/>
    <w:uiPriority w:val="0"/>
  </w:style>
  <w:style w:type="character" w:customStyle="1" w:styleId="352">
    <w:name w:val="WW8Num43z7"/>
    <w:uiPriority w:val="0"/>
  </w:style>
  <w:style w:type="character" w:customStyle="1" w:styleId="353">
    <w:name w:val="WW8Num43z8"/>
    <w:uiPriority w:val="0"/>
  </w:style>
  <w:style w:type="character" w:customStyle="1" w:styleId="354">
    <w:name w:val="WW8Num44z0"/>
    <w:uiPriority w:val="0"/>
    <w:rPr>
      <w:rFonts w:hint="default" w:ascii="Symbol" w:hAnsi="Symbol" w:cs="Symbol"/>
    </w:rPr>
  </w:style>
  <w:style w:type="character" w:customStyle="1" w:styleId="355">
    <w:name w:val="WW8Num44z1"/>
    <w:uiPriority w:val="0"/>
    <w:rPr>
      <w:rFonts w:hint="default" w:ascii="Courier New" w:hAnsi="Courier New" w:cs="Courier New"/>
    </w:rPr>
  </w:style>
  <w:style w:type="character" w:customStyle="1" w:styleId="356">
    <w:name w:val="WW8Num44z2"/>
    <w:uiPriority w:val="0"/>
    <w:rPr>
      <w:rFonts w:hint="default" w:ascii="Wingdings" w:hAnsi="Wingdings" w:cs="Wingdings"/>
    </w:rPr>
  </w:style>
  <w:style w:type="character" w:customStyle="1" w:styleId="357">
    <w:name w:val="Fonte parág. padrão1"/>
    <w:uiPriority w:val="0"/>
  </w:style>
  <w:style w:type="character" w:customStyle="1" w:styleId="358">
    <w:name w:val="Recuo de corpo de texto 3 Char"/>
    <w:uiPriority w:val="0"/>
    <w:rPr>
      <w:sz w:val="16"/>
      <w:szCs w:val="16"/>
    </w:rPr>
  </w:style>
  <w:style w:type="paragraph" w:customStyle="1" w:styleId="359">
    <w:name w:val="Título1"/>
    <w:basedOn w:val="1"/>
    <w:next w:val="20"/>
    <w:uiPriority w:val="0"/>
    <w:pPr>
      <w:jc w:val="center"/>
    </w:pPr>
    <w:rPr>
      <w:rFonts w:ascii="Arial" w:hAnsi="Arial" w:cs="Arial"/>
      <w:b/>
      <w:lang w:val="zh-CN" w:eastAsia="zh-CN"/>
    </w:rPr>
  </w:style>
  <w:style w:type="paragraph" w:customStyle="1" w:styleId="360">
    <w:name w:val="Mapa do Documento1"/>
    <w:basedOn w:val="1"/>
    <w:uiPriority w:val="0"/>
    <w:pPr>
      <w:shd w:val="clear" w:color="auto" w:fill="000080"/>
    </w:pPr>
    <w:rPr>
      <w:rFonts w:ascii="Tahoma" w:hAnsi="Tahoma" w:cs="Tahoma"/>
      <w:sz w:val="20"/>
      <w:lang w:eastAsia="zh-CN"/>
    </w:rPr>
  </w:style>
  <w:style w:type="paragraph" w:customStyle="1" w:styleId="361">
    <w:name w:val="Corpo de texto 31"/>
    <w:basedOn w:val="1"/>
    <w:uiPriority w:val="0"/>
    <w:pPr>
      <w:jc w:val="both"/>
    </w:pPr>
    <w:rPr>
      <w:lang w:eastAsia="zh-CN"/>
    </w:rPr>
  </w:style>
  <w:style w:type="paragraph" w:customStyle="1" w:styleId="362">
    <w:name w:val="Recuo de corpo de texto 31"/>
    <w:basedOn w:val="1"/>
    <w:uiPriority w:val="0"/>
    <w:pPr>
      <w:spacing w:after="120"/>
      <w:ind w:left="283"/>
    </w:pPr>
    <w:rPr>
      <w:sz w:val="16"/>
      <w:szCs w:val="16"/>
      <w:lang w:val="zh-CN" w:eastAsia="zh-CN"/>
    </w:rPr>
  </w:style>
  <w:style w:type="paragraph" w:customStyle="1" w:styleId="363">
    <w:name w:val="descricao"/>
    <w:basedOn w:val="1"/>
    <w:uiPriority w:val="0"/>
    <w:rPr>
      <w:szCs w:val="24"/>
      <w:lang w:eastAsia="zh-CN"/>
    </w:rPr>
  </w:style>
  <w:style w:type="paragraph" w:customStyle="1" w:styleId="364">
    <w:name w:val="Texto em bloco2"/>
    <w:basedOn w:val="1"/>
    <w:uiPriority w:val="0"/>
    <w:pPr>
      <w:ind w:left="-567" w:right="-765"/>
      <w:jc w:val="both"/>
    </w:pPr>
    <w:rPr>
      <w:rFonts w:ascii="Arial" w:hAnsi="Arial" w:cs="Arial"/>
      <w:sz w:val="22"/>
      <w:lang w:eastAsia="zh-CN"/>
    </w:rPr>
  </w:style>
  <w:style w:type="paragraph" w:customStyle="1" w:styleId="365">
    <w:name w:val="Paragrafo 1.1"/>
    <w:basedOn w:val="1"/>
    <w:uiPriority w:val="0"/>
    <w:pPr>
      <w:ind w:firstLine="709"/>
      <w:jc w:val="both"/>
    </w:pPr>
    <w:rPr>
      <w:rFonts w:ascii="Tahoma" w:hAnsi="Tahoma" w:cs="Tahoma"/>
      <w:b/>
      <w:sz w:val="22"/>
      <w:szCs w:val="22"/>
      <w:lang w:eastAsia="zh-CN"/>
    </w:rPr>
  </w:style>
  <w:style w:type="paragraph" w:customStyle="1" w:styleId="366">
    <w:name w:val="Texto em bloco1"/>
    <w:basedOn w:val="1"/>
    <w:uiPriority w:val="0"/>
    <w:pPr>
      <w:spacing w:before="120"/>
      <w:ind w:left="284" w:right="-170" w:firstLine="850"/>
      <w:jc w:val="both"/>
    </w:pPr>
    <w:rPr>
      <w:rFonts w:ascii="Tahoma" w:hAnsi="Tahoma" w:cs="Tahoma"/>
      <w:lang w:eastAsia="zh-CN"/>
    </w:rPr>
  </w:style>
  <w:style w:type="paragraph" w:customStyle="1" w:styleId="367">
    <w:name w:val="Corpo de texto2"/>
    <w:uiPriority w:val="0"/>
    <w:pPr>
      <w:suppressAutoHyphens/>
      <w:jc w:val="center"/>
    </w:pPr>
    <w:rPr>
      <w:rFonts w:ascii="Bookman Old Style" w:hAnsi="Bookman Old Style" w:eastAsia="Times New Roman" w:cs="Bookman Old Style"/>
      <w:color w:val="000000"/>
      <w:sz w:val="24"/>
      <w:lang w:val="en-US" w:eastAsia="zh-CN" w:bidi="ar-SA"/>
    </w:rPr>
  </w:style>
  <w:style w:type="paragraph" w:customStyle="1" w:styleId="368">
    <w:name w:val="Conteúdo da tabela"/>
    <w:basedOn w:val="1"/>
    <w:uiPriority w:val="0"/>
    <w:pPr>
      <w:suppressLineNumbers/>
    </w:pPr>
    <w:rPr>
      <w:sz w:val="20"/>
      <w:lang w:eastAsia="zh-CN"/>
    </w:rPr>
  </w:style>
  <w:style w:type="paragraph" w:customStyle="1" w:styleId="369">
    <w:name w:val="Título de tabela"/>
    <w:basedOn w:val="368"/>
    <w:uiPriority w:val="0"/>
    <w:pPr>
      <w:jc w:val="center"/>
    </w:pPr>
    <w:rPr>
      <w:b/>
      <w:bCs/>
    </w:rPr>
  </w:style>
  <w:style w:type="paragraph" w:customStyle="1" w:styleId="370">
    <w:name w:val="Blockquote"/>
    <w:basedOn w:val="1"/>
    <w:uiPriority w:val="0"/>
    <w:pPr>
      <w:suppressAutoHyphens w:val="0"/>
      <w:spacing w:before="100" w:after="100"/>
      <w:ind w:left="360" w:right="360"/>
    </w:pPr>
    <w:rPr>
      <w:snapToGrid w:val="0"/>
      <w:lang w:eastAsia="pt-BR"/>
    </w:rPr>
  </w:style>
  <w:style w:type="paragraph" w:customStyle="1" w:styleId="371">
    <w:name w:val="Corpo de texto 22"/>
    <w:basedOn w:val="1"/>
    <w:uiPriority w:val="0"/>
    <w:pPr>
      <w:widowControl w:val="0"/>
      <w:spacing w:after="120"/>
      <w:jc w:val="both"/>
    </w:pPr>
    <w:rPr>
      <w:rFonts w:ascii="Arial" w:hAnsi="Arial" w:cs="Arial"/>
      <w:lang w:eastAsia="zh-CN"/>
    </w:rPr>
  </w:style>
  <w:style w:type="paragraph" w:customStyle="1" w:styleId="372">
    <w:name w:val="WW-Corpo de texto 2"/>
    <w:basedOn w:val="1"/>
    <w:uiPriority w:val="0"/>
    <w:pPr>
      <w:widowControl w:val="0"/>
      <w:jc w:val="both"/>
    </w:pPr>
    <w:rPr>
      <w:rFonts w:ascii="Arial" w:hAnsi="Arial" w:eastAsia="Arial Unicode MS"/>
      <w:b/>
      <w:bCs/>
      <w:lang w:eastAsia="pt-BR"/>
    </w:rPr>
  </w:style>
  <w:style w:type="character" w:customStyle="1" w:styleId="373">
    <w:name w:val="Primeiro recuo de corpo de texto Char"/>
    <w:basedOn w:val="82"/>
    <w:link w:val="43"/>
    <w:uiPriority w:val="99"/>
    <w:rPr>
      <w:rFonts w:ascii="Times New Roman" w:hAnsi="Times New Roman" w:eastAsia="Times New Roman" w:cs="Times New Roman"/>
      <w:sz w:val="24"/>
      <w:szCs w:val="20"/>
      <w:lang w:eastAsia="zh-CN"/>
    </w:rPr>
  </w:style>
  <w:style w:type="character" w:customStyle="1" w:styleId="374">
    <w:name w:val="Primeiro recuo de corpo de texto 2 Char"/>
    <w:basedOn w:val="95"/>
    <w:link w:val="21"/>
    <w:qFormat/>
    <w:uiPriority w:val="99"/>
    <w:rPr>
      <w:rFonts w:ascii="Times New Roman" w:hAnsi="Times New Roman" w:eastAsia="Times New Roman" w:cs="Times New Roman"/>
      <w:sz w:val="24"/>
      <w:szCs w:val="20"/>
      <w:lang w:eastAsia="zh-CN"/>
    </w:rPr>
  </w:style>
  <w:style w:type="character" w:customStyle="1" w:styleId="375">
    <w:name w:val="Recuo de corpo de texto Char1"/>
    <w:qFormat/>
    <w:uiPriority w:val="0"/>
    <w:rPr>
      <w:lang w:eastAsia="zh-CN"/>
    </w:rPr>
  </w:style>
  <w:style w:type="paragraph" w:customStyle="1" w:styleId="376">
    <w:name w:val="Nível 1-Sem Black"/>
    <w:basedOn w:val="1"/>
    <w:link w:val="377"/>
    <w:qFormat/>
    <w:uiPriority w:val="0"/>
    <w:pPr>
      <w:keepNext/>
      <w:keepLines/>
      <w:tabs>
        <w:tab w:val="left" w:pos="567"/>
      </w:tabs>
      <w:suppressAutoHyphens w:val="0"/>
      <w:spacing w:before="240" w:after="120" w:line="276" w:lineRule="auto"/>
      <w:jc w:val="both"/>
      <w:outlineLvl w:val="1"/>
    </w:pPr>
    <w:rPr>
      <w:rFonts w:ascii="Arial" w:hAnsi="Arial" w:eastAsia="MS Gothic" w:cs="Arial"/>
      <w:b/>
      <w:bCs/>
      <w:sz w:val="20"/>
      <w:lang w:eastAsia="pt-BR"/>
    </w:rPr>
  </w:style>
  <w:style w:type="character" w:customStyle="1" w:styleId="377">
    <w:name w:val="Nível 1-Sem Black Char"/>
    <w:link w:val="376"/>
    <w:qFormat/>
    <w:uiPriority w:val="0"/>
    <w:rPr>
      <w:rFonts w:ascii="Arial" w:hAnsi="Arial" w:eastAsia="MS Gothic" w:cs="Arial"/>
      <w:b/>
      <w:bCs/>
    </w:rPr>
  </w:style>
  <w:style w:type="character" w:customStyle="1" w:styleId="378">
    <w:name w:val="Título Char1"/>
    <w:qFormat/>
    <w:uiPriority w:val="10"/>
    <w:rPr>
      <w:rFonts w:ascii="Calibri Light" w:hAnsi="Calibri Light" w:eastAsia="Times New Roman" w:cs="Times New Roman"/>
      <w:b/>
      <w:bCs/>
      <w:kern w:val="28"/>
      <w:sz w:val="32"/>
      <w:szCs w:val="32"/>
      <w:lang w:eastAsia="zh-CN"/>
    </w:rPr>
  </w:style>
  <w:style w:type="paragraph" w:customStyle="1" w:styleId="379">
    <w:name w:val="Corpo de texto3"/>
    <w:qFormat/>
    <w:uiPriority w:val="0"/>
    <w:pPr>
      <w:suppressAutoHyphens/>
      <w:jc w:val="center"/>
    </w:pPr>
    <w:rPr>
      <w:rFonts w:ascii="Bookman Old Style" w:hAnsi="Bookman Old Style" w:eastAsia="Times New Roman" w:cs="Bookman Old Style"/>
      <w:color w:val="000000"/>
      <w:sz w:val="24"/>
      <w:lang w:val="en-US" w:eastAsia="zh-CN" w:bidi="ar-SA"/>
    </w:rPr>
  </w:style>
  <w:style w:type="paragraph" w:customStyle="1" w:styleId="380">
    <w:name w:val="Corpo de texto 23"/>
    <w:basedOn w:val="1"/>
    <w:qFormat/>
    <w:uiPriority w:val="0"/>
    <w:pPr>
      <w:widowControl w:val="0"/>
      <w:spacing w:after="120"/>
      <w:jc w:val="both"/>
    </w:pPr>
    <w:rPr>
      <w:rFonts w:ascii="Arial" w:hAnsi="Arial" w:cs="Arial"/>
      <w:lang w:eastAsia="zh-CN"/>
    </w:rPr>
  </w:style>
  <w:style w:type="character" w:customStyle="1" w:styleId="381">
    <w:name w:val="Menção Pendente14"/>
    <w:basedOn w:val="11"/>
    <w:semiHidden/>
    <w:unhideWhenUsed/>
    <w:qFormat/>
    <w:uiPriority w:val="99"/>
    <w:rPr>
      <w:color w:val="605E5C"/>
      <w:shd w:val="clear" w:color="auto" w:fill="E1DFDD"/>
    </w:rPr>
  </w:style>
  <w:style w:type="character" w:customStyle="1" w:styleId="382">
    <w:name w:val="Unresolved Mention"/>
    <w:basedOn w:val="11"/>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54"/>
    <customShpInfo spid="_x0000_s1026" textRotate="1"/>
    <customShpInfo spid="_x0000_s2053"/>
    <customShpInfo spid="_x0000_s205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F76911-076E-4B35-B356-B23F2F54A46B}">
  <ds:schemaRefs/>
</ds:datastoreItem>
</file>

<file path=docProps/app.xml><?xml version="1.0" encoding="utf-8"?>
<Properties xmlns="http://schemas.openxmlformats.org/officeDocument/2006/extended-properties" xmlns:vt="http://schemas.openxmlformats.org/officeDocument/2006/docPropsVTypes">
  <Template>Normal</Template>
  <Pages>75</Pages>
  <Words>29802</Words>
  <Characters>160936</Characters>
  <Lines>1341</Lines>
  <Paragraphs>380</Paragraphs>
  <TotalTime>26</TotalTime>
  <ScaleCrop>false</ScaleCrop>
  <LinksUpToDate>false</LinksUpToDate>
  <CharactersWithSpaces>190358</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2026-02-24T20:53:00Z</dcterms:created>
  <dc:creator>Administrador</dc:creator>
  <cp:lastModifiedBy>User</cp:lastModifiedBy>
  <cp:lastPrinted>2024-12-03T19:53:00Z</cp:lastPrinted>
  <dcterms:modified xsi:type="dcterms:W3CDTF">2026-02-25T19:40:10Z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1046-12.2.0.23196</vt:lpwstr>
  </property>
  <property fmtid="{D5CDD505-2E9C-101B-9397-08002B2CF9AE}" pid="9" name="ICV">
    <vt:lpwstr>46731528BBC048D1A82C272D954530C8_13</vt:lpwstr>
  </property>
</Properties>
</file>